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i/>
        </w:rPr>
        <w:t xml:space="preserve">We have updated the title to,</w:t>
      </w:r>
    </w:p>
    <w:p>
      <w:pPr>
        <w:pStyle w:val="BodyText"/>
      </w:pPr>
      <w:r>
        <w:rPr>
          <w:i/>
        </w:rPr>
        <w:t xml:space="preserve">“</w:t>
      </w:r>
      <w:r>
        <w:rPr>
          <w:i/>
        </w:rPr>
        <w:t xml:space="preserve">Reassessing the evidence for universal school-age Bacillus Calmette Guerin (BCG) vaccination in England and Wales: re-evaluating and updating a modelling study</w:t>
      </w:r>
      <w:r>
        <w:rPr>
          <w:i/>
        </w:rPr>
        <w:t xml:space="preserv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the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i/>
        </w:rPr>
        <w:t xml:space="preserve">We feel that the TRIPOD checklist is not completely appropriate for our study because we use an infectious disease model rather than a statistical model designed to be used as a tool for prediction, thus several of the checklist items are not relevant. However, we would be happy to fill in this or any other checklist if required.</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We agree with the reviewer that this is an important issue. We have included some of this uncertainty by re-estimating incidence rates for both those BCG vaccinated and unvaccinated (this uncertainty is then passed through to the efficacy estimates). This approach makes use of the available data on the effiacy of the BCG vaccine in England and Wales. Including additional uncertainty observed globally would be inappropriate here as there is little evidence for this amongst the White UK born population.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We have reformulated these equations for greater clarity (please see the marked up paper).</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Yes, 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rPr>
          <w:i/>
        </w:rPr>
        <w:t xml:space="preserve">[@FoxSnow:2019]</w:t>
      </w:r>
      <w:r>
        <w:rPr>
          <w:i/>
        </w:rPr>
        <w:t xml:space="preserve"> </w:t>
      </w:r>
      <w:r>
        <w:rPr>
          <w:i/>
        </w:rP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 We have reworded this section for clarity.</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agree that including transmission structure is important when assessing the impact of infectious disease programmes. We did not consider separating these estimates as we felt it was well established in the literature that transmission structure should always be included. Whilst adding to this body of evidence would be worthwhile we feel that adding additional outcome measures may further complicate the results section of this paper.</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Based on them we have greatly extended our discussion of the methods used and added further clarification where possible.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We have greatly extended the explanation using information from the SI and added further clarification where possible.</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To answer your previous comment we introduced a subsection of the model explanation detailing our additions to the model. The Updating model parameter estimates and incorporating parameter uncertainty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reworded methods paragraph.</w:t>
      </w:r>
    </w:p>
    <w:p>
      <w:pPr>
        <w:pStyle w:val="BodyText"/>
      </w:pPr>
      <w:r>
        <w:rPr>
          <w:i/>
        </w:rPr>
        <w:t xml:space="preserve">We agree that it is important to be clear which findings are relevant to policy makers and in what context. We have rewored the 4th discussion paragraph as follows in order to provide more context.</w:t>
      </w:r>
    </w:p>
    <w:p>
      <w:pPr>
        <w:pStyle w:val="BodyText"/>
      </w:pPr>
      <w:r>
        <w:rPr>
          <w:i/>
        </w:rPr>
        <w:t xml:space="preserve">“</w:t>
      </w:r>
      <w:r>
        <w:rPr>
          <w:i/>
        </w:rP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This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r>
        <w:rPr>
          <w:i/>
        </w:rPr>
        <w:t xml:space="preserve">”</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rPr>
          <w:i/>
        </w:rPr>
        <w:t xml:space="preserve">Thank you for these helpful insights - we agree that the abstract needed revisions. We have updated it based on your comments (see the marked up paper) and some of the other changes to the paper. Unfortunately, due to word limit constraints it was not possible to fully detail how the model was updated at the same time as detailing the results and conclusions.</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rPr>
          <w:i/>
        </w:rPr>
        <w:t xml:space="preserve">“</w:t>
      </w:r>
      <w:r>
        <w:rPr>
          <w:i/>
        </w:rPr>
        <w:t xml:space="preserve">The simulation approach used here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This would not have been possible if the impact had been assessed using only the observed data or with a more complex model. It also allowed estimates based on updated data to be compared to historic estimates within the same framework. This would also not have been possible if a different framework had been used.</w:t>
      </w:r>
      <w:r>
        <w:rPr>
          <w:i/>
        </w:rPr>
        <w:t xml:space="preserve">”</w:t>
      </w:r>
    </w:p>
    <w:p>
      <w:pPr>
        <w:pStyle w:val="BodyText"/>
      </w:pPr>
      <w:r>
        <w:rPr>
          <w:i/>
        </w:rPr>
        <w:t xml:space="preserve">We discuss alternative approaches for assessing the impact in the final paragraph of the discussion but you are correct in saying that the rationale of this work was to assess the impact of updating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may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from the SI into the main body of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The cited paper is 10 years newer, has an improved sample size, and improved methods.</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 + reference,</w:t>
      </w:r>
    </w:p>
    <w:p>
      <w:pPr>
        <w:pStyle w:val="BodyText"/>
      </w:pPr>
      <w:r>
        <w:rPr>
          <w:i/>
        </w:rPr>
        <w:t xml:space="preserve">“</w:t>
      </w:r>
      <w:r>
        <w:rPr>
          <w:i/>
        </w:rPr>
        <w:t xml:space="preserve">LOESS (locally estimated scatterplot smoothing) is a local regression method.</w:t>
      </w:r>
      <w:r>
        <w:rPr>
          <w:i/>
        </w:rPr>
        <w:t xml:space="preserve">[@FoxSnow:2019]</w:t>
      </w:r>
      <w:r>
        <w:rPr>
          <w:i/>
        </w:rPr>
        <w:t xml:space="preserve"> </w:t>
      </w:r>
      <w:r>
        <w:rPr>
          <w:i/>
        </w:rPr>
        <w:t xml:space="preserve">It combines multiple regression models in a k-nearest neighbours meta-model. This approach allows nonlinear trends to be fitted to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separate estimates of the 2.5% and 97.5% quantiles made understanding this paragraph difficult. We have moved to using</w:t>
      </w:r>
      <w:r>
        <w:rPr>
          <w:i/>
        </w:rPr>
        <w:t xml:space="preserve"> </w:t>
      </w:r>
      <w:r>
        <w:rPr>
          <w:i/>
        </w:rPr>
        <w:t xml:space="preserve">“</w:t>
      </w:r>
      <w:r>
        <w:rPr>
          <w:i/>
        </w:rPr>
        <w:t xml:space="preserve">,</w:t>
      </w:r>
      <w:r>
        <w:rPr>
          <w:i/>
        </w:rPr>
        <w:t xml:space="preserve">”</w:t>
      </w:r>
      <w:r>
        <w:rPr>
          <w:i/>
        </w:rPr>
        <w:t xml:space="preserve"> </w:t>
      </w:r>
      <w:r>
        <w:rPr>
          <w:i/>
        </w:rPr>
        <w:t xml:space="preserve">throughout the paper as this more clearly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 23 per 100,000 in 1983 for the unvaccinated population. In 2013 this would give an incidence rate of ~ 2.6. These very small incidence rates mean that the difference between incidence rates in unvaccinated and vaccinated cases is also very small leading to the spuriously high number need to vaccinate. In comparison a 2% decline would give an inidence rate of ~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decision and agree that analysing recent data may be a more valuable approach for this (see here for a preprint by the authors doing this:</w:t>
      </w:r>
      <w:r>
        <w:rPr>
          <w:i/>
        </w:rPr>
        <w:t xml:space="preserve">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decision making was spuriously precise and made several assumptions that led to what we now know were entirely unrealistic estimates. These findings are important for decision makers to understand when evaluating quantitative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added the age at vaccination (13-14 years old) to the introduction and also discussed vaccination policy post 2005. We have also moved a detailed description of the Sutherland et al. model from the SI into the main paper which covers coverage assumptions etc.</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incorporated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 It is variation in these parameters that we are referring to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f41d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cc4c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c1c8b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355cf0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a4df67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219121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e4e1db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7e8c9f7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b738b21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c66b69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824857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d382624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fd13bc9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2019-09-06T14:18:20Z</dcterms:created>
  <dcterms:modified xsi:type="dcterms:W3CDTF">2019-09-06T14:18:20Z</dcterms:modified>
</cp:coreProperties>
</file>