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an important issue. We have included some of this uncertainty by re-estimating incidence rates for both those BCG vaccinated and unvaccinated. These rates are then used to estimate vaccine efficacy.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As part of ths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Yes the distribution of cases is estimated by age group. We have reformulated these equations for greater clarity (please see the marked up paper). Note that due to paper changes this section of the model has been moved to the SI.</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have separated the reporting of primary and secondary additional notifications to highlight the role of the transmission model.</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 especially the identification of the flaw with the original Sutherland et al. model. Based on them we have corrected the transmission chain model,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and that the definition used in 1. of Sutherland et al. was incorrect. We have corrected the Sutherland model and extended the model explanation to include this.</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We have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reworded the 4th discussion paragraph to provide more context.</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to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however, the cited paper is most recent (by 10 years) and has an improved sample size and improved methods compared to the older paper.</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additional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w:t>
      </w:r>
    </w:p>
    <w:p>
      <w:pPr>
        <w:pStyle w:val="BodyText"/>
      </w:pPr>
      <w:r>
        <w:rPr>
          <w:i/>
        </w:rPr>
        <w:t xml:space="preserve">“</w:t>
      </w:r>
      <w:r>
        <w:rPr>
          <w:i/>
        </w:rPr>
        <w:t xml:space="preserve">LOESS (locally estimated scatterplot smoothing) is a local regression method. It combines multiple regression models in a k-nearest neighbours meta-model. This approach allows nonlinear trends to be fitted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this paragraph unclear.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methodologically flawed,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f82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ff34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5bbed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15924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5fa979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a1606e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e303aa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e8e86e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be22a21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d86752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e7d09a4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a2a0b21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d91371e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2019-10-09T12:04:30Z</dcterms:created>
  <dcterms:modified xsi:type="dcterms:W3CDTF">2019-10-09T12:04:30Z</dcterms:modified>
</cp:coreProperties>
</file>