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81F6B" w14:textId="77777777" w:rsidR="003309E0" w:rsidRDefault="003309E0" w:rsidP="003309E0">
      <w:pPr>
        <w:pStyle w:val="Title"/>
      </w:pPr>
      <w:r>
        <w:t>Reassessing the Evidence for Universal School-age Bacillus Calmette Guerin (BCG) Vaccination in England and Wales</w:t>
      </w:r>
    </w:p>
    <w:p w14:paraId="51FA2F26" w14:textId="77777777" w:rsidR="003309E0" w:rsidRDefault="003309E0" w:rsidP="003309E0">
      <w:pPr>
        <w:pStyle w:val="Author"/>
      </w:pPr>
      <w:r>
        <w:t>Sam Abbott, Hannah Christensen, Ellen Brooks-Pollock</w:t>
      </w:r>
    </w:p>
    <w:p w14:paraId="5885A4FF" w14:textId="77777777" w:rsidR="003309E0" w:rsidRDefault="003309E0" w:rsidP="003309E0">
      <w:pPr>
        <w:pStyle w:val="FirstParagraph"/>
      </w:pPr>
      <w:bookmarkStart w:id="0" w:name="_GoBack"/>
      <w:bookmarkEnd w:id="0"/>
      <w:r>
        <w:rPr>
          <w:b/>
        </w:rPr>
        <w:t>Authors:</w:t>
      </w:r>
    </w:p>
    <w:p w14:paraId="1A17A1B5" w14:textId="77777777" w:rsidR="003309E0" w:rsidRDefault="003309E0" w:rsidP="003309E0">
      <w:pPr>
        <w:pStyle w:val="BodyText"/>
      </w:pPr>
      <w:r>
        <w:t>Sam Abbott, Bristol Medical School: Population Health Sciences, University of Bristol, Bristol, UK</w:t>
      </w:r>
    </w:p>
    <w:p w14:paraId="17A352C8" w14:textId="77777777" w:rsidR="003309E0" w:rsidRDefault="003309E0" w:rsidP="003309E0">
      <w:pPr>
        <w:pStyle w:val="BodyText"/>
      </w:pPr>
      <w:r>
        <w:t>Hannah Christensen, Bristol Medical School: Population Health Sciences, University of Bristol, Bristol, UK</w:t>
      </w:r>
    </w:p>
    <w:p w14:paraId="6FAB74B5" w14:textId="77777777" w:rsidR="003309E0" w:rsidRDefault="003309E0" w:rsidP="003309E0">
      <w:pPr>
        <w:pStyle w:val="BodyText"/>
      </w:pPr>
      <w:r>
        <w:t>Ellen Brooks-Pollock, Bristol Medical School: Population Health Sciences, University of Bristol, Bristol, UK</w:t>
      </w:r>
    </w:p>
    <w:p w14:paraId="1FA92A7C" w14:textId="77777777" w:rsidR="003309E0" w:rsidRDefault="003309E0" w:rsidP="003309E0">
      <w:pPr>
        <w:pStyle w:val="BodyText"/>
      </w:pPr>
      <w:r>
        <w:rPr>
          <w:b/>
        </w:rPr>
        <w:t>Correspondence to:</w:t>
      </w:r>
      <w:r>
        <w:t xml:space="preserve"> Sam Abbott, Bristol Medical School: Population Health Sciences, University of Bristol, Bristol BS8 2BN, UK; </w:t>
      </w:r>
      <w:hyperlink r:id="rId5">
        <w:r>
          <w:rPr>
            <w:rStyle w:val="Hyperlink"/>
          </w:rPr>
          <w:t>sam.abbott@bristol.ac.uk</w:t>
        </w:r>
      </w:hyperlink>
      <w:r>
        <w:t>; 01173310185</w:t>
      </w:r>
    </w:p>
    <w:p w14:paraId="37CF8BB9" w14:textId="77777777" w:rsidR="003309E0" w:rsidRDefault="003309E0" w:rsidP="003309E0">
      <w:pPr>
        <w:pStyle w:val="BodyText"/>
      </w:pPr>
      <w:r>
        <w:rPr>
          <w:b/>
        </w:rPr>
        <w:t>Words:</w:t>
      </w:r>
      <w:r>
        <w:t xml:space="preserve"> </w:t>
      </w:r>
      <w:r>
        <w:rPr>
          <w:i/>
        </w:rPr>
        <w:t>Title:</w:t>
      </w:r>
      <w:r>
        <w:t xml:space="preserve"> 15 </w:t>
      </w:r>
      <w:r>
        <w:rPr>
          <w:i/>
        </w:rPr>
        <w:t>Abstract:</w:t>
      </w:r>
      <w:r>
        <w:t xml:space="preserve"> 250 </w:t>
      </w:r>
      <w:r>
        <w:rPr>
          <w:i/>
        </w:rPr>
        <w:t>Paper:</w:t>
      </w:r>
      <w:r>
        <w:t xml:space="preserve"> 2885</w:t>
      </w:r>
    </w:p>
    <w:p w14:paraId="30300649" w14:textId="77777777" w:rsidR="003309E0" w:rsidRDefault="003309E0" w:rsidP="003309E0">
      <w:pPr>
        <w:pStyle w:val="Heading1"/>
      </w:pPr>
      <w:bookmarkStart w:id="1" w:name="what-is-already-known-on-this-subject"/>
      <w:bookmarkEnd w:id="1"/>
      <w:r>
        <w:t>What is already known on this subject</w:t>
      </w:r>
    </w:p>
    <w:p w14:paraId="3D6DDC56" w14:textId="77777777" w:rsidR="003309E0" w:rsidRDefault="003309E0" w:rsidP="003309E0">
      <w:pPr>
        <w:numPr>
          <w:ilvl w:val="0"/>
          <w:numId w:val="1"/>
        </w:numPr>
      </w:pPr>
      <w:r>
        <w:t>Targeted Bacillus Calmette Guerin (BCG) vaccination against TB is recommended in low incidence countries over universal vaccination.</w:t>
      </w:r>
    </w:p>
    <w:p w14:paraId="3AAAA376" w14:textId="77777777" w:rsidR="003309E0" w:rsidRDefault="003309E0" w:rsidP="003309E0">
      <w:pPr>
        <w:numPr>
          <w:ilvl w:val="0"/>
          <w:numId w:val="1"/>
        </w:numPr>
      </w:pPr>
      <w:r>
        <w:t xml:space="preserve">The impact of replacing universal BCG vaccination in England and Wales with a targeted </w:t>
      </w:r>
      <w:proofErr w:type="spellStart"/>
      <w:r>
        <w:t>programme</w:t>
      </w:r>
      <w:proofErr w:type="spellEnd"/>
      <w:r>
        <w:t xml:space="preserve"> in 2005 was assessed under the assumption of static declines in TB rates.</w:t>
      </w:r>
    </w:p>
    <w:p w14:paraId="3F4DC600" w14:textId="77777777" w:rsidR="003309E0" w:rsidRDefault="003309E0" w:rsidP="003309E0">
      <w:pPr>
        <w:numPr>
          <w:ilvl w:val="0"/>
          <w:numId w:val="1"/>
        </w:numPr>
      </w:pPr>
      <w:r>
        <w:t>The BCG Guerin vaccine was shown to be effective in the UK born in England, regardless of the age at which it was given. School-age vaccination maybe more beneficial in this population than in other settings.</w:t>
      </w:r>
    </w:p>
    <w:p w14:paraId="25B1C990" w14:textId="77777777" w:rsidR="003309E0" w:rsidRDefault="003309E0" w:rsidP="003309E0">
      <w:pPr>
        <w:pStyle w:val="Heading1"/>
      </w:pPr>
      <w:bookmarkStart w:id="2" w:name="what-this-study-adds"/>
      <w:bookmarkEnd w:id="2"/>
      <w:r>
        <w:t>What this study adds</w:t>
      </w:r>
    </w:p>
    <w:p w14:paraId="308E71CE" w14:textId="77777777" w:rsidR="003309E0" w:rsidRDefault="003309E0" w:rsidP="003309E0">
      <w:pPr>
        <w:numPr>
          <w:ilvl w:val="0"/>
          <w:numId w:val="1"/>
        </w:numPr>
      </w:pPr>
      <w:r>
        <w:t>Using notification data from England and Wales from 1973 to 2015, we estimate that the ending the BCG schools’ scheme likely resulted in more additional cases than was predicted.</w:t>
      </w:r>
    </w:p>
    <w:p w14:paraId="63B0B32A" w14:textId="77777777" w:rsidR="003309E0" w:rsidRDefault="003309E0" w:rsidP="003309E0">
      <w:pPr>
        <w:numPr>
          <w:ilvl w:val="0"/>
          <w:numId w:val="1"/>
        </w:numPr>
      </w:pPr>
      <w:r>
        <w:t>The inclusion of parameter uncertainty, and measurement error, allowed the uncertainty in the final estimates to be presented. Previously published estimates may have been spuriously precise.</w:t>
      </w:r>
    </w:p>
    <w:p w14:paraId="0CD64F77" w14:textId="77777777" w:rsidR="003309E0" w:rsidRDefault="003309E0" w:rsidP="003309E0">
      <w:pPr>
        <w:numPr>
          <w:ilvl w:val="0"/>
          <w:numId w:val="1"/>
        </w:numPr>
      </w:pPr>
      <w:r>
        <w:t>This study highlights the need for a more detailed evaluation of the 2005 change in BCG policy. In particular, the impact of including the introduction of targeted neonatal vaccination and capturing the long term, indirect, effects needs further study.</w:t>
      </w:r>
    </w:p>
    <w:p w14:paraId="14B34FB7" w14:textId="77777777" w:rsidR="003309E0" w:rsidRDefault="003309E0" w:rsidP="003309E0">
      <w:pPr>
        <w:pStyle w:val="Heading1"/>
      </w:pPr>
      <w:bookmarkStart w:id="3" w:name="introduction"/>
      <w:bookmarkEnd w:id="3"/>
      <w:r>
        <w:lastRenderedPageBreak/>
        <w:t>Abstract</w:t>
      </w:r>
    </w:p>
    <w:p w14:paraId="3E05DDE5" w14:textId="77777777" w:rsidR="003309E0" w:rsidRDefault="003309E0" w:rsidP="003309E0">
      <w:pPr>
        <w:pStyle w:val="Heading2"/>
      </w:pPr>
      <w:bookmarkStart w:id="4" w:name="background"/>
      <w:bookmarkEnd w:id="4"/>
      <w:r>
        <w:t>Background</w:t>
      </w:r>
    </w:p>
    <w:p w14:paraId="021E7FCC" w14:textId="77777777" w:rsidR="003309E0" w:rsidRDefault="003309E0" w:rsidP="003309E0">
      <w:pPr>
        <w:pStyle w:val="FirstParagraph"/>
      </w:pPr>
      <w:r>
        <w:t>In 2005, England and Wales switched from universal BCG vaccination against tuberculosis (TB) disease for school-age children to targeted vaccination of neonates. We assessed the quantitative evidence that informed this policy change.</w:t>
      </w:r>
    </w:p>
    <w:p w14:paraId="67197446" w14:textId="77777777" w:rsidR="003309E0" w:rsidRDefault="003309E0" w:rsidP="003309E0">
      <w:pPr>
        <w:pStyle w:val="Heading2"/>
      </w:pPr>
      <w:bookmarkStart w:id="5" w:name="methods-1"/>
      <w:bookmarkEnd w:id="5"/>
      <w:r>
        <w:t>Methods</w:t>
      </w:r>
    </w:p>
    <w:p w14:paraId="568E7FFE" w14:textId="77777777" w:rsidR="003309E0" w:rsidRDefault="003309E0" w:rsidP="003309E0">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w:t>
      </w:r>
      <w:proofErr w:type="spellStart"/>
      <w:r>
        <w:t>Immunisation</w:t>
      </w:r>
      <w:proofErr w:type="spellEnd"/>
      <w:r>
        <w:t>, and explored new approaches using notification data. We estimated the number of vaccines needed to prevent a single notification, and the average annual additional notifications caused by ending the BCG schools’ scheme.</w:t>
      </w:r>
    </w:p>
    <w:p w14:paraId="33D10698" w14:textId="77777777" w:rsidR="003309E0" w:rsidRDefault="003309E0" w:rsidP="003309E0">
      <w:pPr>
        <w:pStyle w:val="Heading2"/>
      </w:pPr>
      <w:bookmarkStart w:id="6" w:name="results-1"/>
      <w:bookmarkEnd w:id="6"/>
      <w:r>
        <w:t>Results</w:t>
      </w:r>
    </w:p>
    <w:p w14:paraId="74F6CE75" w14:textId="77777777" w:rsidR="003309E0" w:rsidRDefault="003309E0" w:rsidP="003309E0">
      <w:pPr>
        <w:pStyle w:val="FirstParagraph"/>
      </w:pPr>
      <w:r>
        <w:t>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14:paraId="3B5B4528" w14:textId="77777777" w:rsidR="003309E0" w:rsidRDefault="003309E0" w:rsidP="003309E0">
      <w:pPr>
        <w:pStyle w:val="Heading2"/>
      </w:pPr>
      <w:bookmarkStart w:id="7" w:name="conclusions"/>
      <w:bookmarkEnd w:id="7"/>
      <w:r>
        <w:t>Conclusions</w:t>
      </w:r>
    </w:p>
    <w:p w14:paraId="164940E1" w14:textId="3778E3AD" w:rsidR="007F40B9" w:rsidRDefault="003309E0" w:rsidP="003309E0">
      <w:r>
        <w:t xml:space="preserve">Our estimates of the impact of ending the BCG schools’ scheme were highly sensitive to the annual decrease in incidence rates. The impact of ending the BCG schools’ scheme was found to be greater than previously thought when parameter values were </w:t>
      </w:r>
      <w:proofErr w:type="gramStart"/>
      <w:r>
        <w:t>updated</w:t>
      </w:r>
      <w:proofErr w:type="gramEnd"/>
      <w:r>
        <w:t xml:space="preserve"> and notification data were used. Our results highlight the importance of including uncertainty when forecasting</w:t>
      </w:r>
    </w:p>
    <w:sectPr w:rsidR="007F40B9" w:rsidSect="004F478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E0"/>
    <w:rsid w:val="003309E0"/>
    <w:rsid w:val="004F4783"/>
    <w:rsid w:val="005D082B"/>
    <w:rsid w:val="00737012"/>
    <w:rsid w:val="00BB6A8C"/>
    <w:rsid w:val="00C60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29C80F"/>
  <w14:defaultImageDpi w14:val="32767"/>
  <w15:chartTrackingRefBased/>
  <w15:docId w15:val="{60BB94D4-A4A7-1840-8D22-454C96AD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09E0"/>
    <w:pPr>
      <w:spacing w:after="200"/>
    </w:pPr>
    <w:rPr>
      <w:lang w:val="en-US"/>
    </w:rPr>
  </w:style>
  <w:style w:type="paragraph" w:styleId="Heading1">
    <w:name w:val="heading 1"/>
    <w:basedOn w:val="Normal"/>
    <w:next w:val="BodyText"/>
    <w:link w:val="Heading1Char"/>
    <w:uiPriority w:val="9"/>
    <w:qFormat/>
    <w:rsid w:val="003309E0"/>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3309E0"/>
    <w:pPr>
      <w:keepNext/>
      <w:keepLines/>
      <w:spacing w:before="200" w:after="0"/>
      <w:outlineLvl w:val="1"/>
    </w:pPr>
    <w:rPr>
      <w:rFonts w:asciiTheme="majorHAnsi" w:eastAsiaTheme="majorEastAsia" w:hAnsiTheme="majorHAnsi" w:cstheme="majorBidi"/>
      <w:b/>
      <w:bCs/>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E0"/>
    <w:rPr>
      <w:rFonts w:asciiTheme="majorHAnsi" w:eastAsiaTheme="majorEastAsia" w:hAnsiTheme="majorHAnsi" w:cstheme="majorBidi"/>
      <w:b/>
      <w:bCs/>
      <w:color w:val="000000" w:themeColor="text1"/>
      <w:sz w:val="28"/>
      <w:szCs w:val="32"/>
      <w:lang w:val="en-US"/>
    </w:rPr>
  </w:style>
  <w:style w:type="character" w:customStyle="1" w:styleId="Heading2Char">
    <w:name w:val="Heading 2 Char"/>
    <w:basedOn w:val="DefaultParagraphFont"/>
    <w:link w:val="Heading2"/>
    <w:uiPriority w:val="9"/>
    <w:rsid w:val="003309E0"/>
    <w:rPr>
      <w:rFonts w:asciiTheme="majorHAnsi" w:eastAsiaTheme="majorEastAsia" w:hAnsiTheme="majorHAnsi" w:cstheme="majorBidi"/>
      <w:b/>
      <w:bCs/>
      <w:color w:val="000000" w:themeColor="text1"/>
      <w:szCs w:val="32"/>
      <w:lang w:val="en-US"/>
    </w:rPr>
  </w:style>
  <w:style w:type="paragraph" w:styleId="BodyText">
    <w:name w:val="Body Text"/>
    <w:basedOn w:val="Normal"/>
    <w:link w:val="BodyTextChar"/>
    <w:qFormat/>
    <w:rsid w:val="003309E0"/>
    <w:pPr>
      <w:spacing w:before="180" w:after="180"/>
    </w:pPr>
  </w:style>
  <w:style w:type="character" w:customStyle="1" w:styleId="BodyTextChar">
    <w:name w:val="Body Text Char"/>
    <w:basedOn w:val="DefaultParagraphFont"/>
    <w:link w:val="BodyText"/>
    <w:rsid w:val="003309E0"/>
    <w:rPr>
      <w:lang w:val="en-US"/>
    </w:rPr>
  </w:style>
  <w:style w:type="paragraph" w:customStyle="1" w:styleId="FirstParagraph">
    <w:name w:val="First Paragraph"/>
    <w:basedOn w:val="BodyText"/>
    <w:next w:val="BodyText"/>
    <w:qFormat/>
    <w:rsid w:val="003309E0"/>
  </w:style>
  <w:style w:type="paragraph" w:styleId="Title">
    <w:name w:val="Title"/>
    <w:basedOn w:val="Normal"/>
    <w:next w:val="BodyText"/>
    <w:link w:val="TitleChar"/>
    <w:qFormat/>
    <w:rsid w:val="003309E0"/>
    <w:pPr>
      <w:keepNext/>
      <w:keepLines/>
      <w:spacing w:before="480" w:after="240"/>
      <w:jc w:val="center"/>
    </w:pPr>
    <w:rPr>
      <w:rFonts w:asciiTheme="majorHAnsi" w:eastAsiaTheme="majorEastAsia" w:hAnsiTheme="majorHAnsi" w:cstheme="majorBidi"/>
      <w:b/>
      <w:bCs/>
      <w:color w:val="000000" w:themeColor="text1"/>
      <w:sz w:val="32"/>
      <w:szCs w:val="36"/>
    </w:rPr>
  </w:style>
  <w:style w:type="character" w:customStyle="1" w:styleId="TitleChar">
    <w:name w:val="Title Char"/>
    <w:basedOn w:val="DefaultParagraphFont"/>
    <w:link w:val="Title"/>
    <w:rsid w:val="003309E0"/>
    <w:rPr>
      <w:rFonts w:asciiTheme="majorHAnsi" w:eastAsiaTheme="majorEastAsia" w:hAnsiTheme="majorHAnsi" w:cstheme="majorBidi"/>
      <w:b/>
      <w:bCs/>
      <w:color w:val="000000" w:themeColor="text1"/>
      <w:sz w:val="32"/>
      <w:szCs w:val="36"/>
      <w:lang w:val="en-US"/>
    </w:rPr>
  </w:style>
  <w:style w:type="paragraph" w:customStyle="1" w:styleId="Author">
    <w:name w:val="Author"/>
    <w:next w:val="BodyText"/>
    <w:qFormat/>
    <w:rsid w:val="003309E0"/>
    <w:pPr>
      <w:keepNext/>
      <w:keepLines/>
      <w:spacing w:after="200"/>
      <w:jc w:val="center"/>
    </w:pPr>
    <w:rPr>
      <w:lang w:val="en-US"/>
    </w:rPr>
  </w:style>
  <w:style w:type="character" w:styleId="Hyperlink">
    <w:name w:val="Hyperlink"/>
    <w:basedOn w:val="DefaultParagraphFont"/>
    <w:rsid w:val="003309E0"/>
    <w:rPr>
      <w:color w:val="4472C4" w:themeColor="accent1"/>
    </w:rPr>
  </w:style>
  <w:style w:type="character" w:customStyle="1" w:styleId="apple-converted-space">
    <w:name w:val="apple-converted-space"/>
    <w:basedOn w:val="DefaultParagraphFont"/>
    <w:rsid w:val="0033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bbott@bristo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1</cp:revision>
  <dcterms:created xsi:type="dcterms:W3CDTF">2019-05-01T15:46:00Z</dcterms:created>
  <dcterms:modified xsi:type="dcterms:W3CDTF">2019-05-01T15:46:00Z</dcterms:modified>
</cp:coreProperties>
</file>