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3.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250</w:t>
      </w:r>
      <w:r>
        <w:t xml:space="preserve"> </w:t>
      </w:r>
      <w:r>
        <w:rPr>
          <w:i/>
        </w:rPr>
        <w:t xml:space="preserve">Paper:</w:t>
      </w:r>
      <w:r>
        <w:t xml:space="preserve"> </w:t>
      </w:r>
      <w:r>
        <w:t xml:space="preserve">2911</w:t>
      </w:r>
    </w:p>
    <w:p>
      <w:pPr>
        <w:pStyle w:val="Heading1"/>
      </w:pPr>
      <w:bookmarkStart w:id="22" w:name="what-is-already-known-on-this-subject"/>
      <w:bookmarkEnd w:id="22"/>
      <w:r>
        <w:t xml:space="preserve">What is already known on this subject</w:t>
      </w:r>
    </w:p>
    <w:p>
      <w:pPr>
        <w:numPr>
          <w:numId w:val="1001"/>
          <w:ilvl w:val="0"/>
        </w:numPr>
      </w:pPr>
      <w:r>
        <w:t xml:space="preserve">Universal Bacillus Calmette Guerin (BCG) vaccination against TB has been withdrawn from most low incidence countries in favour of selective vaccination of high-risk groups</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making full use of the available surveillance data; and capturing the long term, indirect, effects needs further study.</w:t>
      </w:r>
    </w:p>
    <w:p>
      <w:pPr>
        <w:pStyle w:val="Heading1"/>
      </w:pPr>
      <w:bookmarkStart w:id="24" w:name="introduction"/>
      <w:bookmarkEnd w:id="24"/>
      <w:r>
        <w:t xml:space="preserve">Introduction</w:t>
      </w:r>
    </w:p>
    <w:p>
      <w:pPr>
        <w:pStyle w:val="FirstParagraph"/>
      </w:pPr>
      <w:r>
        <w:t xml:space="preserve">Whilst Tuberculosis (TB) incidence rates were the lowest on record in England and Wales in 2017,</w:t>
      </w:r>
      <w:r>
        <w:t xml:space="preserve">[1]</w:t>
      </w:r>
      <w:r>
        <w:t xml:space="preserve"> </w:t>
      </w:r>
      <w:r>
        <w:t xml:space="preserve">they remain high for a developed nation. The Bacillus Calmette–Guérin (BCG) vaccine remains the only licensed vaccine for use against TB, although its use globally is controversial due to evidence of variable effectiveness,</w:t>
      </w:r>
      <w:r>
        <w:t xml:space="preserve">[2]</w:t>
      </w:r>
      <w:r>
        <w:t xml:space="preserve"> </w:t>
      </w:r>
      <w:r>
        <w:t xml:space="preserve">and waning protection 10-15 years after vaccination.</w:t>
      </w:r>
      <w:r>
        <w:t xml:space="preserve">[3]</w:t>
      </w:r>
      <w:r>
        <w:t xml:space="preserve"> </w:t>
      </w:r>
      <w:r>
        <w:t xml:space="preserve">Global usage of the BCG varies between no vaccination, universal vaccination, and high-risk group vaccination and may target either neonates or school-aged children.</w:t>
      </w:r>
      <w:r>
        <w:t xml:space="preserve">[4,5]</w:t>
      </w:r>
      <w:r>
        <w:t xml:space="preserve"> </w:t>
      </w:r>
      <w:r>
        <w:t xml:space="preserve">In 2005, England and Wales changed from a policy of universal vaccination of those at school-age to targeted vaccination of neonates. 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[6]</w:t>
      </w:r>
      <w:r>
        <w:t xml:space="preserve"> </w:t>
      </w:r>
      <w:r>
        <w:t xml:space="preserve">This recommendation is based on the strong evidence that the BCG is highly protective in children,</w:t>
      </w:r>
      <w:r>
        <w:t xml:space="preserve">[7,8]</w:t>
      </w:r>
      <w:r>
        <w:t xml:space="preserve"> </w:t>
      </w:r>
      <w:r>
        <w:t xml:space="preserve">whilst its effectiveness has been shown to vary with latitude when given later in life.</w:t>
      </w:r>
      <w:r>
        <w:t xml:space="preserve">[9]</w:t>
      </w:r>
      <w:r>
        <w:t xml:space="preserve"> </w:t>
      </w:r>
      <w:r>
        <w:t xml:space="preserve">In England and Wales, universal school-aged vaccination was introduced after a MRC trial in the 1950s estimated BCG’s effectiveness at 80% in the ethnic White UK born population.</w:t>
      </w:r>
      <w:r>
        <w:t xml:space="preserve">[10]</w:t>
      </w:r>
      <w:r>
        <w:t xml:space="preserve"> </w:t>
      </w:r>
      <w:r>
        <w:t xml:space="preserve">The 2005 change in BCG vaccination policy was motivated by evidence of decreased transmission of TB, an increasing proportion of TB cases occurring in the non-UK born,</w:t>
      </w:r>
      <w:r>
        <w:t xml:space="preserve">[11]</w:t>
      </w:r>
      <w:r>
        <w:t xml:space="preserve"> </w:t>
      </w:r>
      <w:r>
        <w:t xml:space="preserve">and modelling evidence that suggested stopping the BCG schools’ scheme would have minimal long term effects on incidence rates.</w:t>
      </w:r>
      <w:r>
        <w:t xml:space="preserve">[12]</w:t>
      </w:r>
    </w:p>
    <w:p>
      <w:pPr>
        <w:pStyle w:val="BodyText"/>
      </w:pPr>
      <w:r>
        <w:t xml:space="preserve">In 1987, an assessment of the school-age vaccination program was carried out in England and Wales.</w:t>
      </w:r>
      <w:r>
        <w:t xml:space="preserve">[12]</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[13,14]</w:t>
      </w:r>
      <w:r>
        <w:t xml:space="preserve"> </w:t>
      </w:r>
      <w:r>
        <w:t xml:space="preserve">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pPr>
        <w:pStyle w:val="Heading1"/>
      </w:pPr>
      <w:bookmarkStart w:id="25" w:name="methods"/>
      <w:bookmarkEnd w:id="25"/>
      <w:r>
        <w:t xml:space="preserve">Methods</w:t>
      </w:r>
    </w:p>
    <w:p>
      <w:pPr>
        <w:pStyle w:val="Heading2"/>
      </w:pPr>
      <w:bookmarkStart w:id="26" w:name="modelling-the-impact-of-ending-the-bcg-schools-scheme"/>
      <w:bookmarkEnd w:id="26"/>
      <w:r>
        <w:t xml:space="preserve">Modelling the impact of ending the BCG schools’ scheme</w:t>
      </w:r>
    </w:p>
    <w:p>
      <w:pPr>
        <w:pStyle w:val="FirstParagraph"/>
      </w:pPr>
      <w:r>
        <w:t xml:space="preserve">We implemented Sutherland et al.’s model for estimating the impact of ending the BCG schools’ scheme.</w:t>
      </w:r>
      <w:r>
        <w:t xml:space="preserve">[12]</w:t>
      </w:r>
      <w:r>
        <w:t xml:space="preserve"> </w:t>
      </w:r>
      <w:r>
        <w:t xml:space="preserve">This model was based on data from TB notification surveys conducted in 1973, 1978, and 1983.</w:t>
      </w:r>
      <w:r>
        <w:t xml:space="preserve">[15]</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supplementary information).</w:t>
      </w:r>
      <w:r>
        <w:t xml:space="preserve">[12,16]</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pPr>
        <w:pStyle w:val="Compact"/>
        <w:numPr>
          <w:numId w:val="1003"/>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sSubSup>
            <m:e>
              <m:r>
                <m:t>R</m:t>
              </m:r>
            </m:e>
            <m:sub>
              <m:r>
                <m:t>0</m:t>
              </m:r>
            </m:sub>
            <m:sup>
              <m:r>
                <m:t>z</m:t>
              </m:r>
            </m:sup>
          </m:sSubSup>
          <m:r>
            <m:t>=</m:t>
          </m:r>
          <m:r>
            <m:t>(</m:t>
          </m:r>
          <m:r>
            <m:t>1</m:t>
          </m:r>
          <m:r>
            <m:t>−</m:t>
          </m:r>
          <m:r>
            <m:t>d</m:t>
          </m:r>
          <m:sSup>
            <m:e>
              <m:r>
                <m:t>)</m:t>
              </m:r>
            </m:e>
            <m:sup>
              <m:r>
                <m:t>z</m:t>
              </m:r>
            </m:sup>
          </m:sSup>
          <m:r>
            <m:t>&lt;</m:t>
          </m:r>
          <m:r>
            <m:t>1</m:t>
          </m:r>
        </m:oMath>
      </m:oMathPara>
    </w:p>
    <w:p>
      <w:pPr>
        <w:pStyle w:val="FirstParagraph"/>
      </w:pPr>
      <w:r>
        <w:t xml:space="preserve">Where</w:t>
      </w:r>
      <w:r>
        <w:t xml:space="preserve"> </w:t>
      </w:r>
      <m:oMath>
        <m:sSub>
          <m:e>
            <m:r>
              <m:t>R</m:t>
            </m:r>
          </m:e>
          <m:sub>
            <m:r>
              <m:t>0</m:t>
            </m:r>
          </m:sub>
        </m:sSub>
      </m:oMath>
      <w:r>
        <w:t xml:space="preserve"> </w:t>
      </w:r>
      <w:r>
        <w:t xml:space="preserve">is the expected number of secondary cases produced by a single infection in a completely susceptible population,</w:t>
      </w:r>
      <w:r>
        <w:t xml:space="preserve">[17]</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4"/>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FirstParagraph"/>
      </w:pPr>
      <w:r>
        <w:t xml:space="preserve">3. 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BodyText"/>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Implementing the model required several assumptions not detailed in</w:t>
      </w:r>
      <w:r>
        <w:t xml:space="preserve"> </w:t>
      </w:r>
      <w:r>
        <w:t xml:space="preserve">[12]</w:t>
      </w:r>
      <w:r>
        <w:t xml:space="preserve">.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m:t>f</m:t>
        </m:r>
      </m:oMath>
      <w:r>
        <w:t xml:space="preserve">). The distribution of secondary cases (</w:t>
      </w:r>
      <m:oMath>
        <m:r>
          <m:t>N</m:t>
        </m:r>
      </m:oMath>
      <w:r>
        <w:t xml:space="preserve">) was then modelled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sSup>
            <m:e>
              <m:r>
                <m:t>d</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 and</w:t>
      </w:r>
      <w:r>
        <w:t xml:space="preserve"> </w:t>
      </w:r>
      <m:oMath>
        <m:r>
          <m:t>i</m:t>
        </m:r>
      </m:oMath>
      <w:r>
        <w:t xml:space="preserve"> </w:t>
      </w:r>
      <w:r>
        <w:t xml:space="preserve">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pPr>
        <w:pStyle w:val="Heading2"/>
      </w:pPr>
      <w:bookmarkStart w:id="27" w:name="updating-model-parameter-estimates"/>
      <w:bookmarkEnd w:id="27"/>
      <w:r>
        <w:t xml:space="preserve">Updating model parameter estimates</w:t>
      </w:r>
    </w:p>
    <w:p>
      <w:pPr>
        <w:pStyle w:val="FirstParagraph"/>
      </w:pPr>
      <w:r>
        <w:t xml:space="preserve">Incidence rates were included as point estimates in</w:t>
      </w:r>
      <w:r>
        <w:t xml:space="preserve"> </w:t>
      </w:r>
      <w:r>
        <w:t xml:space="preserve">[12]</w:t>
      </w:r>
      <w:r>
        <w:t xml:space="preserve">; in our updated model we included uncertainty in these rates. We estimated notifications for 1973, 1978, and 1983, using published incidence rates and population estimates. Samples were then generated using a Poisson distribution.</w:t>
      </w:r>
      <w:r>
        <w:t xml:space="preserve">[12,15]</w:t>
      </w:r>
      <w:r>
        <w:t xml:space="preserve"> </w:t>
      </w:r>
      <w:r>
        <w:t xml:space="preserve">These samples were then used to estimate a distribution of incidence rates. Sutherland et al. assumed a serial interval of 2 years between linked infections. We updated this assumption using an estimate from a recent study in the Netherlands of 1.44 (95% CI 1.29 to 1.63) years.</w:t>
      </w:r>
      <w:r>
        <w:t xml:space="preserve">[18]</w:t>
      </w:r>
    </w:p>
    <w:p>
      <w:pPr>
        <w:pStyle w:val="BodyText"/>
      </w:pPr>
      <w:r>
        <w:t xml:space="preserve">We considered the original assumption of a 9% annual decrease in incidence rates as well as three scenarios based on those considered by the JVCI BCG subgroup:</w:t>
      </w:r>
      <w:r>
        <w:t xml:space="preserve">[13,14]</w:t>
      </w:r>
      <w:r>
        <w:t xml:space="preserve"> </w:t>
      </w:r>
      <w:r>
        <w:t xml:space="preserve">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[19]</w:t>
      </w:r>
      <w:r>
        <w:t xml:space="preserve"> </w:t>
      </w:r>
      <w:r>
        <w:t xml:space="preserve">The second proxy used was the annual decrease in the UK born age-specific incidence rates in the English population. These were calculated using notification data from the Enhanced Tuberculosis surveillance system (ETS) and the June Labour Force Survey.</w:t>
      </w:r>
      <w:r>
        <w:t xml:space="preserve">[11]</w:t>
      </w:r>
      <w:r>
        <w:t xml:space="preserve"> </w:t>
      </w:r>
      <w:r>
        <w:t xml:space="preserve">Incidence rates (with SDs) were estimated using the epiR package.</w:t>
      </w:r>
      <w:r>
        <w:t xml:space="preserve">[20]</w:t>
      </w:r>
      <w:r>
        <w:t xml:space="preserve">.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w:t>
      </w:r>
      <w:r>
        <w:t xml:space="preserve"> </w:t>
      </w:r>
      <w:r>
        <w:t xml:space="preserve">[12]</w:t>
      </w:r>
      <w:r>
        <w:t xml:space="preserve">,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28" w:name="statistical-analysis"/>
      <w:bookmarkEnd w:id="28"/>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[12]</w:t>
      </w:r>
      <w:r>
        <w:t xml:space="preserve"> </w:t>
      </w:r>
      <w:r>
        <w:t xml:space="preserve">a 15 year time horizon was used with 5 year intervals. The year closest to the year of the change in vaccination policy (2005), which had model estimates, was used as the baseline.</w:t>
      </w:r>
    </w:p>
    <w:p>
      <w:pPr>
        <w:pStyle w:val="Heading1"/>
      </w:pPr>
      <w:bookmarkStart w:id="29" w:name="results"/>
      <w:bookmarkEnd w:id="29"/>
      <w:r>
        <w:t xml:space="preserve">Results</w:t>
      </w:r>
    </w:p>
    <w:p>
      <w:pPr>
        <w:pStyle w:val="Heading2"/>
      </w:pPr>
      <w:bookmarkStart w:id="30" w:name="model-validation"/>
      <w:bookmarkEnd w:id="30"/>
      <w:r>
        <w:t xml:space="preserve">Model validation</w:t>
      </w:r>
    </w:p>
    <w:p>
      <w:pPr>
        <w:pStyle w:val="FirstParagraph"/>
      </w:pPr>
      <w:r>
        <w:t xml:space="preserve">Our model produced results that were comparable with those from</w:t>
      </w:r>
      <w:r>
        <w:t xml:space="preserve"> </w:t>
      </w:r>
      <w:r>
        <w:t xml:space="preserve">[12]</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w:t>
      </w:r>
      <w:r>
        <w:t xml:space="preserve"> </w:t>
      </w:r>
      <w:r>
        <w:t xml:space="preserve">[12]</w:t>
      </w:r>
      <w:r>
        <w:t xml:space="preserve">.</w:t>
      </w:r>
    </w:p>
    <w:p>
      <w:pPr>
        <w:pStyle w:val="Heading2"/>
      </w:pPr>
      <w:bookmarkStart w:id="31" w:name="annual-change-in-tb-incidence-rates"/>
      <w:bookmarkEnd w:id="31"/>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t>
      </w:r>
    </w:p>
    <w:p>
      <w:pPr>
        <w:pStyle w:val="Heading2"/>
      </w:pPr>
      <w:bookmarkStart w:id="32" w:name="vaccines-required-to-prevent-a-single-notification"/>
      <w:bookmarkEnd w:id="32"/>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pPr>
        <w:pStyle w:val="FigureWithCaption"/>
      </w:pPr>
      <w:r>
        <w:drawing>
          <wp:inline>
            <wp:extent cx="5943600" cy="4457700"/>
            <wp:effectExtent b="0" l="0" r="0" t="0"/>
            <wp:docPr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34" w:name="average-annual-additional-cases-from-ending-the-bcg-schools-scheme-at-various-dates"/>
      <w:bookmarkEnd w:id="3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pPr>
        <w:pStyle w:val="FigureWithCaption"/>
      </w:pPr>
      <w:r>
        <w:drawing>
          <wp:inline>
            <wp:extent cx="5943600" cy="4457700"/>
            <wp:effectExtent b="0" l="0" r="0" t="0"/>
            <wp:docPr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36" w:name="discussion"/>
      <w:bookmarkEnd w:id="3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[21]</w:t>
      </w:r>
      <w:r>
        <w:t xml:space="preserve"> </w:t>
      </w:r>
      <w:r>
        <w:t xml:space="preserve">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[22]</w:t>
      </w:r>
      <w:r>
        <w:t xml:space="preserve"> </w:t>
      </w:r>
      <w:r>
        <w:t xml:space="preserve">highlighting the importance of considering the BCG vaccines reduced effectiveness near the equator when determining vaccination policy.</w:t>
      </w:r>
      <w:r>
        <w:t xml:space="preserve">[23]</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[22,24]</w:t>
      </w:r>
      <w:r>
        <w:t xml:space="preserve"> </w:t>
      </w:r>
      <w:r>
        <w:t xml:space="preserve">There is some evidence that targeted vaccination of high risk neonates maybe more cost effective than universal vaccination of neonates.</w:t>
      </w:r>
      <w:r>
        <w:t xml:space="preserve">[25,26]</w:t>
      </w:r>
      <w:r>
        <w:t xml:space="preserve"> </w:t>
      </w:r>
      <w:r>
        <w:t xml:space="preserve">However, a study in Sweden found that incidence rates in Swedish-born children increased slightly after universal vaccination of neonates was discontinued in favour of targeted vaccination.</w:t>
      </w:r>
      <w:r>
        <w:t xml:space="preserve">[27]</w:t>
      </w:r>
      <w:r>
        <w:t xml:space="preserve"> </w:t>
      </w:r>
      <w:r>
        <w:t xml:space="preserve">In France, which switched from universal vaccination of neonates to targeted vaccination in 2007, it has also been shown that targeted vaccination reduced coverage in those most at risk.</w:t>
      </w:r>
      <w:r>
        <w:t xml:space="preserve">[28]</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[10]</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for the analysis contained in this paper can be found at:</w:t>
      </w:r>
      <w:r>
        <w:t xml:space="preserve"> </w:t>
      </w:r>
      <w:hyperlink r:id="rId37">
        <w:r>
          <w:rPr>
            <w:rStyle w:val="Hyperlink"/>
          </w:rPr>
          <w:t xml:space="preserve">DOI:10.5281/zenodo.2583056</w:t>
        </w:r>
      </w:hyperlink>
    </w:p>
    <w:p>
      <w:pPr>
        <w:pStyle w:val="Heading1"/>
      </w:pPr>
      <w:bookmarkStart w:id="38" w:name="references"/>
      <w:bookmarkEnd w:id="38"/>
      <w:r>
        <w:t xml:space="preserve">References</w:t>
      </w:r>
    </w:p>
    <w:p>
      <w:pPr>
        <w:pStyle w:val="FirstParagraph"/>
      </w:pPr>
      <w:r>
        <w:t xml:space="preserve">1 Public Health England. Tuberculosis in England: 2018. 2019;1–218.</w:t>
      </w:r>
    </w:p>
    <w:p>
      <w:pPr>
        <w:pStyle w:val="BodyText"/>
      </w:pPr>
      <w:r>
        <w:t xml:space="preserve">2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3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4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5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6 World Health Organization.</w:t>
      </w:r>
      <w:r>
        <w:t xml:space="preserve"> </w:t>
      </w:r>
      <w:r>
        <w:rPr>
          <w:i/>
        </w:rPr>
        <w:t xml:space="preserve">Global Tuberculosis Report</w:t>
      </w:r>
      <w:r>
        <w:t xml:space="preserve">. 2017.</w:t>
      </w:r>
      <w:r>
        <w:t xml:space="preserve"> </w:t>
      </w:r>
    </w:p>
    <w:p>
      <w:pPr>
        <w:pStyle w:val="BodyText"/>
      </w:pPr>
      <w:r>
        <w:t xml:space="preserve">7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8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9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10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11 Public Health England. Tuberculosis in England 2017 report ( presenting data to end of 2016 ) About Public Health England. 2017.</w:t>
      </w:r>
      <w:r>
        <w:t xml:space="preserve"> </w:t>
      </w:r>
    </w:p>
    <w:p>
      <w:pPr>
        <w:pStyle w:val="BodyText"/>
      </w:pPr>
      <w:r>
        <w:t xml:space="preserve">12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13 Joint Committee on Vaccination, panel IB. Minutes. 2002.</w:t>
      </w:r>
      <w:r>
        <w:t xml:space="preserve"> </w:t>
      </w:r>
    </w:p>
    <w:p>
      <w:pPr>
        <w:pStyle w:val="BodyText"/>
      </w:pPr>
      <w:r>
        <w:t xml:space="preserve">14 Joint Committee on Vaccination, panel IB. Minutes. 2003.</w:t>
      </w:r>
      <w:r>
        <w:t xml:space="preserve"> </w:t>
      </w:r>
    </w:p>
    <w:p>
      <w:pPr>
        <w:pStyle w:val="BodyText"/>
      </w:pPr>
      <w:r>
        <w:t xml:space="preserve">15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16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17 Anderson RM, May RM. Infectious Diseases of Humans: Dynamics and Control (Oxford Univ.</w:t>
      </w:r>
      <w:r>
        <w:t xml:space="preserve"> </w:t>
      </w:r>
      <w:r>
        <w:rPr>
          <w:i/>
        </w:rPr>
        <w:t xml:space="preserve">Press, Oxford</w:t>
      </w:r>
      <w:r>
        <w:t xml:space="preserve"> </w:t>
      </w:r>
      <w:r>
        <w:t xml:space="preserve">1991.</w:t>
      </w:r>
    </w:p>
    <w:p>
      <w:pPr>
        <w:pStyle w:val="BodyText"/>
      </w:pPr>
      <w:r>
        <w:t xml:space="preserve">18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19 R Core Team. R: A Language and Environment for Statistical Computing. Vienna, Austria: 2016.</w:t>
      </w:r>
      <w:r>
        <w:t xml:space="preserve"> </w:t>
      </w:r>
    </w:p>
    <w:p>
      <w:pPr>
        <w:pStyle w:val="BodyText"/>
      </w:pPr>
      <w:r>
        <w:t xml:space="preserve">20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21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22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23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24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25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26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27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28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Heading1"/>
      </w:pPr>
      <w:bookmarkStart w:id="39" w:name="abstract"/>
      <w:bookmarkEnd w:id="39"/>
      <w:r>
        <w:t xml:space="preserve">Abstract</w:t>
      </w:r>
    </w:p>
    <w:p>
      <w:pPr>
        <w:pStyle w:val="Heading2"/>
      </w:pPr>
      <w:bookmarkStart w:id="40" w:name="background"/>
      <w:bookmarkEnd w:id="40"/>
      <w:r>
        <w:t xml:space="preserve">Background</w:t>
      </w:r>
    </w:p>
    <w:p>
      <w:pPr>
        <w:pStyle w:val="FirstParagraph"/>
      </w:pPr>
      <w:r>
        <w:t xml:space="preserve">In 2005, England and Wales switched from universal BCG vaccination against tuberculosis (TB) disease for school-age children to targeted vaccination of neonates. We assessed the quantitative evidence that informed this policy change.</w:t>
      </w:r>
    </w:p>
    <w:p>
      <w:pPr>
        <w:pStyle w:val="Heading2"/>
      </w:pPr>
      <w:bookmarkStart w:id="41" w:name="methods-1"/>
      <w:bookmarkEnd w:id="41"/>
      <w:r>
        <w:t xml:space="preserve">Methods</w:t>
      </w:r>
    </w:p>
    <w:p>
      <w:pPr>
        <w:pStyle w:val="FirstParagraph"/>
      </w:pPr>
      <w:r>
        <w:t xml:space="preserve">We recreated a previous approach for estimating the impact of ending the BCG schools’ scheme in England and Wales, updating the model with parameter uncertainty. We investigated scenarios considered by the UK’s Joint Committee on Vaccination and Immunisation, and explored new approaches using notification data. We estimated the number of vaccines needed to prevent a single notification, and the average annual additional notifications caused by ending the BCG schools’ scheme.</w:t>
      </w:r>
    </w:p>
    <w:p>
      <w:pPr>
        <w:pStyle w:val="Heading2"/>
      </w:pPr>
      <w:bookmarkStart w:id="42" w:name="results-1"/>
      <w:bookmarkEnd w:id="42"/>
      <w:r>
        <w:t xml:space="preserve">Results</w:t>
      </w:r>
    </w:p>
    <w:p>
      <w:pPr>
        <w:pStyle w:val="FirstParagraph"/>
      </w:pPr>
      <w:r>
        <w:t xml:space="preserve">We found a 1.9% annual decrease in TB incidence rates best matched notification data. We estimate that 1600 (2.5-97.5% Quantiles (Q): 1300 - 2100) vaccines would have been required to prevent a single notification in 2004. If the scheme had ended in 2001, 302 (2.5-97.5% Q: 238 - 369) additional annual notifications would have occurred compared to if the scheme had continued. If the scheme ended in 2016, 120 (2.5-97.5% Q: 88 - 155) additional annual notifications would have occurred.</w:t>
      </w:r>
    </w:p>
    <w:p>
      <w:pPr>
        <w:pStyle w:val="Heading2"/>
      </w:pPr>
      <w:bookmarkStart w:id="43" w:name="conclusions"/>
      <w:bookmarkEnd w:id="43"/>
      <w:r>
        <w:t xml:space="preserve">Conclusions</w:t>
      </w:r>
    </w:p>
    <w:p>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updated and notification data were used. Our results highlight the importance of including uncertainty when forecasting the impact of changes in vaccination policy.</w:t>
      </w:r>
    </w:p>
    <w:p>
      <w:pPr>
        <w:pStyle w:val="Heading1"/>
      </w:pPr>
      <w:bookmarkStart w:id="44" w:name="supplementary-information-reassessing-the-evidence-for-universal-school-age-bacillus-calmette-guerin-bcg-vaccination-in-england-and-wales"/>
      <w:bookmarkEnd w:id="4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45" w:name="recreating-the-estimation-model-of-sutherland-et-al."/>
      <w:bookmarkEnd w:id="45"/>
      <w:r>
        <w:t xml:space="preserve">Recreating the estimation model of Sutherland et al.</w:t>
      </w:r>
    </w:p>
    <w:p>
      <w:pPr>
        <w:pStyle w:val="Heading3"/>
      </w:pPr>
      <w:bookmarkStart w:id="46" w:name="estimating-notification-rates"/>
      <w:bookmarkEnd w:id="46"/>
      <w:r>
        <w:t xml:space="preserve">Estimating notification rates</w:t>
      </w:r>
    </w:p>
    <w:p>
      <w:pPr>
        <w:pStyle w:val="FirstParagraph"/>
      </w:pPr>
      <w:r>
        <w:t xml:space="preserve">The effectiveness of the BCG vaccine was originally estimated by an MRC trial in 1953 at 80% in the United Kingdom</w:t>
      </w:r>
      <w:r>
        <w:t xml:space="preserve"> </w:t>
      </w:r>
      <w:r>
        <w:t xml:space="preserve">[10]</w:t>
      </w:r>
      <w:r>
        <w:t xml:space="preserve">. As follow up to this trial members of the MRC bio-statistics unit conducted a series of notification surveys attempting to ascertain any change in effectiveness, as well as acting as an estimate of notification rate across different demographics.</w:t>
      </w:r>
      <w:r>
        <w:t xml:space="preserve">[15]</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w:t>
      </w:r>
      <w:r>
        <w:t xml:space="preserve"> </w:t>
      </w:r>
      <w:r>
        <w:t xml:space="preserve">[15]</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[12,16]</w:t>
      </w:r>
    </w:p>
    <w:p>
      <w:pPr>
        <w:pStyle w:val="BodyText"/>
      </w:pPr>
      <w:r>
        <w:t xml:space="preserve">Evidence suggests that the BCG vaccine has a high efficacy for at least the first 15 years after vaccination, therefore the authors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47" w:name="construction-of-forward-estimates"/>
      <w:bookmarkEnd w:id="47"/>
      <w:r>
        <w:t xml:space="preserve">Construction of forward estimates</w:t>
      </w:r>
    </w:p>
    <w:p>
      <w:pPr>
        <w:pStyle w:val="FirstParagraph"/>
      </w:pPr>
      <w:r>
        <w:t xml:space="preserve">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w:t>
      </w:r>
      <w:r>
        <w:t xml:space="preserve">[15]</w:t>
      </w:r>
    </w:p>
    <w:p>
      <w:pPr>
        <w:pStyle w:val="Heading2"/>
      </w:pPr>
      <w:bookmarkStart w:id="48" w:name="model-validation-1"/>
      <w:bookmarkEnd w:id="48"/>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Comparision of results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ion of results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49" w:name="results-2"/>
      <w:bookmarkEnd w:id="49"/>
      <w:r>
        <w:t xml:space="preserve">Results</w:t>
      </w:r>
    </w:p>
    <w:p>
      <w:pPr>
        <w:pStyle w:val="FigureWithCaption"/>
      </w:pPr>
      <w:r>
        <w:drawing>
          <wp:inline>
            <wp:extent cx="5943600" cy="4457700"/>
            <wp:effectExtent b="0" l="0" r="0" t="0"/>
            <wp:docPr descr="Supplementary Figure S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5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Supplementary Figure S1: Annual percentage change in ethnic White UK born incidence rates for those aged 15-19, 20-24, and 25-29 years old under different scenarios. For the notification and incidence rate scenarios each line represents the median of 10,000 parameter samples.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(780 - 1200)</w:t>
            </w:r>
          </w:p>
        </w:tc>
        <w:tc>
          <w:p>
            <w:pPr>
              <w:pStyle w:val="Compact"/>
              <w:jc w:val="left"/>
            </w:pPr>
            <w:r>
              <w:t xml:space="preserve">880 (730 - 1100)</w:t>
            </w:r>
          </w:p>
        </w:tc>
        <w:tc>
          <w:p>
            <w:pPr>
              <w:pStyle w:val="Compact"/>
              <w:jc w:val="left"/>
            </w:pPr>
            <w:r>
              <w:t xml:space="preserve">860 (710 - 1100)</w:t>
            </w:r>
          </w:p>
        </w:tc>
        <w:tc>
          <w:p>
            <w:pPr>
              <w:pStyle w:val="Compact"/>
              <w:jc w:val="left"/>
            </w:pPr>
            <w:r>
              <w:t xml:space="preserve">830 (680 - 1000)</w:t>
            </w:r>
          </w:p>
        </w:tc>
        <w:tc>
          <w:p>
            <w:pPr>
              <w:pStyle w:val="Compact"/>
              <w:jc w:val="left"/>
            </w:pPr>
            <w:r>
              <w:t xml:space="preserve">860 (710 - 1100)</w:t>
            </w:r>
          </w:p>
        </w:tc>
        <w:tc>
          <w:p>
            <w:pPr>
              <w:pStyle w:val="Compact"/>
              <w:jc w:val="left"/>
            </w:pPr>
            <w:r>
              <w:t xml:space="preserve">870 (640 - 1100)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(1100 - 1800)</w:t>
            </w:r>
          </w:p>
        </w:tc>
        <w:tc>
          <w:p>
            <w:pPr>
              <w:pStyle w:val="Compact"/>
              <w:jc w:val="left"/>
            </w:pPr>
            <w:r>
              <w:t xml:space="preserve">1100 (910 - 1400)</w:t>
            </w:r>
          </w:p>
        </w:tc>
        <w:tc>
          <w:p>
            <w:pPr>
              <w:pStyle w:val="Compact"/>
              <w:jc w:val="left"/>
            </w:pPr>
            <w:r>
              <w:t xml:space="preserve">1000 (820 - 1300)</w:t>
            </w:r>
          </w:p>
        </w:tc>
        <w:tc>
          <w:p>
            <w:pPr>
              <w:pStyle w:val="Compact"/>
              <w:jc w:val="left"/>
            </w:pPr>
            <w:r>
              <w:t xml:space="preserve">910 (740 - 1200)</w:t>
            </w:r>
          </w:p>
        </w:tc>
        <w:tc>
          <w:p>
            <w:pPr>
              <w:pStyle w:val="Compact"/>
              <w:jc w:val="left"/>
            </w:pPr>
            <w:r>
              <w:t xml:space="preserve">1000 (860 - 1300)</w:t>
            </w:r>
          </w:p>
        </w:tc>
        <w:tc>
          <w:p>
            <w:pPr>
              <w:pStyle w:val="Compact"/>
              <w:jc w:val="left"/>
            </w:pPr>
            <w:r>
              <w:t xml:space="preserve">1100 (660 - 1700)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(1800 - 2900)</w:t>
            </w:r>
          </w:p>
        </w:tc>
        <w:tc>
          <w:p>
            <w:pPr>
              <w:pStyle w:val="Compact"/>
              <w:jc w:val="left"/>
            </w:pPr>
            <w:r>
              <w:t xml:space="preserve">1400 (1100 - 1700)</w:t>
            </w:r>
          </w:p>
        </w:tc>
        <w:tc>
          <w:p>
            <w:pPr>
              <w:pStyle w:val="Compact"/>
              <w:jc w:val="left"/>
            </w:pPr>
            <w:r>
              <w:t xml:space="preserve">1100 (900 - 1400)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(730 - 2900)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(2900 - 4600)</w:t>
            </w:r>
          </w:p>
        </w:tc>
        <w:tc>
          <w:p>
            <w:pPr>
              <w:pStyle w:val="Compact"/>
              <w:jc w:val="left"/>
            </w:pPr>
            <w:r>
              <w:t xml:space="preserve">1700 (1300 - 2100)</w:t>
            </w:r>
          </w:p>
        </w:tc>
        <w:tc>
          <w:p>
            <w:pPr>
              <w:pStyle w:val="Compact"/>
              <w:jc w:val="left"/>
            </w:pPr>
            <w:r>
              <w:t xml:space="preserve">1200 (990 - 1500)</w:t>
            </w:r>
          </w:p>
        </w:tc>
        <w:tc>
          <w:p>
            <w:pPr>
              <w:pStyle w:val="Compact"/>
              <w:jc w:val="left"/>
            </w:pPr>
            <w:r>
              <w:t xml:space="preserve">910 (740 - 1200)</w:t>
            </w:r>
          </w:p>
        </w:tc>
        <w:tc>
          <w:p>
            <w:pPr>
              <w:pStyle w:val="Compact"/>
              <w:jc w:val="left"/>
            </w:pPr>
            <w:r>
              <w:t xml:space="preserve">1800 (1500 - 2300)</w:t>
            </w:r>
          </w:p>
        </w:tc>
        <w:tc>
          <w:p>
            <w:pPr>
              <w:pStyle w:val="Compact"/>
              <w:jc w:val="left"/>
            </w:pPr>
            <w:r>
              <w:t xml:space="preserve">1700 (760 - 4000)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(4700 - 7400)</w:t>
            </w:r>
          </w:p>
        </w:tc>
        <w:tc>
          <w:p>
            <w:pPr>
              <w:pStyle w:val="Compact"/>
              <w:jc w:val="left"/>
            </w:pPr>
            <w:r>
              <w:t xml:space="preserve">2000 (1600 - 2600)</w:t>
            </w:r>
          </w:p>
        </w:tc>
        <w:tc>
          <w:p>
            <w:pPr>
              <w:pStyle w:val="Compact"/>
              <w:jc w:val="left"/>
            </w:pPr>
            <w:r>
              <w:t xml:space="preserve">1300 (1100 - 1700)</w:t>
            </w:r>
          </w:p>
        </w:tc>
        <w:tc>
          <w:p>
            <w:pPr>
              <w:pStyle w:val="Compact"/>
              <w:jc w:val="left"/>
            </w:pPr>
            <w:r>
              <w:t xml:space="preserve">910 (740 - 1200)</w:t>
            </w:r>
          </w:p>
        </w:tc>
        <w:tc>
          <w:p>
            <w:pPr>
              <w:pStyle w:val="Compact"/>
              <w:jc w:val="left"/>
            </w:pPr>
            <w:r>
              <w:t xml:space="preserve">1700 (1400 - 2200)</w:t>
            </w:r>
          </w:p>
        </w:tc>
        <w:tc>
          <w:p>
            <w:pPr>
              <w:pStyle w:val="Compact"/>
              <w:jc w:val="left"/>
            </w:pPr>
            <w:r>
              <w:t xml:space="preserve">1600 (630 - 4200)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(7600 - 12000)</w:t>
            </w:r>
          </w:p>
        </w:tc>
        <w:tc>
          <w:p>
            <w:pPr>
              <w:pStyle w:val="Compact"/>
              <w:jc w:val="left"/>
            </w:pPr>
            <w:r>
              <w:t xml:space="preserve">2500 (2000 - 3100)</w:t>
            </w:r>
          </w:p>
        </w:tc>
        <w:tc>
          <w:p>
            <w:pPr>
              <w:pStyle w:val="Compact"/>
              <w:jc w:val="left"/>
            </w:pPr>
            <w:r>
              <w:t xml:space="preserve">1500 (1200 - 1900)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(510 - 4200)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(12000 - 19000)</w:t>
            </w:r>
          </w:p>
        </w:tc>
        <w:tc>
          <w:p>
            <w:pPr>
              <w:pStyle w:val="Compact"/>
              <w:jc w:val="left"/>
            </w:pPr>
            <w:r>
              <w:t xml:space="preserve">3000 (2500 - 3800)</w:t>
            </w:r>
          </w:p>
        </w:tc>
        <w:tc>
          <w:p>
            <w:pPr>
              <w:pStyle w:val="Compact"/>
              <w:jc w:val="left"/>
            </w:pPr>
            <w:r>
              <w:t xml:space="preserve">1600 (1300 - 2100)</w:t>
            </w:r>
          </w:p>
        </w:tc>
        <w:tc>
          <w:p>
            <w:pPr>
              <w:pStyle w:val="Compact"/>
              <w:jc w:val="left"/>
            </w:pPr>
            <w:r>
              <w:t xml:space="preserve">910 (740 - 1200)</w:t>
            </w:r>
          </w:p>
        </w:tc>
        <w:tc>
          <w:p>
            <w:pPr>
              <w:pStyle w:val="Compact"/>
              <w:jc w:val="left"/>
            </w:pPr>
            <w:r>
              <w:t xml:space="preserve">1400 (1100 - 1700)</w:t>
            </w:r>
          </w:p>
        </w:tc>
        <w:tc>
          <w:p>
            <w:pPr>
              <w:pStyle w:val="Compact"/>
              <w:jc w:val="left"/>
            </w:pPr>
            <w:r>
              <w:t xml:space="preserve">1500 (450 - 5000)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(19000 - 30000)</w:t>
            </w:r>
          </w:p>
        </w:tc>
        <w:tc>
          <w:p>
            <w:pPr>
              <w:pStyle w:val="Compact"/>
              <w:jc w:val="left"/>
            </w:pPr>
            <w:r>
              <w:t xml:space="preserve">3700 (3000 - 4600)</w:t>
            </w:r>
          </w:p>
        </w:tc>
        <w:tc>
          <w:p>
            <w:pPr>
              <w:pStyle w:val="Compact"/>
              <w:jc w:val="left"/>
            </w:pPr>
            <w:r>
              <w:t xml:space="preserve">1800 (1500 - 2300)</w:t>
            </w:r>
          </w:p>
        </w:tc>
        <w:tc>
          <w:p>
            <w:pPr>
              <w:pStyle w:val="Compact"/>
              <w:jc w:val="left"/>
            </w:pPr>
            <w:r>
              <w:t xml:space="preserve">910 (740 - 1200)</w:t>
            </w:r>
          </w:p>
        </w:tc>
        <w:tc>
          <w:p>
            <w:pPr>
              <w:pStyle w:val="Compact"/>
              <w:jc w:val="left"/>
            </w:pPr>
            <w:r>
              <w:t xml:space="preserve">1200 (960 - 1500)</w:t>
            </w:r>
          </w:p>
        </w:tc>
        <w:tc>
          <w:p>
            <w:pPr>
              <w:pStyle w:val="Compact"/>
              <w:jc w:val="left"/>
            </w:pPr>
            <w:r>
              <w:t xml:space="preserve">1200 (330 - 4300)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(31000 - 49000)</w:t>
            </w:r>
          </w:p>
        </w:tc>
        <w:tc>
          <w:p>
            <w:pPr>
              <w:pStyle w:val="Compact"/>
              <w:jc w:val="left"/>
            </w:pPr>
            <w:r>
              <w:t xml:space="preserve">4500 (3600 - 5700)</w:t>
            </w:r>
          </w:p>
        </w:tc>
        <w:tc>
          <w:p>
            <w:pPr>
              <w:pStyle w:val="Compact"/>
              <w:jc w:val="left"/>
            </w:pPr>
            <w:r>
              <w:t xml:space="preserve">2000 (1600 - 2500)</w:t>
            </w:r>
          </w:p>
        </w:tc>
        <w:tc>
          <w:p>
            <w:pPr>
              <w:pStyle w:val="Compact"/>
              <w:jc w:val="left"/>
            </w:pPr>
            <w:r>
              <w:t xml:space="preserve">910 (740 - 1200)</w:t>
            </w:r>
          </w:p>
        </w:tc>
        <w:tc>
          <w:p>
            <w:pPr>
              <w:pStyle w:val="Compact"/>
              <w:jc w:val="left"/>
            </w:pPr>
            <w:r>
              <w:t xml:space="preserve">1500 (1200 - 1900)</w:t>
            </w:r>
          </w:p>
        </w:tc>
        <w:tc>
          <w:p>
            <w:pPr>
              <w:pStyle w:val="Compact"/>
              <w:jc w:val="left"/>
            </w:pPr>
            <w:r>
              <w:t xml:space="preserve">1500 (370 - 6000)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(50000 - 78000)</w:t>
            </w:r>
          </w:p>
        </w:tc>
        <w:tc>
          <w:p>
            <w:pPr>
              <w:pStyle w:val="Compact"/>
              <w:jc w:val="left"/>
            </w:pPr>
            <w:r>
              <w:t xml:space="preserve">5400 (4500 - 6900)</w:t>
            </w:r>
          </w:p>
        </w:tc>
        <w:tc>
          <w:p>
            <w:pPr>
              <w:pStyle w:val="Compact"/>
              <w:jc w:val="left"/>
            </w:pPr>
            <w:r>
              <w:t xml:space="preserve">2200 (1800 - 2700)</w:t>
            </w:r>
          </w:p>
        </w:tc>
        <w:tc>
          <w:p>
            <w:pPr>
              <w:pStyle w:val="Compact"/>
              <w:jc w:val="left"/>
            </w:pPr>
            <w:r>
              <w:t xml:space="preserve">910 (740 - 1200)</w:t>
            </w:r>
          </w:p>
        </w:tc>
        <w:tc>
          <w:p>
            <w:pPr>
              <w:pStyle w:val="Compact"/>
              <w:jc w:val="left"/>
            </w:pPr>
            <w:r>
              <w:t xml:space="preserve">2200 (1800 - 2700)</w:t>
            </w:r>
          </w:p>
        </w:tc>
        <w:tc>
          <w:p>
            <w:pPr>
              <w:pStyle w:val="Compact"/>
              <w:jc w:val="left"/>
            </w:pPr>
            <w:r>
              <w:t xml:space="preserve">2300 (470 - 10000)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(80000 - 130000)</w:t>
            </w:r>
          </w:p>
        </w:tc>
        <w:tc>
          <w:p>
            <w:pPr>
              <w:pStyle w:val="Compact"/>
              <w:jc w:val="left"/>
            </w:pPr>
            <w:r>
              <w:t xml:space="preserve">6600 (5400 - 8400)</w:t>
            </w:r>
          </w:p>
        </w:tc>
        <w:tc>
          <w:p>
            <w:pPr>
              <w:pStyle w:val="Compact"/>
              <w:jc w:val="left"/>
            </w:pPr>
            <w:r>
              <w:t xml:space="preserve">2400 (1900 - 3000)</w:t>
            </w:r>
          </w:p>
        </w:tc>
        <w:tc>
          <w:p>
            <w:pPr>
              <w:pStyle w:val="Compact"/>
              <w:jc w:val="left"/>
            </w:pPr>
            <w:r>
              <w:t xml:space="preserve">910 (740 - 1200)</w:t>
            </w:r>
          </w:p>
        </w:tc>
        <w:tc>
          <w:p>
            <w:pPr>
              <w:pStyle w:val="Compact"/>
              <w:jc w:val="left"/>
            </w:pPr>
            <w:r>
              <w:t xml:space="preserve">3200 (2600 - 4100)</w:t>
            </w:r>
          </w:p>
        </w:tc>
        <w:tc>
          <w:p>
            <w:pPr>
              <w:pStyle w:val="Compact"/>
              <w:jc w:val="left"/>
            </w:pPr>
            <w:r>
              <w:t xml:space="preserve">3300 (530 - 18000)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(162 - 247)</w:t>
            </w:r>
          </w:p>
        </w:tc>
        <w:tc>
          <w:p>
            <w:pPr>
              <w:pStyle w:val="Compact"/>
              <w:jc w:val="left"/>
            </w:pPr>
            <w:r>
              <w:t xml:space="preserve">391 (310 - 476)</w:t>
            </w:r>
          </w:p>
        </w:tc>
        <w:tc>
          <w:p>
            <w:pPr>
              <w:pStyle w:val="Compact"/>
              <w:jc w:val="left"/>
            </w:pPr>
            <w:r>
              <w:t xml:space="preserve">557 (440 - 678)</w:t>
            </w:r>
          </w:p>
        </w:tc>
        <w:tc>
          <w:p>
            <w:pPr>
              <w:pStyle w:val="Compact"/>
              <w:jc w:val="left"/>
            </w:pPr>
            <w:r>
              <w:t xml:space="preserve">827 (652 - 1009)</w:t>
            </w:r>
          </w:p>
        </w:tc>
        <w:tc>
          <w:p>
            <w:pPr>
              <w:pStyle w:val="Compact"/>
              <w:jc w:val="left"/>
            </w:pPr>
            <w:r>
              <w:t xml:space="preserve">531 (421 - 646)</w:t>
            </w:r>
          </w:p>
        </w:tc>
        <w:tc>
          <w:p>
            <w:pPr>
              <w:pStyle w:val="Compact"/>
              <w:jc w:val="left"/>
            </w:pPr>
            <w:r>
              <w:t xml:space="preserve">548 (273 - 1254)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(123 - 193)</w:t>
            </w:r>
          </w:p>
        </w:tc>
        <w:tc>
          <w:p>
            <w:pPr>
              <w:pStyle w:val="Compact"/>
              <w:jc w:val="left"/>
            </w:pPr>
            <w:r>
              <w:t xml:space="preserve">350 (276 - 428)</w:t>
            </w:r>
          </w:p>
        </w:tc>
        <w:tc>
          <w:p>
            <w:pPr>
              <w:pStyle w:val="Compact"/>
              <w:jc w:val="left"/>
            </w:pPr>
            <w:r>
              <w:t xml:space="preserve">525 (414 - 643)</w:t>
            </w:r>
          </w:p>
        </w:tc>
        <w:tc>
          <w:p>
            <w:pPr>
              <w:pStyle w:val="Compact"/>
              <w:jc w:val="left"/>
            </w:pPr>
            <w:r>
              <w:t xml:space="preserve">816 (642 - 998)</w:t>
            </w:r>
          </w:p>
        </w:tc>
        <w:tc>
          <w:p>
            <w:pPr>
              <w:pStyle w:val="Compact"/>
              <w:jc w:val="left"/>
            </w:pPr>
            <w:r>
              <w:t xml:space="preserve">497 (391 - 607)</w:t>
            </w:r>
          </w:p>
        </w:tc>
        <w:tc>
          <w:p>
            <w:pPr>
              <w:pStyle w:val="Compact"/>
              <w:jc w:val="left"/>
            </w:pPr>
            <w:r>
              <w:t xml:space="preserve">520 (236 - 1282)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(76 - 119)</w:t>
            </w:r>
          </w:p>
        </w:tc>
        <w:tc>
          <w:p>
            <w:pPr>
              <w:pStyle w:val="Compact"/>
              <w:jc w:val="left"/>
            </w:pPr>
            <w:r>
              <w:t xml:space="preserve">282 (223 - 346)</w:t>
            </w:r>
          </w:p>
        </w:tc>
        <w:tc>
          <w:p>
            <w:pPr>
              <w:pStyle w:val="Compact"/>
              <w:jc w:val="left"/>
            </w:pPr>
            <w:r>
              <w:t xml:space="preserve">462 (364 - 565)</w:t>
            </w:r>
          </w:p>
        </w:tc>
        <w:tc>
          <w:p>
            <w:pPr>
              <w:pStyle w:val="Compact"/>
              <w:jc w:val="left"/>
            </w:pPr>
            <w:r>
              <w:t xml:space="preserve">767 (604 - 938)</w:t>
            </w:r>
          </w:p>
        </w:tc>
        <w:tc>
          <w:p>
            <w:pPr>
              <w:pStyle w:val="Compact"/>
              <w:jc w:val="left"/>
            </w:pPr>
            <w:r>
              <w:t xml:space="preserve">434 (341 - 531)</w:t>
            </w:r>
          </w:p>
        </w:tc>
        <w:tc>
          <w:p>
            <w:pPr>
              <w:pStyle w:val="Compact"/>
              <w:jc w:val="left"/>
            </w:pPr>
            <w:r>
              <w:t xml:space="preserve">462 (181 - 1275)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(48 - 75)</w:t>
            </w:r>
          </w:p>
        </w:tc>
        <w:tc>
          <w:p>
            <w:pPr>
              <w:pStyle w:val="Compact"/>
              <w:jc w:val="left"/>
            </w:pPr>
            <w:r>
              <w:t xml:space="preserve">231 (182 - 283)</w:t>
            </w:r>
          </w:p>
        </w:tc>
        <w:tc>
          <w:p>
            <w:pPr>
              <w:pStyle w:val="Compact"/>
              <w:jc w:val="left"/>
            </w:pPr>
            <w:r>
              <w:t xml:space="preserve">410 (323 - 501)</w:t>
            </w:r>
          </w:p>
        </w:tc>
        <w:tc>
          <w:p>
            <w:pPr>
              <w:pStyle w:val="Compact"/>
              <w:jc w:val="left"/>
            </w:pPr>
            <w:r>
              <w:t xml:space="preserve">724 (570 - 886)</w:t>
            </w:r>
          </w:p>
        </w:tc>
        <w:tc>
          <w:p>
            <w:pPr>
              <w:pStyle w:val="Compact"/>
              <w:jc w:val="left"/>
            </w:pPr>
            <w:r>
              <w:t xml:space="preserve">406 (319 - 496)</w:t>
            </w:r>
          </w:p>
        </w:tc>
        <w:tc>
          <w:p>
            <w:pPr>
              <w:pStyle w:val="Compact"/>
              <w:jc w:val="left"/>
            </w:pPr>
            <w:r>
              <w:t xml:space="preserve">427 (151 - 1282)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(34 - 53)</w:t>
            </w:r>
          </w:p>
        </w:tc>
        <w:tc>
          <w:p>
            <w:pPr>
              <w:pStyle w:val="Compact"/>
              <w:jc w:val="left"/>
            </w:pPr>
            <w:r>
              <w:t xml:space="preserve">200 (158 - 245)</w:t>
            </w:r>
          </w:p>
        </w:tc>
        <w:tc>
          <w:p>
            <w:pPr>
              <w:pStyle w:val="Compact"/>
              <w:jc w:val="left"/>
            </w:pPr>
            <w:r>
              <w:t xml:space="preserve">378 (298 - 462)</w:t>
            </w:r>
          </w:p>
        </w:tc>
        <w:tc>
          <w:p>
            <w:pPr>
              <w:pStyle w:val="Compact"/>
              <w:jc w:val="left"/>
            </w:pPr>
            <w:r>
              <w:t xml:space="preserve">703 (554 - 859)</w:t>
            </w:r>
          </w:p>
        </w:tc>
        <w:tc>
          <w:p>
            <w:pPr>
              <w:pStyle w:val="Compact"/>
              <w:jc w:val="left"/>
            </w:pPr>
            <w:r>
              <w:t xml:space="preserve">399 (313 - 487)</w:t>
            </w:r>
          </w:p>
        </w:tc>
        <w:tc>
          <w:p>
            <w:pPr>
              <w:pStyle w:val="Compact"/>
              <w:jc w:val="left"/>
            </w:pPr>
            <w:r>
              <w:t xml:space="preserve">419 (138 - 1336)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(23 - 36)</w:t>
            </w:r>
          </w:p>
        </w:tc>
        <w:tc>
          <w:p>
            <w:pPr>
              <w:pStyle w:val="Compact"/>
              <w:jc w:val="left"/>
            </w:pPr>
            <w:r>
              <w:t xml:space="preserve">170 (134 - 208)</w:t>
            </w:r>
          </w:p>
        </w:tc>
        <w:tc>
          <w:p>
            <w:pPr>
              <w:pStyle w:val="Compact"/>
              <w:jc w:val="left"/>
            </w:pPr>
            <w:r>
              <w:t xml:space="preserve">341 (269 - 418)</w:t>
            </w:r>
          </w:p>
        </w:tc>
        <w:tc>
          <w:p>
            <w:pPr>
              <w:pStyle w:val="Compact"/>
              <w:jc w:val="left"/>
            </w:pPr>
            <w:r>
              <w:t xml:space="preserve">668 (526 - 817)</w:t>
            </w:r>
          </w:p>
        </w:tc>
        <w:tc>
          <w:p>
            <w:pPr>
              <w:pStyle w:val="Compact"/>
              <w:jc w:val="left"/>
            </w:pPr>
            <w:r>
              <w:t xml:space="preserve">384 (301 - 469)</w:t>
            </w:r>
          </w:p>
        </w:tc>
        <w:tc>
          <w:p>
            <w:pPr>
              <w:pStyle w:val="Compact"/>
              <w:jc w:val="left"/>
            </w:pPr>
            <w:r>
              <w:t xml:space="preserve">397 (122 - 1354)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(16 - 25)</w:t>
            </w:r>
          </w:p>
        </w:tc>
        <w:tc>
          <w:p>
            <w:pPr>
              <w:pStyle w:val="Compact"/>
              <w:jc w:val="left"/>
            </w:pPr>
            <w:r>
              <w:t xml:space="preserve">141 (111 - 173)</w:t>
            </w:r>
          </w:p>
        </w:tc>
        <w:tc>
          <w:p>
            <w:pPr>
              <w:pStyle w:val="Compact"/>
              <w:jc w:val="left"/>
            </w:pPr>
            <w:r>
              <w:t xml:space="preserve">302 (238 - 369)</w:t>
            </w:r>
          </w:p>
        </w:tc>
        <w:tc>
          <w:p>
            <w:pPr>
              <w:pStyle w:val="Compact"/>
              <w:jc w:val="left"/>
            </w:pPr>
            <w:r>
              <w:t xml:space="preserve">620 (489 - 758)</w:t>
            </w:r>
          </w:p>
        </w:tc>
        <w:tc>
          <w:p>
            <w:pPr>
              <w:pStyle w:val="Compact"/>
              <w:jc w:val="left"/>
            </w:pPr>
            <w:r>
              <w:t xml:space="preserve">359 (282 - 439)</w:t>
            </w:r>
          </w:p>
        </w:tc>
        <w:tc>
          <w:p>
            <w:pPr>
              <w:pStyle w:val="Compact"/>
              <w:jc w:val="left"/>
            </w:pPr>
            <w:r>
              <w:t xml:space="preserve">359 (102 - 1332)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(11 - 17)</w:t>
            </w:r>
          </w:p>
        </w:tc>
        <w:tc>
          <w:p>
            <w:pPr>
              <w:pStyle w:val="Compact"/>
              <w:jc w:val="left"/>
            </w:pPr>
            <w:r>
              <w:t xml:space="preserve">113 (89 - 139)</w:t>
            </w:r>
          </w:p>
        </w:tc>
        <w:tc>
          <w:p>
            <w:pPr>
              <w:pStyle w:val="Compact"/>
              <w:jc w:val="left"/>
            </w:pPr>
            <w:r>
              <w:t xml:space="preserve">255 (201 - 313)</w:t>
            </w:r>
          </w:p>
        </w:tc>
        <w:tc>
          <w:p>
            <w:pPr>
              <w:pStyle w:val="Compact"/>
              <w:jc w:val="left"/>
            </w:pPr>
            <w:r>
              <w:t xml:space="preserve">550 (433 - 673)</w:t>
            </w:r>
          </w:p>
        </w:tc>
        <w:tc>
          <w:p>
            <w:pPr>
              <w:pStyle w:val="Compact"/>
              <w:jc w:val="left"/>
            </w:pPr>
            <w:r>
              <w:t xml:space="preserve">311 (244 - 380)</w:t>
            </w:r>
          </w:p>
        </w:tc>
        <w:tc>
          <w:p>
            <w:pPr>
              <w:pStyle w:val="Compact"/>
              <w:jc w:val="left"/>
            </w:pPr>
            <w:r>
              <w:t xml:space="preserve">314 (84 - 1265)</w:t>
            </w:r>
          </w:p>
        </w:tc>
      </w:tr>
      <w:tr>
        <w:tc>
          <w:p>
            <w:pPr>
              <w:pStyle w:val="Compact"/>
              <w:jc w:val="left"/>
            </w:pPr>
            <w:r>
              <w:t xml:space="preserve">2011</w:t>
            </w:r>
          </w:p>
        </w:tc>
        <w:tc>
          <w:p>
            <w:pPr>
              <w:pStyle w:val="Compact"/>
              <w:jc w:val="left"/>
            </w:pPr>
            <w:r>
              <w:t xml:space="preserve">9</w:t>
            </w:r>
          </w:p>
        </w:tc>
        <w:tc>
          <w:p>
            <w:pPr>
              <w:pStyle w:val="Compact"/>
              <w:jc w:val="left"/>
            </w:pPr>
            <w:r>
              <w:t xml:space="preserve">9 (6 - 11)</w:t>
            </w:r>
          </w:p>
        </w:tc>
        <w:tc>
          <w:p>
            <w:pPr>
              <w:pStyle w:val="Compact"/>
              <w:jc w:val="left"/>
            </w:pPr>
            <w:r>
              <w:t xml:space="preserve">82 (64 - 102)</w:t>
            </w:r>
          </w:p>
        </w:tc>
        <w:tc>
          <w:p>
            <w:pPr>
              <w:pStyle w:val="Compact"/>
              <w:jc w:val="left"/>
            </w:pPr>
            <w:r>
              <w:t xml:space="preserve">196 (152 - 242)</w:t>
            </w:r>
          </w:p>
        </w:tc>
        <w:tc>
          <w:p>
            <w:pPr>
              <w:pStyle w:val="Compact"/>
              <w:jc w:val="left"/>
            </w:pPr>
            <w:r>
              <w:t xml:space="preserve">440 (343 - 542)</w:t>
            </w:r>
          </w:p>
        </w:tc>
        <w:tc>
          <w:p>
            <w:pPr>
              <w:pStyle w:val="Compact"/>
              <w:jc w:val="left"/>
            </w:pPr>
            <w:r>
              <w:t xml:space="preserve">215 (167 - 265)</w:t>
            </w:r>
          </w:p>
        </w:tc>
        <w:tc>
          <w:p>
            <w:pPr>
              <w:pStyle w:val="Compact"/>
              <w:jc w:val="left"/>
            </w:pPr>
            <w:r>
              <w:t xml:space="preserve">215 (51 - 1026)</w:t>
            </w:r>
          </w:p>
        </w:tc>
      </w:tr>
      <w:tr>
        <w:tc>
          <w:p>
            <w:pPr>
              <w:pStyle w:val="Compact"/>
              <w:jc w:val="left"/>
            </w:pPr>
            <w:r>
              <w:t xml:space="preserve">2016</w:t>
            </w:r>
          </w:p>
        </w:tc>
        <w:tc>
          <w:p>
            <w:pPr>
              <w:pStyle w:val="Compact"/>
              <w:jc w:val="left"/>
            </w:pPr>
            <w:r>
              <w:t xml:space="preserve">5</w:t>
            </w:r>
          </w:p>
        </w:tc>
        <w:tc>
          <w:p>
            <w:pPr>
              <w:pStyle w:val="Compact"/>
              <w:jc w:val="left"/>
            </w:pPr>
            <w:r>
              <w:t xml:space="preserve">5 (3 - 5)</w:t>
            </w:r>
          </w:p>
        </w:tc>
        <w:tc>
          <w:p>
            <w:pPr>
              <w:pStyle w:val="Compact"/>
              <w:jc w:val="left"/>
            </w:pPr>
            <w:r>
              <w:t xml:space="preserve">49 (35 - 63)</w:t>
            </w:r>
          </w:p>
        </w:tc>
        <w:tc>
          <w:p>
            <w:pPr>
              <w:pStyle w:val="Compact"/>
              <w:jc w:val="left"/>
            </w:pPr>
            <w:r>
              <w:t xml:space="preserve">120 (88 - 155)</w:t>
            </w:r>
          </w:p>
        </w:tc>
        <w:tc>
          <w:p>
            <w:pPr>
              <w:pStyle w:val="Compact"/>
              <w:jc w:val="left"/>
            </w:pPr>
            <w:r>
              <w:t xml:space="preserve">280 (205 - 358)</w:t>
            </w:r>
          </w:p>
        </w:tc>
        <w:tc>
          <w:p>
            <w:pPr>
              <w:pStyle w:val="Compact"/>
              <w:jc w:val="left"/>
            </w:pPr>
            <w:r>
              <w:t xml:space="preserve">109 (80 - 140)</w:t>
            </w:r>
          </w:p>
        </w:tc>
        <w:tc>
          <w:p>
            <w:pPr>
              <w:pStyle w:val="Compact"/>
              <w:jc w:val="left"/>
            </w:pPr>
            <w:r>
              <w:t xml:space="preserve">103 (15 - 755)</w:t>
            </w:r>
          </w:p>
        </w:tc>
      </w:tr>
      <w:tr>
        <w:tc>
          <w:p>
            <w:pPr>
              <w:pStyle w:val="Compact"/>
              <w:jc w:val="left"/>
            </w:pPr>
            <w:r>
              <w:t xml:space="preserve">2021</w:t>
            </w:r>
          </w:p>
        </w:tc>
        <w:tc>
          <w:p>
            <w:pPr>
              <w:pStyle w:val="Compact"/>
              <w:jc w:val="left"/>
            </w:pPr>
            <w:r>
              <w:t xml:space="preserve">2</w:t>
            </w:r>
          </w:p>
        </w:tc>
        <w:tc>
          <w:p>
            <w:pPr>
              <w:pStyle w:val="Compact"/>
              <w:jc w:val="left"/>
            </w:pPr>
            <w:r>
              <w:t xml:space="preserve">2 (1 - 3)</w:t>
            </w:r>
          </w:p>
        </w:tc>
        <w:tc>
          <w:p>
            <w:pPr>
              <w:pStyle w:val="Compact"/>
              <w:jc w:val="left"/>
            </w:pPr>
            <w:r>
              <w:t xml:space="preserve">20 (13 - 29)</w:t>
            </w:r>
          </w:p>
        </w:tc>
        <w:tc>
          <w:p>
            <w:pPr>
              <w:pStyle w:val="Compact"/>
              <w:jc w:val="left"/>
            </w:pPr>
            <w:r>
              <w:t xml:space="preserve">52 (33 - 74)</w:t>
            </w:r>
          </w:p>
        </w:tc>
        <w:tc>
          <w:p>
            <w:pPr>
              <w:pStyle w:val="Compact"/>
              <w:jc w:val="left"/>
            </w:pPr>
            <w:r>
              <w:t xml:space="preserve">126 (78 - 176)</w:t>
            </w:r>
          </w:p>
        </w:tc>
        <w:tc>
          <w:p>
            <w:pPr>
              <w:pStyle w:val="Compact"/>
              <w:jc w:val="left"/>
            </w:pPr>
            <w:r>
              <w:t xml:space="preserve">39 (24 - 54)</w:t>
            </w:r>
          </w:p>
        </w:tc>
        <w:tc>
          <w:p>
            <w:pPr>
              <w:pStyle w:val="Compact"/>
              <w:jc w:val="left"/>
            </w:pPr>
            <w:r>
              <w:t xml:space="preserve">41 (3 - 491)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0a40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4973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8d20c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0e17f9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hyperlink" Id="rId37" Target="DOI:10.5281/zenodo.2583056"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7" Target="DOI:10.5281/zenodo.2583056"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2019-05-01T13:53:20Z</dcterms:created>
  <dcterms:modified xsi:type="dcterms:W3CDTF">2019-05-01T13:53:20Z</dcterms:modified>
</cp:coreProperties>
</file>