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250</w:t>
      </w:r>
      <w:r>
        <w:t xml:space="preserve"> </w:t>
      </w:r>
      <w:r>
        <w:rPr>
          <w:i/>
        </w:rPr>
        <w:t xml:space="preserve">Paper:</w:t>
      </w:r>
      <w:r>
        <w:t xml:space="preserve"> </w:t>
      </w:r>
      <w:r>
        <w:t xml:space="preserve">4390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The previous approach contained a methodological flaw which led to the impact of ending BCG vaccination being greatly underestimated.</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 correcting a methodological flaw in the original model.</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As this study used a historcal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and updated,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These estimates were then used, combined with the primary impact estimates, to calculate the number of annual additional notifications due to ending BCG vaccination. Based on data availability the model used a 5 year timestep.</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rPr>
          <w:b/>
        </w:rPr>
        <w:t xml:space="preserve">Updating the transmission chain model</w:t>
      </w:r>
    </w:p>
    <w:p>
      <w:pPr>
        <w:pStyle w:val="BodyText"/>
      </w:pPr>
      <w:r>
        <w:t xml:space="preserve">Sutherland et al. incorrectly defined the total expected number of secondary notifications (</w:t>
      </w:r>
      <m:oMath>
        <m:r>
          <m:t>T</m:t>
        </m:r>
      </m:oMath>
      <w:r>
        <w:t xml:space="preserve">) as the initial generation size (</w:t>
      </w:r>
      <m:oMath>
        <m:r>
          <m:t>x</m:t>
        </m:r>
      </m:oMath>
      <w:r>
        <w:t xml:space="preserve">). To correct this we updated 1. to the following in our updated scenarios,</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could not estimate when secondary notifications occurred. We have therefore reported secondary notifications occuring in the same year as the primary notifications that caused them. Implementing the model required several assumptions not detailed in</w:t>
      </w:r>
      <w:r>
        <w:t xml:space="preserve"> </w:t>
      </w:r>
      <w:r>
        <w:t xml:space="preserve">[11]</w:t>
      </w:r>
      <w:r>
        <w:t xml:space="preserve"> </w:t>
      </w:r>
      <w:r>
        <w:t xml:space="preserve">these are discusssed in detail in the supplementary information.</w:t>
      </w:r>
    </w:p>
    <w:p>
      <w:pPr>
        <w:pStyle w:val="Heading2"/>
      </w:pPr>
      <w:bookmarkStart w:id="30" w:name="updating-model-parameter-estimates-and-incorporating-parameter-uncertainty"/>
      <w:bookmarkEnd w:id="30"/>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2013-2015.</w:t>
      </w:r>
    </w:p>
    <w:p>
      <w:pPr>
        <w:pStyle w:val="Heading2"/>
      </w:pPr>
      <w:bookmarkStart w:id="31" w:name="statistical-analysis"/>
      <w:bookmarkEnd w:id="31"/>
      <w:r>
        <w:t xml:space="preserve">Statistical analysis</w:t>
      </w:r>
    </w:p>
    <w:p>
      <w:pPr>
        <w:pStyle w:val="FirstParagraph"/>
      </w:pPr>
      <w:r>
        <w:t xml:space="preserve">For each scenario, we ran the model until 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2" w:name="patient-and-public-involvement"/>
      <w:bookmarkEnd w:id="32"/>
      <w:r>
        <w:t xml:space="preserve">Patient and public involvement</w:t>
      </w:r>
    </w:p>
    <w:p>
      <w:pPr>
        <w:pStyle w:val="FirstParagraph"/>
      </w:pPr>
      <w:r>
        <w:t xml:space="preserve">We did not involve patients or the public in the design or planning of this study.</w:t>
      </w:r>
    </w:p>
    <w:p>
      <w:pPr>
        <w:pStyle w:val="Heading1"/>
      </w:pPr>
      <w:bookmarkStart w:id="33" w:name="results"/>
      <w:bookmarkEnd w:id="33"/>
      <w:r>
        <w:t xml:space="preserve">Results</w:t>
      </w:r>
    </w:p>
    <w:p>
      <w:pPr>
        <w:pStyle w:val="Heading2"/>
      </w:pPr>
      <w:bookmarkStart w:id="34" w:name="model-validation"/>
      <w:bookmarkEnd w:id="34"/>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5" w:name="annual-change-in-tb-incidence-rates"/>
      <w:bookmarkEnd w:id="35"/>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7" w:name="vaccines-required-to-prevent-a-single-notification"/>
      <w:bookmarkEnd w:id="37"/>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resulted in an</w:t>
      </w:r>
      <w:r>
        <w:t xml:space="preserve"> </w:t>
      </w:r>
      <w:r>
        <w:t xml:space="preserve">estimate of 1600 (2.5, 97.5% Q: 1300, 2000) vaccines required to a prevet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39" w:name="average-annual-additional-cases-from-ending-the-bcg-schools-scheme-at-various-dates"/>
      <w:bookmarkEnd w:id="39"/>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corrected TB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1" w:name="discussion"/>
      <w:bookmarkEnd w:id="41"/>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additional notificatons from ending school age BCG vaccination was much greater than estimated using the scenario considered in Sutherland et al.</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 As we have outlined above any such model would need to be developed with reproducibility in mind in order to allow future inspection by other modellers and decision makers.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2">
        <w:r>
          <w:rPr>
            <w:rStyle w:val="Hyperlink"/>
          </w:rPr>
          <w:t xml:space="preserve">https://doi.org/10.5281/zenodo.2635687</w:t>
        </w:r>
      </w:hyperlink>
    </w:p>
    <w:p>
      <w:pPr>
        <w:pStyle w:val="Heading1"/>
      </w:pPr>
      <w:bookmarkStart w:id="43" w:name="references"/>
      <w:bookmarkEnd w:id="43"/>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4">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5">
        <w:r>
          <w:rPr>
            <w:rStyle w:val="Hyperlink"/>
          </w:rPr>
          <w:t xml:space="preserve">10.1101/567511</w:t>
        </w:r>
      </w:hyperlink>
    </w:p>
    <w:p>
      <w:pPr>
        <w:pStyle w:val="Heading1"/>
      </w:pPr>
      <w:bookmarkStart w:id="46" w:name="abstract"/>
      <w:bookmarkEnd w:id="46"/>
      <w:r>
        <w:t xml:space="preserve">Abstract</w:t>
      </w:r>
    </w:p>
    <w:p>
      <w:pPr>
        <w:pStyle w:val="Heading2"/>
      </w:pPr>
      <w:bookmarkStart w:id="47" w:name="objectives"/>
      <w:bookmarkEnd w:id="47"/>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48" w:name="design"/>
      <w:bookmarkEnd w:id="48"/>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49" w:name="setting"/>
      <w:bookmarkEnd w:id="49"/>
      <w:r>
        <w:t xml:space="preserve">Setting</w:t>
      </w:r>
    </w:p>
    <w:p>
      <w:pPr>
        <w:pStyle w:val="FirstParagraph"/>
      </w:pPr>
      <w:r>
        <w:t xml:space="preserve">England and Wales.</w:t>
      </w:r>
    </w:p>
    <w:p>
      <w:pPr>
        <w:pStyle w:val="Heading2"/>
      </w:pPr>
      <w:bookmarkStart w:id="50" w:name="outcome-measures"/>
      <w:bookmarkEnd w:id="50"/>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1" w:name="results-1"/>
      <w:bookmarkEnd w:id="51"/>
      <w:r>
        <w:t xml:space="preserve">Results</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2"/>
      </w:pPr>
      <w:bookmarkStart w:id="52" w:name="conclusions"/>
      <w:bookmarkEnd w:id="52"/>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53" w:name="supplementary-information-reassessing-the-evidence-for-universal-school-age-bacillus-calmette-guerin-bcg-vaccination-in-england-and-wales"/>
      <w:bookmarkEnd w:id="53"/>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4" w:name="model-assumptions"/>
      <w:bookmarkEnd w:id="54"/>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5" w:name="model-validation-1"/>
      <w:bookmarkEnd w:id="5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6" w:name="results-2"/>
      <w:bookmarkEnd w:id="56"/>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5f8c9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d9e8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2bcd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c49320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8825e5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45" Target="https://doi.org/10.1101/567511" TargetMode="External" /><Relationship Type="http://schemas.openxmlformats.org/officeDocument/2006/relationships/hyperlink" Id="rId42" Target="https://doi.org/10.5281/zenodo.2635687" TargetMode="External" /><Relationship Type="http://schemas.openxmlformats.org/officeDocument/2006/relationships/hyperlink" Id="rId44"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101/567511" TargetMode="External" /><Relationship Type="http://schemas.openxmlformats.org/officeDocument/2006/relationships/hyperlink" Id="rId42" Target="https://doi.org/10.5281/zenodo.2635687" TargetMode="External" /><Relationship Type="http://schemas.openxmlformats.org/officeDocument/2006/relationships/hyperlink" Id="rId44"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2019-10-07T14:36:26Z</dcterms:created>
  <dcterms:modified xsi:type="dcterms:W3CDTF">2019-10-07T14:36:26Z</dcterms:modified>
</cp:coreProperties>
</file>