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15</w:t>
      </w:r>
      <w:r>
        <w:t xml:space="preserve"> </w:t>
      </w:r>
      <w:r>
        <w:rPr>
          <w:i/>
        </w:rPr>
        <w:t xml:space="preserve">Abstract:</w:t>
      </w:r>
      <w:r>
        <w:t xml:space="preserve"> </w:t>
      </w:r>
      <w:r>
        <w:t xml:space="preserve">250</w:t>
      </w:r>
      <w:r>
        <w:t xml:space="preserve"> </w:t>
      </w:r>
      <w:r>
        <w:rPr>
          <w:i/>
        </w:rPr>
        <w:t xml:space="preserve">Paper:</w:t>
      </w:r>
      <w:r>
        <w:t xml:space="preserve"> </w:t>
      </w:r>
      <w:r>
        <w:t xml:space="preserve">2900</w:t>
      </w:r>
    </w:p>
    <w:p>
      <w:pPr>
        <w:pStyle w:val="Heading1"/>
      </w:pPr>
      <w:bookmarkStart w:id="22" w:name="what-is-already-known-on-this-subject"/>
      <w:bookmarkEnd w:id="22"/>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24" w:name="strengths-and-limitations-of-this-study"/>
      <w:bookmarkEnd w:id="24"/>
      <w:r>
        <w:t xml:space="preserve">Strengths and limitations of this study</w:t>
      </w:r>
    </w:p>
    <w:p>
      <w:pPr>
        <w:numPr>
          <w:numId w:val="1003"/>
          <w:ilvl w:val="0"/>
        </w:numPr>
      </w:pPr>
      <w:r>
        <w:t xml:space="preserve">This study reassesses a key piece of the quantitative evidence used to motivate the change in BCG vaccination policy in 2005.</w:t>
      </w:r>
    </w:p>
    <w:p>
      <w:pPr>
        <w:numPr>
          <w:numId w:val="1003"/>
          <w:ilvl w:val="0"/>
        </w:numPr>
      </w:pPr>
      <w:r>
        <w:t xml:space="preserve">The inclusion of parameter uncertainty, and measurement error, allowed the uncertainty in the final estimates to be presented. Previously published estimates may have been spuriously precise.</w:t>
      </w:r>
    </w:p>
    <w:p>
      <w:pPr>
        <w:numPr>
          <w:numId w:val="1003"/>
          <w:ilvl w:val="0"/>
        </w:numPr>
      </w:pPr>
      <w:r>
        <w:t xml:space="preserve">The model used in this study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w:t>
      </w:r>
    </w:p>
    <w:p>
      <w:pPr>
        <w:numPr>
          <w:numId w:val="1003"/>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3"/>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25" w:name="introduction"/>
      <w:bookmarkEnd w:id="25"/>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26" w:name="methods"/>
      <w:bookmarkEnd w:id="26"/>
      <w:r>
        <w:t xml:space="preserve">Methods</w:t>
      </w:r>
    </w:p>
    <w:p>
      <w:pPr>
        <w:pStyle w:val="Heading2"/>
      </w:pPr>
      <w:bookmarkStart w:id="27" w:name="modelling-the-impact-of-ending-the-bcg-schools-scheme"/>
      <w:bookmarkEnd w:id="27"/>
      <w:r>
        <w:t xml:space="preserve">Modelling the impact of ending the BCG schools scheme</w:t>
      </w:r>
    </w:p>
    <w:p>
      <w:pPr>
        <w:pStyle w:val="FirstParagraph"/>
      </w:pPr>
      <w:r>
        <w:t xml:space="preserve">We implemented Sutherland et al.’s model for estimating the impact of ending the BCG schools scheme.</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(vaccinated, unvaccinated, and ineligible),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were estimated by calculating the difference in incidence rates between the vaccinated and unvaccinated populations. Additional notifications from TB transmission were then calculated using a transmission chain model. Based on data availability the model used a 5 year timestep. More detail is given in the following sections.</w:t>
      </w:r>
    </w:p>
    <w:p>
      <w:pPr>
        <w:pStyle w:val="Heading3"/>
      </w:pPr>
      <w:bookmarkStart w:id="28" w:name="estimating-notification-rates"/>
      <w:bookmarkEnd w:id="28"/>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groups: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those vaccinated with the BCG. Allowances were also made for those already vaccinated prior to the schools scheme. See</w:t>
      </w:r>
      <w:r>
        <w:t xml:space="preserve"> </w:t>
      </w:r>
      <w:r>
        <w:t xml:space="preserve">[14]</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29" w:name="construction-of-forward-estimates"/>
      <w:bookmarkEnd w:id="29"/>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this information and the projected differences between vaccinated and unvaccinated notification rates allowed the number of prevented notifications for each age group to be found for each year. This can then be combined to give the total number of prevented notifications for those aged between 15-29.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Heading4"/>
      </w:pPr>
      <w:bookmarkStart w:id="30" w:name="transmission-chain-model"/>
      <w:bookmarkEnd w:id="30"/>
      <w:r>
        <w:t xml:space="preserve">Transmission chain model</w:t>
      </w:r>
    </w:p>
    <w:p>
      <w:pPr>
        <w:pStyle w:val="FirstParagraph"/>
      </w:pPr>
      <w:r>
        <w:t xml:space="preserve">The TB transmission model is defined as follows (reproduced from</w:t>
      </w:r>
      <w:r>
        <w:t xml:space="preserve"> </w:t>
      </w:r>
      <w:r>
        <w:t xml:space="preserve">[11]</w:t>
      </w:r>
      <w:r>
        <w:t xml:space="preserve">):</w:t>
      </w:r>
    </w:p>
    <w:p>
      <w:pPr>
        <w:pStyle w:val="Compact"/>
        <w:numPr>
          <w:numId w:val="1004"/>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5"/>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6"/>
          <w:ilvl w:val="0"/>
        </w:numPr>
      </w:pPr>
      <w:r>
        <w:t xml:space="preserve">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Heading4"/>
      </w:pPr>
      <w:bookmarkStart w:id="31" w:name="transmission-chain-model-additions"/>
      <w:bookmarkEnd w:id="31"/>
      <w:r>
        <w:t xml:space="preserve">Transmission chain model additions</w:t>
      </w:r>
    </w:p>
    <w:p>
      <w:pPr>
        <w:pStyle w:val="FirstParagraph"/>
      </w:pPr>
      <w:r>
        <w:t xml:space="preserve">Implementing the model required several assumptions not detailed in</w:t>
      </w:r>
      <w:r>
        <w:t xml:space="preserve"> </w:t>
      </w:r>
      <w:r>
        <w:t xml:space="preserve">[11]</w:t>
      </w:r>
      <w:r>
        <w:t xml:space="preserve">. 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 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w:t>
      </w:r>
    </w:p>
    <w:p>
      <w:pPr>
        <w:pStyle w:val="Heading2"/>
      </w:pPr>
      <w:bookmarkStart w:id="32" w:name="updating-model-parameter-estimates"/>
      <w:bookmarkEnd w:id="32"/>
      <w:r>
        <w:t xml:space="preserve">Updating model parameter estimates</w:t>
      </w:r>
    </w:p>
    <w:p>
      <w:pPr>
        <w:pStyle w:val="FirstParagraph"/>
      </w:pPr>
      <w:r>
        <w:t xml:space="preserve">Incidence rates were included as point estimates in</w:t>
      </w:r>
      <w:r>
        <w:t xml:space="preserve"> </w:t>
      </w:r>
      <w:r>
        <w:t xml:space="preserve">[11]</w:t>
      </w:r>
      <w:r>
        <w:t xml:space="preserve">; in the updated model we included uncertainty in these rates. We estimated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Sutherland et al. assumed a serial interval of 2 years between linked notifications. We updated this assumption using, the currently best available,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I also estimated the annual decrease in incidence rates in the ethnic White UK born using two proxy measures.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(with SDs)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33" w:name="statistical-analysis"/>
      <w:bookmarkEnd w:id="33"/>
      <w:r>
        <w:t xml:space="preserve">Statistical analysis</w:t>
      </w:r>
    </w:p>
    <w:p>
      <w:pPr>
        <w:pStyle w:val="FirstParagraph"/>
      </w:pPr>
      <w:r>
        <w:t xml:space="preserve">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w:t>
      </w:r>
      <w:r>
        <w:t xml:space="preserve"> </w:t>
      </w:r>
      <w:r>
        <w:t xml:space="preserve">[11]</w:t>
      </w:r>
      <w:r>
        <w:t xml:space="preserve"> </w:t>
      </w:r>
      <w:r>
        <w:t xml:space="preserve">a 15 year time horizon was used with 5 year intervals. The year closest to the year of the change in vaccination policy (2005), which had model estimates, was used as the baseline.</w:t>
      </w:r>
    </w:p>
    <w:p>
      <w:pPr>
        <w:pStyle w:val="Heading2"/>
      </w:pPr>
      <w:bookmarkStart w:id="34" w:name="patient-and-public-involvement"/>
      <w:bookmarkEnd w:id="34"/>
      <w:r>
        <w:t xml:space="preserve">Patient and public involvement</w:t>
      </w:r>
    </w:p>
    <w:p>
      <w:pPr>
        <w:pStyle w:val="FirstParagraph"/>
      </w:pPr>
      <w:r>
        <w:t xml:space="preserve">We did not involve patients or the public in design or planning of this study.</w:t>
      </w:r>
    </w:p>
    <w:p>
      <w:pPr>
        <w:pStyle w:val="Heading1"/>
      </w:pPr>
      <w:bookmarkStart w:id="35" w:name="results"/>
      <w:bookmarkEnd w:id="35"/>
      <w:r>
        <w:t xml:space="preserve">Results</w:t>
      </w:r>
    </w:p>
    <w:p>
      <w:pPr>
        <w:pStyle w:val="Heading2"/>
      </w:pPr>
      <w:bookmarkStart w:id="36" w:name="model-validation"/>
      <w:bookmarkEnd w:id="36"/>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37" w:name="annual-change-in-tb-incidence-rates"/>
      <w:bookmarkEnd w:id="37"/>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 The median annual decrease estimated using notifications was 3.13% (2.5, 97.5% Quantiles (Q): -8.32%, 11.45%), with a maximum of 15.13% (2.5, 97.5% Q: 14.23%, 16.04%) in 1987 and a minimum of -10.18% (2.5, 97.5% Q: -10.82%, -9.52%) in 2005. Using age-specific incidence rates we estimated the median annual decrease in incidence rates for 15-19 year olds was 1.62% (2.5, 97.5% Q: -40.38%, 39.89%), 3.15% (2.5, 97.5% Q: -33.93%, 38.25%) for 20-24 year olds, and 2.66% (2.5, 97.5% Q: -36.37%, 37.29%) for 25-29 year olds. There was substantial variation between years and a high degree of uncertainty.</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39" w:name="vaccines-required-to-prevent-a-single-notification"/>
      <w:bookmarkEnd w:id="39"/>
      <w:r>
        <w:t xml:space="preserve">Vaccines required to prevent a single notification</w:t>
      </w:r>
    </w:p>
    <w:p>
      <w:pPr>
        <w:pStyle w:val="FirstParagraph"/>
      </w:pPr>
      <w:r>
        <w:t xml:space="preserve">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an estimated 1600 (2.5, 97.5% Q: 1300, 2100) vaccines were required to prevent a case in 2004 when the annual decrease was assumed to be 1.9%. Estimates of the number of vaccines required to prevent a notification were comparable but not equivalent when the annual decrease was estimated using notifications (1400 (2.5, 97.5% Q: 1100, 1700), P: 0.077) and age-specific incidence rates (1500 (2.5, 97.5% Q: 450, 5000), P: 0.083). The estimate using incidence rates had a high degree of uncertainty (figure 2). The number of vaccines required increased slightly over time with 1800 (2.5, 97.5% Q: 1500, 2300)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3"/>
      </w:pPr>
      <w:bookmarkStart w:id="41" w:name="average-annual-additional-cases-from-ending-the-bcg-schools-scheme-at-various-dates"/>
      <w:bookmarkEnd w:id="41"/>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 97.5% Q: 16, 25) notifications prevented annually if vaccination was stopped in 2001. As the assumed annual decrease in incidence rates was reduced the annual number of additional notifications prevented increased with 302 (2.5, 97.5% Q: 238, 369) notifications prevented annually when the annual decrease was assumed to be 1.9% and vaccination stopping in 2001. There was some evidence that the average annual number of notifications prevented was greater when the annual decrease was estimated using notifications (359 (2.5, 97.5% Q: 282, 439), P: 0.083) and age-specific incidence rates (359 (2.5, 97.5% Q: 102, 1332), P: 0.083), compared to an assumed annual decrease of 1.9% (figure 2). The estimate made using incidence rates again had a high degree of uncertainty. When an annual decrease of 1.9% was assumed the number of notifications prevented annually reduced with time: 255 (2.5, 97.5% Q: 201, 313) from ending vaccination in 2006; 196 (2.5, 97.5% Q: 152, 242) from ending vaccination in 2011, and 120 (2.5, 97.5% Q: 88, 155) from ending vaccination in 2016.</w:t>
      </w:r>
    </w:p>
    <w:p>
      <w:pPr>
        <w:pStyle w:val="FigureWithCaption"/>
      </w:pPr>
      <w:r>
        <w:drawing>
          <wp:inline>
            <wp:extent cx="5943600" cy="4457700"/>
            <wp:effectExtent b="0" l="0" r="0" t="0"/>
            <wp:docPr descr="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2"/>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1"/>
      </w:pPr>
      <w:bookmarkStart w:id="43" w:name="discussion"/>
      <w:bookmarkEnd w:id="43"/>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were based on the framework used to inform policy making. This allowed the strength of model used in the decision-making process to be assessed once parameter uncertainty had been incorperated. This would not have been possible if the impact had been assessed using only the observed data or with a more complex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vaccines required to prevent a single notification within 15 years in 2014 (this was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would also be less likely to result in the same reductions in ongoing transmission.</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This is problematic for policy makers as the worst 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epidemiolgical impact of vaccination only.</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pPr>
        <w:pStyle w:val="BodyText"/>
      </w:pPr>
      <w:r>
        <w:t xml:space="preserve">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4">
        <w:r>
          <w:rPr>
            <w:rStyle w:val="Hyperlink"/>
          </w:rPr>
          <w:t xml:space="preserve">https://doi.org/10.5281/zenodo.2635687</w:t>
        </w:r>
      </w:hyperlink>
    </w:p>
    <w:p>
      <w:pPr>
        <w:pStyle w:val="Heading1"/>
      </w:pPr>
      <w:bookmarkStart w:id="45" w:name="references"/>
      <w:bookmarkEnd w:id="45"/>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46">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Heading1"/>
      </w:pPr>
      <w:bookmarkStart w:id="47" w:name="abstract"/>
      <w:bookmarkEnd w:id="47"/>
      <w:r>
        <w:t xml:space="preserve">Abstract</w:t>
      </w:r>
    </w:p>
    <w:p>
      <w:pPr>
        <w:pStyle w:val="Heading2"/>
      </w:pPr>
      <w:bookmarkStart w:id="48" w:name="objectives"/>
      <w:bookmarkEnd w:id="48"/>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49" w:name="design"/>
      <w:bookmarkEnd w:id="49"/>
      <w:r>
        <w:t xml:space="preserve">Design</w:t>
      </w:r>
    </w:p>
    <w:p>
      <w:pPr>
        <w:pStyle w:val="FirstParagraph"/>
      </w:pPr>
      <w:r>
        <w:t xml:space="preserve">We recreated a previous approach for estimating the impact of ending the BCG schools scheme, updating the model with parameter uncertainty and improved parameter estimates when available. We investigated scenarios for the assumed annual decrease in TB incidence rates considered by the UK’s Joint Committee on Vaccination and Immunisation, and explored new approaches using notification data.</w:t>
      </w:r>
    </w:p>
    <w:p>
      <w:pPr>
        <w:pStyle w:val="Heading2"/>
      </w:pPr>
      <w:bookmarkStart w:id="50" w:name="setting"/>
      <w:bookmarkEnd w:id="50"/>
      <w:r>
        <w:t xml:space="preserve">Setting</w:t>
      </w:r>
    </w:p>
    <w:p>
      <w:pPr>
        <w:pStyle w:val="FirstParagraph"/>
      </w:pPr>
      <w:r>
        <w:t xml:space="preserve">England and Wales.</w:t>
      </w:r>
    </w:p>
    <w:p>
      <w:pPr>
        <w:pStyle w:val="Heading2"/>
      </w:pPr>
      <w:bookmarkStart w:id="51" w:name="outcome-measures"/>
      <w:bookmarkEnd w:id="51"/>
      <w:r>
        <w:t xml:space="preserve">Outcome measures</w:t>
      </w:r>
    </w:p>
    <w:p>
      <w:pPr>
        <w:pStyle w:val="FirstParagraph"/>
      </w:pPr>
      <w:r>
        <w:t xml:space="preserve">The number of vaccines needed to prevent a single notification, and the average annual additional notifications caused by ending the BCG schools’ scheme.</w:t>
      </w:r>
    </w:p>
    <w:p>
      <w:pPr>
        <w:pStyle w:val="Heading2"/>
      </w:pPr>
      <w:bookmarkStart w:id="52" w:name="results-1"/>
      <w:bookmarkEnd w:id="52"/>
      <w:r>
        <w:t xml:space="preserve">Results</w:t>
      </w:r>
    </w:p>
    <w:p>
      <w:pPr>
        <w:pStyle w:val="FirstParagraph"/>
      </w:pPr>
      <w:r>
        <w:t xml:space="preserve">The recreated model produced predictions with wide confidence intervals when parameter uncertainty was included. Estimates using the original model assumptions greatly underpredicted the impact of ending school-age vaccination compared to estimates using notification data. Updating the assumed annual decrease in TB incidence rates resulted in estimates that were more comparable with notification data with an annual decrease of 1.9% representing the closest estimate to the data. Using this assumption, we estimate that 1600 (2.5,97.5% Quantiles (Q): 1300, 2100) vaccines would have been required to prevent a single notification in 2004 (closest modelled date to actual policy change in 2005). If the scheme had ended in 2001, 302 (2.5,97.5% Q: 238, 369) additional annual notifications would have occurred compared to if the scheme had continued.</w:t>
      </w:r>
    </w:p>
    <w:p>
      <w:pPr>
        <w:pStyle w:val="Heading2"/>
      </w:pPr>
      <w:bookmarkStart w:id="53" w:name="conclusions"/>
      <w:bookmarkEnd w:id="53"/>
      <w:r>
        <w:t xml:space="preserve">Conclusions</w:t>
      </w:r>
    </w:p>
    <w:p>
      <w:pPr>
        <w:pStyle w:val="FirstParagraph"/>
      </w:pPr>
      <w:r>
        <w:t xml:space="preserve">The previously published estimates of the impact of ending the BCG schools scheme were found to be spuriously precise once updated with parameter uncertainty. Our estimates of the impact of ending the BCG schools scheme were highly sensitive to the annual decrease in incidence rates. The impact of ending the BCG schools’ scheme was found to be greater than previously thought when parameter values were updated, and notification data were used. Our results highlight the importance of including uncertainty and evalating multiple scenarios when forecasting the impact of changes in vaccination policy.</w:t>
      </w:r>
    </w:p>
    <w:p>
      <w:pPr>
        <w:pStyle w:val="Heading1"/>
      </w:pPr>
      <w:bookmarkStart w:id="54" w:name="supplementary-information-reassessing-the-evidence-for-universal-school-age-bacillus-calmette-guerin-bcg-vaccination-in-england-and-wales"/>
      <w:bookmarkEnd w:id="54"/>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5" w:name="model-validation-1"/>
      <w:bookmarkEnd w:id="55"/>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6" w:name="results-2"/>
      <w:bookmarkEnd w:id="56"/>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(730, 1100)</w:t>
            </w:r>
          </w:p>
        </w:tc>
        <w:tc>
          <w:p>
            <w:pPr>
              <w:pStyle w:val="Compact"/>
              <w:jc w:val="left"/>
            </w:pPr>
            <w:r>
              <w:t xml:space="preserve">860 (710,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870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910 (740, 1200)</w:t>
            </w:r>
          </w:p>
        </w:tc>
        <w:tc>
          <w:p>
            <w:pPr>
              <w:pStyle w:val="Compact"/>
              <w:jc w:val="left"/>
            </w:pPr>
            <w:r>
              <w:t xml:space="preserve">1000 (860, 1300)</w:t>
            </w:r>
          </w:p>
        </w:tc>
        <w:tc>
          <w:p>
            <w:pPr>
              <w:pStyle w:val="Compact"/>
              <w:jc w:val="left"/>
            </w:pPr>
            <w:r>
              <w:t xml:space="preserve">1100 (660, 1700)</w:t>
            </w:r>
          </w:p>
        </w:tc>
      </w:tr>
      <w:tr>
        <w:tc>
          <w:p>
            <w:pPr>
              <w:pStyle w:val="Compact"/>
              <w:jc w:val="right"/>
            </w:pPr>
            <w:r>
              <w:t xml:space="preserve">1984</w:t>
            </w:r>
          </w:p>
        </w:tc>
        <w:tc>
          <w:p>
            <w:pPr>
              <w:pStyle w:val="Compact"/>
              <w:jc w:val="left"/>
            </w:pPr>
            <w:r>
              <w:t xml:space="preserve">2200</w:t>
            </w:r>
          </w:p>
        </w:tc>
        <w:tc>
          <w:p>
            <w:pPr>
              <w:pStyle w:val="Compact"/>
              <w:jc w:val="left"/>
            </w:pPr>
            <w:r>
              <w:t xml:space="preserve">2300 (1800, 2900)</w:t>
            </w:r>
          </w:p>
        </w:tc>
        <w:tc>
          <w:p>
            <w:pPr>
              <w:pStyle w:val="Compact"/>
              <w:jc w:val="left"/>
            </w:pPr>
            <w:r>
              <w:t xml:space="preserve">1400 (1100, 1700)</w:t>
            </w:r>
          </w:p>
        </w:tc>
        <w:tc>
          <w:p>
            <w:pPr>
              <w:pStyle w:val="Compact"/>
              <w:jc w:val="left"/>
            </w:pPr>
            <w:r>
              <w:t xml:space="preserve">1100 (900, 1400)</w:t>
            </w:r>
          </w:p>
        </w:tc>
        <w:tc>
          <w:p>
            <w:pPr>
              <w:pStyle w:val="Compact"/>
              <w:jc w:val="left"/>
            </w:pPr>
            <w:r>
              <w:t xml:space="preserve">910 (740, 1200)</w:t>
            </w:r>
          </w:p>
        </w:tc>
        <w:tc>
          <w:p>
            <w:pPr>
              <w:pStyle w:val="Compact"/>
              <w:jc w:val="left"/>
            </w:pPr>
            <w:r>
              <w:t xml:space="preserve">1600 (1300, 2000)</w:t>
            </w:r>
          </w:p>
        </w:tc>
        <w:tc>
          <w:p>
            <w:pPr>
              <w:pStyle w:val="Compact"/>
              <w:jc w:val="left"/>
            </w:pPr>
            <w:r>
              <w:t xml:space="preserve">1500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1700 (1300, 2100)</w:t>
            </w:r>
          </w:p>
        </w:tc>
        <w:tc>
          <w:p>
            <w:pPr>
              <w:pStyle w:val="Compact"/>
              <w:jc w:val="left"/>
            </w:pPr>
            <w:r>
              <w:t xml:space="preserve">1200 (990, 1500)</w:t>
            </w:r>
          </w:p>
        </w:tc>
        <w:tc>
          <w:p>
            <w:pPr>
              <w:pStyle w:val="Compact"/>
              <w:jc w:val="left"/>
            </w:pPr>
            <w:r>
              <w:t xml:space="preserve">910 (740, 1200)</w:t>
            </w:r>
          </w:p>
        </w:tc>
        <w:tc>
          <w:p>
            <w:pPr>
              <w:pStyle w:val="Compact"/>
              <w:jc w:val="left"/>
            </w:pPr>
            <w:r>
              <w:t xml:space="preserve">1800 (1500, 2300)</w:t>
            </w:r>
          </w:p>
        </w:tc>
        <w:tc>
          <w:p>
            <w:pPr>
              <w:pStyle w:val="Compact"/>
              <w:jc w:val="left"/>
            </w:pPr>
            <w:r>
              <w:t xml:space="preserve">1700 (760, 4000)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7400)</w:t>
            </w:r>
          </w:p>
        </w:tc>
        <w:tc>
          <w:p>
            <w:pPr>
              <w:pStyle w:val="Compact"/>
              <w:jc w:val="left"/>
            </w:pPr>
            <w:r>
              <w:t xml:space="preserve">2000 (1600, 2600)</w:t>
            </w:r>
          </w:p>
        </w:tc>
        <w:tc>
          <w:p>
            <w:pPr>
              <w:pStyle w:val="Compact"/>
              <w:jc w:val="left"/>
            </w:pPr>
            <w:r>
              <w:t xml:space="preserve">1300 (1100, 1700)</w:t>
            </w:r>
          </w:p>
        </w:tc>
        <w:tc>
          <w:p>
            <w:pPr>
              <w:pStyle w:val="Compact"/>
              <w:jc w:val="left"/>
            </w:pPr>
            <w:r>
              <w:t xml:space="preserve">910 (740, 1200)</w:t>
            </w:r>
          </w:p>
        </w:tc>
        <w:tc>
          <w:p>
            <w:pPr>
              <w:pStyle w:val="Compact"/>
              <w:jc w:val="left"/>
            </w:pPr>
            <w:r>
              <w:t xml:space="preserve">1700 (1400, 2200)</w:t>
            </w:r>
          </w:p>
        </w:tc>
        <w:tc>
          <w:p>
            <w:pPr>
              <w:pStyle w:val="Compact"/>
              <w:jc w:val="left"/>
            </w:pPr>
            <w:r>
              <w:t xml:space="preserve">1600 (630, 4200)</w:t>
            </w:r>
          </w:p>
        </w:tc>
      </w:tr>
      <w:tr>
        <w:tc>
          <w:p>
            <w:pPr>
              <w:pStyle w:val="Compact"/>
              <w:jc w:val="right"/>
            </w:pPr>
            <w:r>
              <w:t xml:space="preserve">1999</w:t>
            </w:r>
          </w:p>
        </w:tc>
        <w:tc>
          <w:p>
            <w:pPr>
              <w:pStyle w:val="Compact"/>
              <w:jc w:val="left"/>
            </w:pPr>
            <w:r>
              <w:t xml:space="preserve">9300</w:t>
            </w:r>
          </w:p>
        </w:tc>
        <w:tc>
          <w:p>
            <w:pPr>
              <w:pStyle w:val="Compact"/>
              <w:jc w:val="left"/>
            </w:pPr>
            <w:r>
              <w:t xml:space="preserve">9300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910 (740, 1200)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(2500, 3800)</w:t>
            </w:r>
          </w:p>
        </w:tc>
        <w:tc>
          <w:p>
            <w:pPr>
              <w:pStyle w:val="Compact"/>
              <w:jc w:val="left"/>
            </w:pPr>
            <w:r>
              <w:t xml:space="preserve">1600 (1300, 2100)</w:t>
            </w:r>
          </w:p>
        </w:tc>
        <w:tc>
          <w:p>
            <w:pPr>
              <w:pStyle w:val="Compact"/>
              <w:jc w:val="left"/>
            </w:pPr>
            <w:r>
              <w:t xml:space="preserve">910 (740, 1200)</w:t>
            </w:r>
          </w:p>
        </w:tc>
        <w:tc>
          <w:p>
            <w:pPr>
              <w:pStyle w:val="Compact"/>
              <w:jc w:val="left"/>
            </w:pPr>
            <w:r>
              <w:t xml:space="preserve">1400 (1100, 1700)</w:t>
            </w:r>
          </w:p>
        </w:tc>
        <w:tc>
          <w:p>
            <w:pPr>
              <w:pStyle w:val="Compact"/>
              <w:jc w:val="left"/>
            </w:pPr>
            <w:r>
              <w:t xml:space="preserve">1500 (450, 5000)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3700 (3000, 4600)</w:t>
            </w:r>
          </w:p>
        </w:tc>
        <w:tc>
          <w:p>
            <w:pPr>
              <w:pStyle w:val="Compact"/>
              <w:jc w:val="left"/>
            </w:pPr>
            <w:r>
              <w:t xml:space="preserve">1800 (1500, 2300)</w:t>
            </w:r>
          </w:p>
        </w:tc>
        <w:tc>
          <w:p>
            <w:pPr>
              <w:pStyle w:val="Compact"/>
              <w:jc w:val="left"/>
            </w:pPr>
            <w:r>
              <w:t xml:space="preserve">910 (740, 1200)</w:t>
            </w:r>
          </w:p>
        </w:tc>
        <w:tc>
          <w:p>
            <w:pPr>
              <w:pStyle w:val="Compact"/>
              <w:jc w:val="left"/>
            </w:pPr>
            <w:r>
              <w:t xml:space="preserve">1200 (960, 1500)</w:t>
            </w:r>
          </w:p>
        </w:tc>
        <w:tc>
          <w:p>
            <w:pPr>
              <w:pStyle w:val="Compact"/>
              <w:jc w:val="left"/>
            </w:pPr>
            <w:r>
              <w:t xml:space="preserve">1200 (330,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49000)</w:t>
            </w:r>
          </w:p>
        </w:tc>
        <w:tc>
          <w:p>
            <w:pPr>
              <w:pStyle w:val="Compact"/>
              <w:jc w:val="left"/>
            </w:pPr>
            <w:r>
              <w:t xml:space="preserve">4500 (3600, 5700)</w:t>
            </w:r>
          </w:p>
        </w:tc>
        <w:tc>
          <w:p>
            <w:pPr>
              <w:pStyle w:val="Compact"/>
              <w:jc w:val="left"/>
            </w:pPr>
            <w:r>
              <w:t xml:space="preserve">2000 (1600, 2500)</w:t>
            </w:r>
          </w:p>
        </w:tc>
        <w:tc>
          <w:p>
            <w:pPr>
              <w:pStyle w:val="Compact"/>
              <w:jc w:val="left"/>
            </w:pPr>
            <w:r>
              <w:t xml:space="preserve">910 (740, 1200)</w:t>
            </w:r>
          </w:p>
        </w:tc>
        <w:tc>
          <w:p>
            <w:pPr>
              <w:pStyle w:val="Compact"/>
              <w:jc w:val="left"/>
            </w:pPr>
            <w:r>
              <w:t xml:space="preserve">1500 (1200, 1900)</w:t>
            </w:r>
          </w:p>
        </w:tc>
        <w:tc>
          <w:p>
            <w:pPr>
              <w:pStyle w:val="Compact"/>
              <w:jc w:val="left"/>
            </w:pPr>
            <w:r>
              <w:t xml:space="preserve">1500 (370,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(4500, 6900)</w:t>
            </w:r>
          </w:p>
        </w:tc>
        <w:tc>
          <w:p>
            <w:pPr>
              <w:pStyle w:val="Compact"/>
              <w:jc w:val="left"/>
            </w:pPr>
            <w:r>
              <w:t xml:space="preserve">2200 (1800, 2700)</w:t>
            </w:r>
          </w:p>
        </w:tc>
        <w:tc>
          <w:p>
            <w:pPr>
              <w:pStyle w:val="Compact"/>
              <w:jc w:val="left"/>
            </w:pPr>
            <w:r>
              <w:t xml:space="preserve">910 (740, 1200)</w:t>
            </w:r>
          </w:p>
        </w:tc>
        <w:tc>
          <w:p>
            <w:pPr>
              <w:pStyle w:val="Compact"/>
              <w:jc w:val="left"/>
            </w:pPr>
            <w:r>
              <w:t xml:space="preserve">2200 (1800, 2700)</w:t>
            </w:r>
          </w:p>
        </w:tc>
        <w:tc>
          <w:p>
            <w:pPr>
              <w:pStyle w:val="Compact"/>
              <w:jc w:val="left"/>
            </w:pPr>
            <w:r>
              <w:t xml:space="preserve">2300 (470, 10000)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130000)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910 (740, 1200)</w:t>
            </w:r>
          </w:p>
        </w:tc>
        <w:tc>
          <w:p>
            <w:pPr>
              <w:pStyle w:val="Compact"/>
              <w:jc w:val="left"/>
            </w:pPr>
            <w:r>
              <w:t xml:space="preserve">3200 (2600, 4100)</w:t>
            </w:r>
          </w:p>
        </w:tc>
        <w:tc>
          <w:p>
            <w:pPr>
              <w:pStyle w:val="Compact"/>
              <w:jc w:val="left"/>
            </w:pPr>
            <w:r>
              <w:t xml:space="preserve">3300 (530, 18000)</w:t>
            </w:r>
          </w:p>
        </w:tc>
      </w:tr>
    </w:tbl>
    <w:p>
      <w:pPr>
        <w:pStyle w:val="TableCaption"/>
      </w:pPr>
      <w:r>
        <w:t xml:space="preserve">Supplementary Table S3: The median number (with the 2.5% and 97.% quantiles) of additional annual notifications due to ending the BCG schools scheme in selected years.</w:t>
      </w:r>
    </w:p>
    <w:tbl>
      <w:tblPr>
        <w:tblStyle w:val="TableNormal"/>
        <w:tblW w:type="pct" w:w="0.0"/>
        <w:tblLook w:firstRow="1"/>
        <w:tblCaption w:val="Supplementary Table S3: The median number (with the 2.5% and 97.% quantiles) of additional annual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left"/>
            </w:pPr>
            <w:r>
              <w:t xml:space="preserve">1971</w:t>
            </w:r>
          </w:p>
        </w:tc>
        <w:tc>
          <w:p>
            <w:pPr>
              <w:pStyle w:val="Compact"/>
              <w:jc w:val="left"/>
            </w:pPr>
            <w:r>
              <w:t xml:space="preserve">204</w:t>
            </w:r>
          </w:p>
        </w:tc>
        <w:tc>
          <w:p>
            <w:pPr>
              <w:pStyle w:val="Compact"/>
              <w:jc w:val="left"/>
            </w:pPr>
            <w:r>
              <w:t xml:space="preserve">203 (162, 247)</w:t>
            </w:r>
          </w:p>
        </w:tc>
        <w:tc>
          <w:p>
            <w:pPr>
              <w:pStyle w:val="Compact"/>
              <w:jc w:val="left"/>
            </w:pPr>
            <w:r>
              <w:t xml:space="preserve">391 (310, 476)</w:t>
            </w:r>
          </w:p>
        </w:tc>
        <w:tc>
          <w:p>
            <w:pPr>
              <w:pStyle w:val="Compact"/>
              <w:jc w:val="left"/>
            </w:pPr>
            <w:r>
              <w:t xml:space="preserve">557 (440, 678)</w:t>
            </w:r>
          </w:p>
        </w:tc>
        <w:tc>
          <w:p>
            <w:pPr>
              <w:pStyle w:val="Compact"/>
              <w:jc w:val="left"/>
            </w:pPr>
            <w:r>
              <w:t xml:space="preserve">827 (652, 1009)</w:t>
            </w:r>
          </w:p>
        </w:tc>
        <w:tc>
          <w:p>
            <w:pPr>
              <w:pStyle w:val="Compact"/>
              <w:jc w:val="left"/>
            </w:pPr>
            <w:r>
              <w:t xml:space="preserve">531 (421, 646)</w:t>
            </w:r>
          </w:p>
        </w:tc>
        <w:tc>
          <w:p>
            <w:pPr>
              <w:pStyle w:val="Compact"/>
              <w:jc w:val="left"/>
            </w:pPr>
            <w:r>
              <w:t xml:space="preserve">548 (273, 1254)</w:t>
            </w:r>
          </w:p>
        </w:tc>
      </w:tr>
      <w:tr>
        <w:tc>
          <w:p>
            <w:pPr>
              <w:pStyle w:val="Compact"/>
              <w:jc w:val="left"/>
            </w:pPr>
            <w:r>
              <w:t xml:space="preserve">1976</w:t>
            </w:r>
          </w:p>
        </w:tc>
        <w:tc>
          <w:p>
            <w:pPr>
              <w:pStyle w:val="Compact"/>
              <w:jc w:val="left"/>
            </w:pPr>
            <w:r>
              <w:t xml:space="preserve">158</w:t>
            </w:r>
          </w:p>
        </w:tc>
        <w:tc>
          <w:p>
            <w:pPr>
              <w:pStyle w:val="Compact"/>
              <w:jc w:val="left"/>
            </w:pPr>
            <w:r>
              <w:t xml:space="preserve">157 (123, 193)</w:t>
            </w:r>
          </w:p>
        </w:tc>
        <w:tc>
          <w:p>
            <w:pPr>
              <w:pStyle w:val="Compact"/>
              <w:jc w:val="left"/>
            </w:pPr>
            <w:r>
              <w:t xml:space="preserve">350 (276, 428)</w:t>
            </w:r>
          </w:p>
        </w:tc>
        <w:tc>
          <w:p>
            <w:pPr>
              <w:pStyle w:val="Compact"/>
              <w:jc w:val="left"/>
            </w:pPr>
            <w:r>
              <w:t xml:space="preserve">525 (414, 643)</w:t>
            </w:r>
          </w:p>
        </w:tc>
        <w:tc>
          <w:p>
            <w:pPr>
              <w:pStyle w:val="Compact"/>
              <w:jc w:val="left"/>
            </w:pPr>
            <w:r>
              <w:t xml:space="preserve">816 (642, 998)</w:t>
            </w:r>
          </w:p>
        </w:tc>
        <w:tc>
          <w:p>
            <w:pPr>
              <w:pStyle w:val="Compact"/>
              <w:jc w:val="left"/>
            </w:pPr>
            <w:r>
              <w:t xml:space="preserve">497 (391, 607)</w:t>
            </w:r>
          </w:p>
        </w:tc>
        <w:tc>
          <w:p>
            <w:pPr>
              <w:pStyle w:val="Compact"/>
              <w:jc w:val="left"/>
            </w:pPr>
            <w:r>
              <w:t xml:space="preserve">520 (236, 1282)</w:t>
            </w:r>
          </w:p>
        </w:tc>
      </w:tr>
      <w:tr>
        <w:tc>
          <w:p>
            <w:pPr>
              <w:pStyle w:val="Compact"/>
              <w:jc w:val="left"/>
            </w:pPr>
            <w:r>
              <w:t xml:space="preserve">1981</w:t>
            </w:r>
          </w:p>
        </w:tc>
        <w:tc>
          <w:p>
            <w:pPr>
              <w:pStyle w:val="Compact"/>
              <w:jc w:val="left"/>
            </w:pPr>
            <w:r>
              <w:t xml:space="preserve">97</w:t>
            </w:r>
          </w:p>
        </w:tc>
        <w:tc>
          <w:p>
            <w:pPr>
              <w:pStyle w:val="Compact"/>
              <w:jc w:val="left"/>
            </w:pPr>
            <w:r>
              <w:t xml:space="preserve">97 (76, 119)</w:t>
            </w:r>
          </w:p>
        </w:tc>
        <w:tc>
          <w:p>
            <w:pPr>
              <w:pStyle w:val="Compact"/>
              <w:jc w:val="left"/>
            </w:pPr>
            <w:r>
              <w:t xml:space="preserve">282 (223, 346)</w:t>
            </w:r>
          </w:p>
        </w:tc>
        <w:tc>
          <w:p>
            <w:pPr>
              <w:pStyle w:val="Compact"/>
              <w:jc w:val="left"/>
            </w:pPr>
            <w:r>
              <w:t xml:space="preserve">462 (364, 565)</w:t>
            </w:r>
          </w:p>
        </w:tc>
        <w:tc>
          <w:p>
            <w:pPr>
              <w:pStyle w:val="Compact"/>
              <w:jc w:val="left"/>
            </w:pPr>
            <w:r>
              <w:t xml:space="preserve">767 (604, 938)</w:t>
            </w:r>
          </w:p>
        </w:tc>
        <w:tc>
          <w:p>
            <w:pPr>
              <w:pStyle w:val="Compact"/>
              <w:jc w:val="left"/>
            </w:pPr>
            <w:r>
              <w:t xml:space="preserve">434 (341, 531)</w:t>
            </w:r>
          </w:p>
        </w:tc>
        <w:tc>
          <w:p>
            <w:pPr>
              <w:pStyle w:val="Compact"/>
              <w:jc w:val="left"/>
            </w:pPr>
            <w:r>
              <w:t xml:space="preserve">462 (181, 1275)</w:t>
            </w:r>
          </w:p>
        </w:tc>
      </w:tr>
      <w:tr>
        <w:tc>
          <w:p>
            <w:pPr>
              <w:pStyle w:val="Compact"/>
              <w:jc w:val="left"/>
            </w:pPr>
            <w:r>
              <w:t xml:space="preserve">1986</w:t>
            </w:r>
          </w:p>
        </w:tc>
        <w:tc>
          <w:p>
            <w:pPr>
              <w:pStyle w:val="Compact"/>
              <w:jc w:val="left"/>
            </w:pPr>
            <w:r>
              <w:t xml:space="preserve">61</w:t>
            </w:r>
          </w:p>
        </w:tc>
        <w:tc>
          <w:p>
            <w:pPr>
              <w:pStyle w:val="Compact"/>
              <w:jc w:val="left"/>
            </w:pPr>
            <w:r>
              <w:t xml:space="preserve">61 (48, 75)</w:t>
            </w:r>
          </w:p>
        </w:tc>
        <w:tc>
          <w:p>
            <w:pPr>
              <w:pStyle w:val="Compact"/>
              <w:jc w:val="left"/>
            </w:pPr>
            <w:r>
              <w:t xml:space="preserve">231 (182, 283)</w:t>
            </w:r>
          </w:p>
        </w:tc>
        <w:tc>
          <w:p>
            <w:pPr>
              <w:pStyle w:val="Compact"/>
              <w:jc w:val="left"/>
            </w:pPr>
            <w:r>
              <w:t xml:space="preserve">410 (323, 501)</w:t>
            </w:r>
          </w:p>
        </w:tc>
        <w:tc>
          <w:p>
            <w:pPr>
              <w:pStyle w:val="Compact"/>
              <w:jc w:val="left"/>
            </w:pPr>
            <w:r>
              <w:t xml:space="preserve">724 (570, 886)</w:t>
            </w:r>
          </w:p>
        </w:tc>
        <w:tc>
          <w:p>
            <w:pPr>
              <w:pStyle w:val="Compact"/>
              <w:jc w:val="left"/>
            </w:pPr>
            <w:r>
              <w:t xml:space="preserve">406 (319, 496)</w:t>
            </w:r>
          </w:p>
        </w:tc>
        <w:tc>
          <w:p>
            <w:pPr>
              <w:pStyle w:val="Compact"/>
              <w:jc w:val="left"/>
            </w:pPr>
            <w:r>
              <w:t xml:space="preserve">427 (151, 1282)</w:t>
            </w:r>
          </w:p>
        </w:tc>
      </w:tr>
      <w:tr>
        <w:tc>
          <w:p>
            <w:pPr>
              <w:pStyle w:val="Compact"/>
              <w:jc w:val="left"/>
            </w:pPr>
            <w:r>
              <w:t xml:space="preserve">1991</w:t>
            </w:r>
          </w:p>
        </w:tc>
        <w:tc>
          <w:p>
            <w:pPr>
              <w:pStyle w:val="Compact"/>
              <w:jc w:val="left"/>
            </w:pPr>
            <w:r>
              <w:t xml:space="preserve">43</w:t>
            </w:r>
          </w:p>
        </w:tc>
        <w:tc>
          <w:p>
            <w:pPr>
              <w:pStyle w:val="Compact"/>
              <w:jc w:val="left"/>
            </w:pPr>
            <w:r>
              <w:t xml:space="preserve">43 (34, 53)</w:t>
            </w:r>
          </w:p>
        </w:tc>
        <w:tc>
          <w:p>
            <w:pPr>
              <w:pStyle w:val="Compact"/>
              <w:jc w:val="left"/>
            </w:pPr>
            <w:r>
              <w:t xml:space="preserve">200 (158, 245)</w:t>
            </w:r>
          </w:p>
        </w:tc>
        <w:tc>
          <w:p>
            <w:pPr>
              <w:pStyle w:val="Compact"/>
              <w:jc w:val="left"/>
            </w:pPr>
            <w:r>
              <w:t xml:space="preserve">378 (298, 462)</w:t>
            </w:r>
          </w:p>
        </w:tc>
        <w:tc>
          <w:p>
            <w:pPr>
              <w:pStyle w:val="Compact"/>
              <w:jc w:val="left"/>
            </w:pPr>
            <w:r>
              <w:t xml:space="preserve">703 (554, 859)</w:t>
            </w:r>
          </w:p>
        </w:tc>
        <w:tc>
          <w:p>
            <w:pPr>
              <w:pStyle w:val="Compact"/>
              <w:jc w:val="left"/>
            </w:pPr>
            <w:r>
              <w:t xml:space="preserve">399 (313, 487)</w:t>
            </w:r>
          </w:p>
        </w:tc>
        <w:tc>
          <w:p>
            <w:pPr>
              <w:pStyle w:val="Compact"/>
              <w:jc w:val="left"/>
            </w:pPr>
            <w:r>
              <w:t xml:space="preserve">419 (138, 1336)</w:t>
            </w:r>
          </w:p>
        </w:tc>
      </w:tr>
      <w:tr>
        <w:tc>
          <w:p>
            <w:pPr>
              <w:pStyle w:val="Compact"/>
              <w:jc w:val="left"/>
            </w:pPr>
            <w:r>
              <w:t xml:space="preserve">1996</w:t>
            </w:r>
          </w:p>
        </w:tc>
        <w:tc>
          <w:p>
            <w:pPr>
              <w:pStyle w:val="Compact"/>
              <w:jc w:val="left"/>
            </w:pPr>
            <w:r>
              <w:t xml:space="preserve">30</w:t>
            </w:r>
          </w:p>
        </w:tc>
        <w:tc>
          <w:p>
            <w:pPr>
              <w:pStyle w:val="Compact"/>
              <w:jc w:val="left"/>
            </w:pPr>
            <w:r>
              <w:t xml:space="preserve">30 (23, 36)</w:t>
            </w:r>
          </w:p>
        </w:tc>
        <w:tc>
          <w:p>
            <w:pPr>
              <w:pStyle w:val="Compact"/>
              <w:jc w:val="left"/>
            </w:pPr>
            <w:r>
              <w:t xml:space="preserve">170 (134, 208)</w:t>
            </w:r>
          </w:p>
        </w:tc>
        <w:tc>
          <w:p>
            <w:pPr>
              <w:pStyle w:val="Compact"/>
              <w:jc w:val="left"/>
            </w:pPr>
            <w:r>
              <w:t xml:space="preserve">341 (269, 418)</w:t>
            </w:r>
          </w:p>
        </w:tc>
        <w:tc>
          <w:p>
            <w:pPr>
              <w:pStyle w:val="Compact"/>
              <w:jc w:val="left"/>
            </w:pPr>
            <w:r>
              <w:t xml:space="preserve">668 (526, 817)</w:t>
            </w:r>
          </w:p>
        </w:tc>
        <w:tc>
          <w:p>
            <w:pPr>
              <w:pStyle w:val="Compact"/>
              <w:jc w:val="left"/>
            </w:pPr>
            <w:r>
              <w:t xml:space="preserve">384 (301, 469)</w:t>
            </w:r>
          </w:p>
        </w:tc>
        <w:tc>
          <w:p>
            <w:pPr>
              <w:pStyle w:val="Compact"/>
              <w:jc w:val="left"/>
            </w:pPr>
            <w:r>
              <w:t xml:space="preserve">397 (122, 1354)</w:t>
            </w:r>
          </w:p>
        </w:tc>
      </w:tr>
      <w:tr>
        <w:tc>
          <w:p>
            <w:pPr>
              <w:pStyle w:val="Compact"/>
              <w:jc w:val="left"/>
            </w:pPr>
            <w:r>
              <w:t xml:space="preserve">2001</w:t>
            </w:r>
          </w:p>
        </w:tc>
        <w:tc>
          <w:p>
            <w:pPr>
              <w:pStyle w:val="Compact"/>
              <w:jc w:val="left"/>
            </w:pPr>
            <w:r>
              <w:t xml:space="preserve">20</w:t>
            </w:r>
          </w:p>
        </w:tc>
        <w:tc>
          <w:p>
            <w:pPr>
              <w:pStyle w:val="Compact"/>
              <w:jc w:val="left"/>
            </w:pPr>
            <w:r>
              <w:t xml:space="preserve">20 (16, 25)</w:t>
            </w:r>
          </w:p>
        </w:tc>
        <w:tc>
          <w:p>
            <w:pPr>
              <w:pStyle w:val="Compact"/>
              <w:jc w:val="left"/>
            </w:pPr>
            <w:r>
              <w:t xml:space="preserve">141 (111, 173)</w:t>
            </w:r>
          </w:p>
        </w:tc>
        <w:tc>
          <w:p>
            <w:pPr>
              <w:pStyle w:val="Compact"/>
              <w:jc w:val="left"/>
            </w:pPr>
            <w:r>
              <w:t xml:space="preserve">302 (238, 369)</w:t>
            </w:r>
          </w:p>
        </w:tc>
        <w:tc>
          <w:p>
            <w:pPr>
              <w:pStyle w:val="Compact"/>
              <w:jc w:val="left"/>
            </w:pPr>
            <w:r>
              <w:t xml:space="preserve">620 (489, 758)</w:t>
            </w:r>
          </w:p>
        </w:tc>
        <w:tc>
          <w:p>
            <w:pPr>
              <w:pStyle w:val="Compact"/>
              <w:jc w:val="left"/>
            </w:pPr>
            <w:r>
              <w:t xml:space="preserve">359 (282, 439)</w:t>
            </w:r>
          </w:p>
        </w:tc>
        <w:tc>
          <w:p>
            <w:pPr>
              <w:pStyle w:val="Compact"/>
              <w:jc w:val="left"/>
            </w:pPr>
            <w:r>
              <w:t xml:space="preserve">359 (102, 1332)</w:t>
            </w:r>
          </w:p>
        </w:tc>
      </w:tr>
      <w:tr>
        <w:tc>
          <w:p>
            <w:pPr>
              <w:pStyle w:val="Compact"/>
              <w:jc w:val="left"/>
            </w:pPr>
            <w:r>
              <w:t xml:space="preserve">2006</w:t>
            </w:r>
          </w:p>
        </w:tc>
        <w:tc>
          <w:p>
            <w:pPr>
              <w:pStyle w:val="Compact"/>
              <w:jc w:val="left"/>
            </w:pPr>
            <w:r>
              <w:t xml:space="preserve">14</w:t>
            </w:r>
          </w:p>
        </w:tc>
        <w:tc>
          <w:p>
            <w:pPr>
              <w:pStyle w:val="Compact"/>
              <w:jc w:val="left"/>
            </w:pPr>
            <w:r>
              <w:t xml:space="preserve">14 (11, 17)</w:t>
            </w:r>
          </w:p>
        </w:tc>
        <w:tc>
          <w:p>
            <w:pPr>
              <w:pStyle w:val="Compact"/>
              <w:jc w:val="left"/>
            </w:pPr>
            <w:r>
              <w:t xml:space="preserve">113 (89, 139)</w:t>
            </w:r>
          </w:p>
        </w:tc>
        <w:tc>
          <w:p>
            <w:pPr>
              <w:pStyle w:val="Compact"/>
              <w:jc w:val="left"/>
            </w:pPr>
            <w:r>
              <w:t xml:space="preserve">255 (201, 313)</w:t>
            </w:r>
          </w:p>
        </w:tc>
        <w:tc>
          <w:p>
            <w:pPr>
              <w:pStyle w:val="Compact"/>
              <w:jc w:val="left"/>
            </w:pPr>
            <w:r>
              <w:t xml:space="preserve">550 (433, 673)</w:t>
            </w:r>
          </w:p>
        </w:tc>
        <w:tc>
          <w:p>
            <w:pPr>
              <w:pStyle w:val="Compact"/>
              <w:jc w:val="left"/>
            </w:pPr>
            <w:r>
              <w:t xml:space="preserve">311 (244, 380)</w:t>
            </w:r>
          </w:p>
        </w:tc>
        <w:tc>
          <w:p>
            <w:pPr>
              <w:pStyle w:val="Compact"/>
              <w:jc w:val="left"/>
            </w:pPr>
            <w:r>
              <w:t xml:space="preserve">314 (84, 1265)</w:t>
            </w:r>
          </w:p>
        </w:tc>
      </w:tr>
      <w:tr>
        <w:tc>
          <w:p>
            <w:pPr>
              <w:pStyle w:val="Compact"/>
              <w:jc w:val="left"/>
            </w:pPr>
            <w:r>
              <w:t xml:space="preserve">2011</w:t>
            </w:r>
          </w:p>
        </w:tc>
        <w:tc>
          <w:p>
            <w:pPr>
              <w:pStyle w:val="Compact"/>
              <w:jc w:val="left"/>
            </w:pPr>
            <w:r>
              <w:t xml:space="preserve">9</w:t>
            </w:r>
          </w:p>
        </w:tc>
        <w:tc>
          <w:p>
            <w:pPr>
              <w:pStyle w:val="Compact"/>
              <w:jc w:val="left"/>
            </w:pPr>
            <w:r>
              <w:t xml:space="preserve">9 (6, 11)</w:t>
            </w:r>
          </w:p>
        </w:tc>
        <w:tc>
          <w:p>
            <w:pPr>
              <w:pStyle w:val="Compact"/>
              <w:jc w:val="left"/>
            </w:pPr>
            <w:r>
              <w:t xml:space="preserve">82 (64, 102)</w:t>
            </w:r>
          </w:p>
        </w:tc>
        <w:tc>
          <w:p>
            <w:pPr>
              <w:pStyle w:val="Compact"/>
              <w:jc w:val="left"/>
            </w:pPr>
            <w:r>
              <w:t xml:space="preserve">196 (152, 242)</w:t>
            </w:r>
          </w:p>
        </w:tc>
        <w:tc>
          <w:p>
            <w:pPr>
              <w:pStyle w:val="Compact"/>
              <w:jc w:val="left"/>
            </w:pPr>
            <w:r>
              <w:t xml:space="preserve">440 (343, 542)</w:t>
            </w:r>
          </w:p>
        </w:tc>
        <w:tc>
          <w:p>
            <w:pPr>
              <w:pStyle w:val="Compact"/>
              <w:jc w:val="left"/>
            </w:pPr>
            <w:r>
              <w:t xml:space="preserve">215 (167, 265)</w:t>
            </w:r>
          </w:p>
        </w:tc>
        <w:tc>
          <w:p>
            <w:pPr>
              <w:pStyle w:val="Compact"/>
              <w:jc w:val="left"/>
            </w:pPr>
            <w:r>
              <w:t xml:space="preserve">215 (51, 1026)</w:t>
            </w:r>
          </w:p>
        </w:tc>
      </w:tr>
      <w:tr>
        <w:tc>
          <w:p>
            <w:pPr>
              <w:pStyle w:val="Compact"/>
              <w:jc w:val="left"/>
            </w:pPr>
            <w:r>
              <w:t xml:space="preserve">2016</w:t>
            </w:r>
          </w:p>
        </w:tc>
        <w:tc>
          <w:p>
            <w:pPr>
              <w:pStyle w:val="Compact"/>
              <w:jc w:val="left"/>
            </w:pPr>
            <w:r>
              <w:t xml:space="preserve">5</w:t>
            </w:r>
          </w:p>
        </w:tc>
        <w:tc>
          <w:p>
            <w:pPr>
              <w:pStyle w:val="Compact"/>
              <w:jc w:val="left"/>
            </w:pPr>
            <w:r>
              <w:t xml:space="preserve">5 (3, 5)</w:t>
            </w:r>
          </w:p>
        </w:tc>
        <w:tc>
          <w:p>
            <w:pPr>
              <w:pStyle w:val="Compact"/>
              <w:jc w:val="left"/>
            </w:pPr>
            <w:r>
              <w:t xml:space="preserve">49 (35, 63)</w:t>
            </w:r>
          </w:p>
        </w:tc>
        <w:tc>
          <w:p>
            <w:pPr>
              <w:pStyle w:val="Compact"/>
              <w:jc w:val="left"/>
            </w:pPr>
            <w:r>
              <w:t xml:space="preserve">120 (88, 155)</w:t>
            </w:r>
          </w:p>
        </w:tc>
        <w:tc>
          <w:p>
            <w:pPr>
              <w:pStyle w:val="Compact"/>
              <w:jc w:val="left"/>
            </w:pPr>
            <w:r>
              <w:t xml:space="preserve">280 (205, 358)</w:t>
            </w:r>
          </w:p>
        </w:tc>
        <w:tc>
          <w:p>
            <w:pPr>
              <w:pStyle w:val="Compact"/>
              <w:jc w:val="left"/>
            </w:pPr>
            <w:r>
              <w:t xml:space="preserve">109 (80, 140)</w:t>
            </w:r>
          </w:p>
        </w:tc>
        <w:tc>
          <w:p>
            <w:pPr>
              <w:pStyle w:val="Compact"/>
              <w:jc w:val="left"/>
            </w:pPr>
            <w:r>
              <w:t xml:space="preserve">103 (15, 755)</w:t>
            </w:r>
          </w:p>
        </w:tc>
      </w:tr>
      <w:tr>
        <w:tc>
          <w:p>
            <w:pPr>
              <w:pStyle w:val="Compact"/>
              <w:jc w:val="left"/>
            </w:pPr>
            <w:r>
              <w:t xml:space="preserve">2021</w:t>
            </w:r>
          </w:p>
        </w:tc>
        <w:tc>
          <w:p>
            <w:pPr>
              <w:pStyle w:val="Compact"/>
              <w:jc w:val="left"/>
            </w:pPr>
            <w:r>
              <w:t xml:space="preserve">2</w:t>
            </w:r>
          </w:p>
        </w:tc>
        <w:tc>
          <w:p>
            <w:pPr>
              <w:pStyle w:val="Compact"/>
              <w:jc w:val="left"/>
            </w:pPr>
            <w:r>
              <w:t xml:space="preserve">2 (1, 3)</w:t>
            </w:r>
          </w:p>
        </w:tc>
        <w:tc>
          <w:p>
            <w:pPr>
              <w:pStyle w:val="Compact"/>
              <w:jc w:val="left"/>
            </w:pPr>
            <w:r>
              <w:t xml:space="preserve">20 (13, 29)</w:t>
            </w:r>
          </w:p>
        </w:tc>
        <w:tc>
          <w:p>
            <w:pPr>
              <w:pStyle w:val="Compact"/>
              <w:jc w:val="left"/>
            </w:pPr>
            <w:r>
              <w:t xml:space="preserve">52 (33, 74)</w:t>
            </w:r>
          </w:p>
        </w:tc>
        <w:tc>
          <w:p>
            <w:pPr>
              <w:pStyle w:val="Compact"/>
              <w:jc w:val="left"/>
            </w:pPr>
            <w:r>
              <w:t xml:space="preserve">126 (78, 176)</w:t>
            </w:r>
          </w:p>
        </w:tc>
        <w:tc>
          <w:p>
            <w:pPr>
              <w:pStyle w:val="Compact"/>
              <w:jc w:val="left"/>
            </w:pPr>
            <w:r>
              <w:t xml:space="preserve">39 (24, 54)</w:t>
            </w:r>
          </w:p>
        </w:tc>
        <w:tc>
          <w:p>
            <w:pPr>
              <w:pStyle w:val="Compact"/>
              <w:jc w:val="left"/>
            </w:pPr>
            <w:r>
              <w:t xml:space="preserve">41 (3, 491)</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f110a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60f9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53c06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f9411b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3e71cf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44" Target="https://doi.org/10.5281/zenodo.2635687" TargetMode="External" /><Relationship Type="http://schemas.openxmlformats.org/officeDocument/2006/relationships/hyperlink" Id="rId46"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5281/zenodo.2635687" TargetMode="External" /><Relationship Type="http://schemas.openxmlformats.org/officeDocument/2006/relationships/hyperlink" Id="rId46"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dcterms:created xsi:type="dcterms:W3CDTF">2019-09-05T13:40:37Z</dcterms:created>
  <dcterms:modified xsi:type="dcterms:W3CDTF">2019-09-05T13:40:37Z</dcterms:modified>
</cp:coreProperties>
</file>