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260</w:t>
      </w:r>
      <w:r>
        <w:t xml:space="preserve"> </w:t>
      </w:r>
      <w:r>
        <w:rPr>
          <w:i/>
        </w:rPr>
        <w:t xml:space="preserve">Paper:</w:t>
      </w:r>
      <w:r>
        <w:t xml:space="preserve"> </w:t>
      </w:r>
      <w:r>
        <w:t xml:space="preserve">2980</w:t>
      </w:r>
    </w:p>
    <w:p>
      <w:pPr>
        <w:pStyle w:val="Heading1"/>
      </w:pPr>
      <w:bookmarkStart w:id="22" w:name="what-is-already-known-on-this-subject"/>
      <w:bookmarkEnd w:id="22"/>
      <w:r>
        <w:t xml:space="preserve">What is already known on this subject</w:t>
      </w:r>
    </w:p>
    <w:p>
      <w:pPr>
        <w:numPr>
          <w:numId w:val="1001"/>
          <w:ilvl w:val="0"/>
        </w:numPr>
      </w:pPr>
      <w:r>
        <w:t xml:space="preserve">Little work has been done to assess the impact of the change in BCG vaccination policy in England and Wales.</w:t>
      </w:r>
    </w:p>
    <w:p>
      <w:pPr>
        <w:numPr>
          <w:numId w:val="1001"/>
          <w:ilvl w:val="0"/>
        </w:numPr>
      </w:pPr>
      <w:r>
        <w:t xml:space="preserve">Ending universal BCG school-age vaccination is estimated to result in a small increase in TB notifications. However, this estimate may not be reliable.</w:t>
      </w:r>
    </w:p>
    <w:p>
      <w:pPr>
        <w:numPr>
          <w:numId w:val="1001"/>
          <w:ilvl w:val="0"/>
        </w:numPr>
      </w:pPr>
      <w:r>
        <w:t xml:space="preserve">The World Health Organization recommends vaccination for all neonates as early as possible after birth in high burden settings, with targeted vaccination of high risk neonates being recommended in low burden settings. This is based on the variable effectiveness of the Bacillus Calmette Guerin vaccine.</w:t>
      </w:r>
    </w:p>
    <w:p>
      <w:pPr>
        <w:numPr>
          <w:numId w:val="1001"/>
          <w:ilvl w:val="0"/>
        </w:numPr>
      </w:pPr>
      <w:r>
        <w:t xml:space="preserve">The Bacillus Calmette Guerin vaccine has been shown to be highly effective in white UK born individuals. This may mean that school-age vaccine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the estimates of the impact of ending the BCG schools’ scheme were greater than previously thought.</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Further studies are needed that: include the impact of targeted neonatal vaccination; make full use of the available surveillance data; and capture long term, indirect, effects.</w:t>
      </w:r>
    </w:p>
    <w:p>
      <w:pPr>
        <w:pStyle w:val="Heading1"/>
      </w:pPr>
      <w:bookmarkStart w:id="24" w:name="introduction"/>
      <w:bookmarkEnd w:id="24"/>
      <w:r>
        <w:t xml:space="preserve">Introduction</w:t>
      </w:r>
    </w:p>
    <w:p>
      <w:pPr>
        <w:pStyle w:val="FirstParagraph"/>
      </w:pPr>
      <w:r>
        <w:t xml:space="preserve">Whilst Tuberculosis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Calmette–Guérin (BCG) vaccine remains the only licensed vaccine for use against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school-age to targeted vaccination of neonates. 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[4]</w:t>
      </w:r>
      <w:r>
        <w:t xml:space="preserve"> </w:t>
      </w:r>
      <w:r>
        <w:t xml:space="preserve">This recommendation is based on the strong evidence that the BCG is highly protective in children,</w:t>
      </w:r>
      <w:r>
        <w:t xml:space="preserve">[5,6]</w:t>
      </w:r>
      <w:r>
        <w:t xml:space="preserve"> </w:t>
      </w:r>
      <w:r>
        <w:t xml:space="preserve">whilst its effectiveness has been shown to vary with latitude when given later in life.</w:t>
      </w:r>
      <w:r>
        <w:t xml:space="preserve">[7]</w:t>
      </w:r>
      <w:r>
        <w:t xml:space="preserve"> </w:t>
      </w:r>
      <w:r>
        <w:t xml:space="preserve">In England and Wales, universal school-aged vaccination was introduced after a MRC trial in the 1950s estimated BCG’s effectiveness at 80% in the white UK born population.</w:t>
      </w:r>
      <w:r>
        <w:t xml:space="preserve">[8]</w:t>
      </w:r>
      <w:r>
        <w:t xml:space="preserve"> </w:t>
      </w:r>
      <w:r>
        <w:t xml:space="preserve">The 2005 change in BCG vaccination policy was motivated by evidence of decreased transmission of TB, an increasing proportion of TB cases occurring in the non-UK born,</w:t>
      </w:r>
      <w:r>
        <w:t xml:space="preserve">[9]</w:t>
      </w:r>
      <w:r>
        <w:t xml:space="preserve"> </w:t>
      </w:r>
      <w:r>
        <w:t xml:space="preserve">and modelling evidence that suggested stopping the BCG schools’ scheme would have minimal long term effects on incidence rates.</w:t>
      </w:r>
      <w:r>
        <w:t xml:space="preserve">[10]</w:t>
      </w:r>
    </w:p>
    <w:p>
      <w:pPr>
        <w:pStyle w:val="BodyText"/>
      </w:pPr>
      <w:r>
        <w:t xml:space="preserve">In 1987, an assessment of the school-age vaccination program was carried out in England and Wales.</w:t>
      </w:r>
      <w:r>
        <w:t xml:space="preserve">[10]</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[11,12]</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5" w:name="methods"/>
      <w:bookmarkEnd w:id="25"/>
      <w:r>
        <w:t xml:space="preserve">Methods</w:t>
      </w:r>
    </w:p>
    <w:p>
      <w:pPr>
        <w:pStyle w:val="Heading2"/>
      </w:pPr>
      <w:bookmarkStart w:id="26" w:name="modelling-the-impact-ending-the-bcg-schools-scheme"/>
      <w:bookmarkEnd w:id="26"/>
      <w:r>
        <w:t xml:space="preserve">Modelling the impact ending the BCG schools’ scheme</w:t>
      </w:r>
    </w:p>
    <w:p>
      <w:pPr>
        <w:pStyle w:val="FirstParagraph"/>
      </w:pPr>
      <w:r>
        <w:t xml:space="preserve">We implemented Sutherland et al.’s model for estimating the impact of ending the BCG schools’ scheme.</w:t>
      </w:r>
      <w:r>
        <w:t xml:space="preserve">[10]</w:t>
      </w:r>
      <w:r>
        <w:t xml:space="preserve"> </w:t>
      </w:r>
      <w:r>
        <w:t xml:space="preserve">This model was based on data from TB notification surveys conducted in 1973, 1978, and 1983.</w:t>
      </w:r>
      <w:r>
        <w:t xml:space="preserve">[13]</w:t>
      </w:r>
      <w:r>
        <w:t xml:space="preserve"> </w:t>
      </w:r>
      <w:r>
        <w:t xml:space="preserve">These were used to estimate incidence rates, stratified by BCG vaccination status, in the white population of England and Wales aged 15-19 years old, 20-24 years old and 25-29 years old. Future incidence rates were forecast by assuming an annual decrease in incidence rates, which was based on historic trends (see supplmentary information).</w:t>
      </w:r>
      <w:r>
        <w:t xml:space="preserve">[10,14]</w:t>
      </w:r>
      <w:r>
        <w:t xml:space="preserve"> </w:t>
      </w:r>
      <w:r>
        <w:t xml:space="preserve">Primary impacts from ending the schools’ scheme were estimated by calculating the difference in incidence rates between the vaccinated and unvaccinated populatons. Additional notifications from TB transmission were then calculated using a transmission chain model. This model was defined using the following steps,</w:t>
      </w:r>
    </w:p>
    <w:p>
      <w:pPr>
        <w:pStyle w:val="Compact"/>
        <w:numPr>
          <w:numId w:val="1003"/>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4"/>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[10]</w:t>
      </w:r>
      <w:r>
        <w:t xml:space="preserve">. Firstly, as incidence rates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w:t>
      </w:r>
    </w:p>
    <w:p>
      <w:pPr>
        <w:pStyle w:val="Heading2"/>
      </w:pPr>
      <w:bookmarkStart w:id="27" w:name="updating-model-parameter-estimates"/>
      <w:bookmarkEnd w:id="27"/>
      <w:r>
        <w:t xml:space="preserve">Updating model parameter estimates</w:t>
      </w:r>
    </w:p>
    <w:p>
      <w:pPr>
        <w:pStyle w:val="FirstParagraph"/>
      </w:pPr>
      <w:r>
        <w:t xml:space="preserve">Incidence rates were included as point estimates in</w:t>
      </w:r>
      <w:r>
        <w:t xml:space="preserve"> </w:t>
      </w:r>
      <w:r>
        <w:t xml:space="preserve">[10]</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[10,13]</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[15]</w:t>
      </w:r>
    </w:p>
    <w:p>
      <w:pPr>
        <w:pStyle w:val="BodyText"/>
      </w:pPr>
      <w:r>
        <w:t xml:space="preserve">We considered the original assumption of a 9% annual decrease in incidence rates as well as 3 scenarios based on those considered by the JVCI BCG subgroup;</w:t>
      </w:r>
      <w:r>
        <w:t xml:space="preserve">[11,12]</w:t>
      </w:r>
      <w:r>
        <w:t xml:space="preserve"> </w:t>
      </w:r>
      <w:r>
        <w:t xml:space="preserve">these were a 3.9% decrease, a 1.9% decrease, and no change annual in incidence rates. We also estimated the annual decrease in incidence rates in the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[16]</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[9]</w:t>
      </w:r>
      <w:r>
        <w:t xml:space="preserve"> </w:t>
      </w:r>
      <w:r>
        <w:t xml:space="preserve">Incidence rates (with SDs) were estimated using the epiR package.</w:t>
      </w:r>
      <w:r>
        <w:t xml:space="preserve">[17]</w:t>
      </w:r>
      <w:r>
        <w:t xml:space="preserve">. Uncertainty was incorperated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[10]</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8" w:name="statistical-analysis"/>
      <w:bookmarkEnd w:id="28"/>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[10]</w:t>
      </w:r>
      <w:r>
        <w:t xml:space="preserve"> </w:t>
      </w:r>
      <w:r>
        <w:t xml:space="preserve">a 15 year time horizon was used with 5 year intervals. The year closest to the year of the change in vaccination policy (2005), which had model estimates, was used as the baseline.</w:t>
      </w:r>
    </w:p>
    <w:p>
      <w:pPr>
        <w:pStyle w:val="Heading1"/>
      </w:pPr>
      <w:bookmarkStart w:id="29" w:name="results"/>
      <w:bookmarkEnd w:id="29"/>
      <w:r>
        <w:t xml:space="preserve">Results</w:t>
      </w:r>
    </w:p>
    <w:p>
      <w:pPr>
        <w:pStyle w:val="Heading2"/>
      </w:pPr>
      <w:bookmarkStart w:id="30" w:name="model-validation"/>
      <w:bookmarkEnd w:id="30"/>
      <w:r>
        <w:t xml:space="preserve">Model validation</w:t>
      </w:r>
    </w:p>
    <w:p>
      <w:pPr>
        <w:pStyle w:val="FirstParagraph"/>
      </w:pPr>
      <w:r>
        <w:t xml:space="preserve">Our model produced results that were comparable with those from</w:t>
      </w:r>
      <w:r>
        <w:t xml:space="preserve"> </w:t>
      </w:r>
      <w:r>
        <w:t xml:space="preserve">[10]</w:t>
      </w:r>
      <w:r>
        <w:t xml:space="preserve"> </w:t>
      </w:r>
      <w:r>
        <w:t xml:space="preserve">(supplementary table S1). When estimating the total notifications from ending the BCG schools’ scheme at different times in white adults aged 15-29 years old in England and Wales our model had a median absolute error of 2.03% (95% IQR 0.00% to 3.72%) and a maximum absolute error of 3.91%.</w:t>
      </w:r>
    </w:p>
    <w:p>
      <w:pPr>
        <w:pStyle w:val="Heading2"/>
      </w:pPr>
      <w:bookmarkStart w:id="31" w:name="annual-change-in-tb-incidence-rates"/>
      <w:bookmarkEnd w:id="31"/>
      <w:r>
        <w:t xml:space="preserve">Annual change in TB incidence rates</w:t>
      </w:r>
    </w:p>
    <w:p>
      <w:pPr>
        <w:pStyle w:val="FirstParagraph"/>
      </w:pPr>
      <w:r>
        <w:t xml:space="preserve">We found that the assumption of a 9% annual decrease in incidence rates in the white UK born was not comparable to our estimates using either notification data or age-specific incidence rates in the time period studied (supplementary figure S1). The median annual decrease estimated using notifications was 3.13% (95% IQR -8.32% to 11.45%), with a maximum of 15.13% (95% IQR 14.23% to 16.04%) in 1987 and a minimum of -10.18% (95% IQR -10.82% to -9.52%) in 2005. Using age-specific incidence rates we estimated the median annual decrease in incidence rates for 15-19 year olds was 1.62% (95% IQR -40.38% to 39.89%), 3.15% (95% IQR -33.93% to 38.25%) for 20-24 year olds, and 2.66% (95% IQR -36.37% to 37.29%) for 25-29 year olds. There was substantial variation between years and a high degree of uncertainty.</w:t>
      </w:r>
    </w:p>
    <w:p>
      <w:pPr>
        <w:pStyle w:val="Heading2"/>
      </w:pPr>
      <w:bookmarkStart w:id="32" w:name="vaccines-required-to-prevent-a-single-notification"/>
      <w:bookmarkEnd w:id="32"/>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large interquartile range (15000 (95% IQR 12000 to 19000) vaccines required in 2004). As the annual decrease in incidence rates was reduced the number of vaccines required to prevent a single notification decreased; an estimated 1600 (95% IQR 1300 to 2100) vaccines were required to prevent a case in 2004 when the annual decrease was assumed to be 1.9%. Estimates of the number of vaccines required to prevent a notification were comparable but not equivalent when the annual decrease was estimated using notifications (1400 (95% IQR 1100 to 1700), P: 0.077) and age-specific incidence rates (1500 (95% IQR 450 to 5000), P: 0.083). The estimate using incidence rates had a high degree of uncertainty (figure 1). The number of vaccines required increased slightly over time with 1800 (95% IQR 1500 to 2300) required in 2009, 2000 (95% IQR 1600 to 2500) required in 2014, and 2200 (95% IQR 1800 to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 title="" id="1" name="Picture"/>
            <a:graphic>
              <a:graphicData uri="http://schemas.openxmlformats.org/drawingml/2006/picture">
                <pic:pic>
                  <pic:nvPicPr>
                    <pic:cNvPr descr="figure/paper/graph-vacs-to-prev-1.png" id="0" name="Picture"/>
                    <pic:cNvPicPr>
                      <a:picLocks noChangeArrowheads="1" noChangeAspect="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w:t>
      </w:r>
    </w:p>
    <w:p>
      <w:pPr>
        <w:pStyle w:val="Heading3"/>
      </w:pPr>
      <w:bookmarkStart w:id="34" w:name="average-annual-additional-cases-from-ending-the-bcg-schools-scheme-at-various-dates"/>
      <w:bookmarkEnd w:id="3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(95% IQR 16 to 25) notifications prevented annually if vaccination was stopped in 2001. As the assumed annual decrease in incidence rates was reduced the annual number of additional notifications prevented increased with 302 (95% IQR 238 to 369) notifications prevented annually when the annual decrease was assumed to be 1.9% and vaccination stopping in 2001. There was some evidence that the average annual number of notifications prevented was greater when the annual decrease was estimated using notifications (359 (95% IQR 282 to 439), P: 0.083) and age-specific incidence rates (359 (95% IQR 102 to 1332), P: 0.083), compared to an assumed annual decrease of 1.9% (figure 1). The estimate made using incidence rates again had a high degree of uncertainty. When an annual decrease of 1.9% was assumed the number of notifications prevented annually reduced with time: 255 (95% IQR 201 to 313) from ending vaccination in 2006; 196 (95% IQR 152 to 242) from ending vaccination in 2011, and 120 (95% IQR 88 to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 title="" id="1" name="Picture"/>
            <a:graphic>
              <a:graphicData uri="http://schemas.openxmlformats.org/drawingml/2006/picture">
                <pic:pic>
                  <pic:nvPicPr>
                    <pic:cNvPr descr="figure/paper/graph-avg-add-nots-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w:t>
      </w:r>
    </w:p>
    <w:p>
      <w:pPr>
        <w:pStyle w:val="Heading1"/>
      </w:pPr>
      <w:bookmarkStart w:id="36" w:name="discussion"/>
      <w:bookmarkEnd w:id="3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white UK born in England and Wales were not available we considered two approaches to proxy them, and investigated multiple scenarios based on those explored by the JVCI BCG subgroup. Due to the uncertainty surrounding the coverage of the BCG schools’ scheme, Sutherland et al.</w:t>
      </w:r>
      <w:r>
        <w:t xml:space="preserve">‘</w:t>
      </w:r>
      <w:r>
        <w:t xml:space="preserve">s assumption of 75% coverage has been used as a point estimate in the updated model.</w:t>
      </w:r>
      <w:r>
        <w:t xml:space="preserve">[10]</w:t>
      </w:r>
      <w:r>
        <w:t xml:space="preserve"> </w:t>
      </w:r>
      <w:r>
        <w:t xml:space="preserve">However, measurement error of the estimated incidence rates, and the change in notifications has been included. An improved estimate of the serial interval of TB has also been included. This means that the updated model provides an improved estimate of the magnitude of the impact of ending the BCG schools</w:t>
      </w:r>
      <w:r>
        <w:t xml:space="preserve">’</w:t>
      </w:r>
      <w:r>
        <w:t xml:space="preserve"> </w:t>
      </w:r>
      <w:r>
        <w:t xml:space="preserve">scheme and more fully captures the uncertainty surrounding this estimate. Whilst this study does not attempt to provide an accurate estimate of the impact of the 2005 change in BCG vaccination policy in England and Wales, it does provide an estimate that is based on the available data and on the framework used to inform policy making. This allowed the strength of some the quantitative evidence used in the decision making process to be assessed. A weakness of the modelling framework used in this study is that it did not include: non-white ethnic groups; age groups outside those directly affected by vaccination; heterogeneous mixing between these groups; or the importation of cases.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[18]</w:t>
      </w:r>
      <w:r>
        <w:t xml:space="preserve"> </w:t>
      </w:r>
      <w:r>
        <w:t xml:space="preserve">This is substantially fewer than our estimate of 2000 (95% IQR 1600 to 2500) vaccines required to prevent a single notification within 15 years in 2014. However, the same trial found that for regions close to the equator BCG effectiveness was low in school-age children but unchanged in neonates,</w:t>
      </w:r>
      <w:r>
        <w:t xml:space="preserve">[19]</w:t>
      </w:r>
      <w:r>
        <w:t xml:space="preserve"> </w:t>
      </w:r>
      <w:r>
        <w:t xml:space="preserve">highlighting the importance of considering the BCG vaccines reduced effectiveness near the equator when determining vaccination policy.</w:t>
      </w:r>
      <w:r>
        <w:t xml:space="preserve">[20]</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[19,21]</w:t>
      </w:r>
      <w:r>
        <w:t xml:space="preserve"> </w:t>
      </w:r>
      <w:r>
        <w:t xml:space="preserve">There is some evidence that targeted vaccination of high risk neonates maybe more cost effective than universal vaccination of neonates.</w:t>
      </w:r>
      <w:r>
        <w:t xml:space="preserve">[22,23]</w:t>
      </w:r>
      <w:r>
        <w:t xml:space="preserve"> </w:t>
      </w:r>
      <w:r>
        <w:t xml:space="preserve">However, a study in Sweden found that incidence rates in Swedish-born children increased slightly after universal vaccination of neonates was discontinued in favour of targeted vaccination.</w:t>
      </w:r>
      <w:r>
        <w:t xml:space="preserve">[24]</w:t>
      </w:r>
      <w:r>
        <w:t xml:space="preserve"> </w:t>
      </w:r>
      <w:r>
        <w:t xml:space="preserve">In France, which switched from universal vaccination of neonates to targeted vaccination in 2007, it has also been shown that targeted vaccination reduced coverage in those most at risk.</w:t>
      </w:r>
      <w:r>
        <w:t xml:space="preserve">[25]</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white UK born.</w:t>
      </w:r>
      <w:r>
        <w:t xml:space="preserve">[8]</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the evidence previously used in decision making, updating the approach with new data. However, as 15 years of detailed surveillance data have been collected since the ending of the BCG schools’ scheme it is now possible to use regression based approaches to estimate the direct impact on incidence rates of ending the BCG schools’ scheme. These approaches could also be used to estimate the impact of vaccinating high risk neonates, which may out-way any negative impacts of ending the BCG schools’ scheme. In addition, the development, and use, of a transmission dynamic model would allow the more accurate estimation of indirect effects and the forecasting of long 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37">
        <w:r>
          <w:rPr>
            <w:rStyle w:val="Hyperlink"/>
          </w:rPr>
          <w:t xml:space="preserve">DOI:10.5281/zenodo.2583056</w:t>
        </w:r>
      </w:hyperlink>
    </w:p>
    <w:p>
      <w:pPr>
        <w:pStyle w:val="Heading1"/>
      </w:pPr>
      <w:bookmarkStart w:id="38" w:name="references"/>
      <w:bookmarkEnd w:id="3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39">
        <w:r>
          <w:rPr>
            <w:rStyle w:val="Hyperlink"/>
          </w:rPr>
          <w:t xml:space="preserve">10.1093/cid/cit790</w:t>
        </w:r>
      </w:hyperlink>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w:t>
      </w:r>
      <w:r>
        <w:t xml:space="preserve"> </w:t>
      </w:r>
      <w:r>
        <w:t xml:space="preserve">2013;</w:t>
      </w:r>
      <w:r>
        <w:rPr>
          <w:b/>
        </w:rPr>
        <w:t xml:space="preserve">17</w:t>
      </w:r>
      <w:r>
        <w:t xml:space="preserve">:1–372, v–vi. doi:</w:t>
      </w:r>
      <w:hyperlink r:id="rId40">
        <w:r>
          <w:rPr>
            <w:rStyle w:val="Hyperlink"/>
          </w:rPr>
          <w:t xml:space="preserve">10.3310/hta17370</w:t>
        </w:r>
      </w:hyperlink>
    </w:p>
    <w:p>
      <w:pPr>
        <w:pStyle w:val="BodyText"/>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1">
        <w:r>
          <w:rPr>
            <w:rStyle w:val="Hyperlink"/>
          </w:rPr>
          <w:t xml:space="preserve">10.1371/journal.pmed.1001012</w:t>
        </w:r>
      </w:hyperlink>
    </w:p>
    <w:p>
      <w:pPr>
        <w:pStyle w:val="BodyText"/>
      </w:pPr>
      <w:r>
        <w:t xml:space="preserve">4 World Health Organization.</w:t>
      </w:r>
      <w:r>
        <w:t xml:space="preserve"> </w:t>
      </w:r>
      <w:r>
        <w:rPr>
          <w:i/>
        </w:rPr>
        <w:t xml:space="preserve">Global Tuberculosis Report</w:t>
      </w:r>
      <w:r>
        <w:t xml:space="preserve">. 2017.</w:t>
      </w:r>
      <w:r>
        <w:t xml:space="preserve"> </w:t>
      </w:r>
    </w:p>
    <w:p>
      <w:pPr>
        <w:pStyle w:val="BodyText"/>
      </w:pPr>
      <w:r>
        <w:t xml:space="preserve">5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2">
        <w:r>
          <w:rPr>
            <w:rStyle w:val="Hyperlink"/>
          </w:rPr>
          <w:t xml:space="preserve">http://www.ncbi.nlm.nih.gov/pubmed/8144299</w:t>
        </w:r>
      </w:hyperlink>
    </w:p>
    <w:p>
      <w:pPr>
        <w:pStyle w:val="BodyText"/>
      </w:pPr>
      <w:r>
        <w:t xml:space="preserve">6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3">
        <w:r>
          <w:rPr>
            <w:rStyle w:val="Hyperlink"/>
          </w:rPr>
          <w:t xml:space="preserve">10.1001/jama.1994.03510330076038</w:t>
        </w:r>
      </w:hyperlink>
    </w:p>
    <w:p>
      <w:pPr>
        <w:pStyle w:val="BodyText"/>
      </w:pPr>
      <w:r>
        <w:t xml:space="preserve">7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39">
        <w:r>
          <w:rPr>
            <w:rStyle w:val="Hyperlink"/>
          </w:rPr>
          <w:t xml:space="preserve">10.1093/cid/cit790</w:t>
        </w:r>
      </w:hyperlink>
    </w:p>
    <w:p>
      <w:pPr>
        <w:pStyle w:val="BodyText"/>
      </w:pPr>
      <w:r>
        <w:t xml:space="preserve">8 Hart PDA, Sutherland IAN. BCG and vole bacillus vaccines in the prevention of tuberculosis in adolescence and early adult life.</w:t>
      </w:r>
      <w:r>
        <w:t xml:space="preserve"> </w:t>
      </w:r>
      <w:r>
        <w:rPr>
          <w:i/>
        </w:rPr>
        <w:t xml:space="preserve">Bull World Health Organ</w:t>
      </w:r>
      <w:r>
        <w:t xml:space="preserve"> </w:t>
      </w:r>
      <w:r>
        <w:t xml:space="preserve">1972;</w:t>
      </w:r>
      <w:r>
        <w:rPr>
          <w:b/>
        </w:rPr>
        <w:t xml:space="preserve">46</w:t>
      </w:r>
      <w:r>
        <w:t xml:space="preserve">:371–85. doi:</w:t>
      </w:r>
      <w:hyperlink r:id="rId44">
        <w:r>
          <w:rPr>
            <w:rStyle w:val="Hyperlink"/>
          </w:rPr>
          <w:t xml:space="preserve">10.1136/bmj.2.6082.293</w:t>
        </w:r>
      </w:hyperlink>
    </w:p>
    <w:p>
      <w:pPr>
        <w:pStyle w:val="BodyText"/>
      </w:pPr>
      <w:r>
        <w:t xml:space="preserve">9 Public Health England. Tuberculosis in England 2017 report ( presenting data to end of 2016 ) About Public Health England. 2017.</w:t>
      </w:r>
      <w:r>
        <w:t xml:space="preserve"> </w:t>
      </w:r>
    </w:p>
    <w:p>
      <w:pPr>
        <w:pStyle w:val="BodyText"/>
      </w:pPr>
      <w:r>
        <w:t xml:space="preserve">10 Sutherland I, Springett VH. The effects of the scheme for BCG vaccination of schoolchildren in England and Wales and the consequences of discontinuing the scheme at various dates.</w:t>
      </w:r>
      <w:r>
        <w:t xml:space="preserve"> </w:t>
      </w:r>
      <w:r>
        <w:rPr>
          <w:i/>
        </w:rPr>
        <w:t xml:space="preserve">J Epidemiol Community Health</w:t>
      </w:r>
      <w:r>
        <w:t xml:space="preserve"> </w:t>
      </w:r>
      <w:r>
        <w:t xml:space="preserve">1989;</w:t>
      </w:r>
      <w:r>
        <w:rPr>
          <w:b/>
        </w:rPr>
        <w:t xml:space="preserve">43</w:t>
      </w:r>
      <w:r>
        <w:t xml:space="preserve">:15–24. doi:</w:t>
      </w:r>
      <w:hyperlink r:id="rId45">
        <w:r>
          <w:rPr>
            <w:rStyle w:val="Hyperlink"/>
          </w:rPr>
          <w:t xml:space="preserve">10.1136/jech.43.1.15</w:t>
        </w:r>
      </w:hyperlink>
    </w:p>
    <w:p>
      <w:pPr>
        <w:pStyle w:val="BodyText"/>
      </w:pPr>
      <w:r>
        <w:t xml:space="preserve">11 Joint Committee on Vaccination and Immunisation BCG panel. Minutes. 2002.</w:t>
      </w:r>
    </w:p>
    <w:p>
      <w:pPr>
        <w:pStyle w:val="BodyText"/>
      </w:pPr>
      <w:r>
        <w:t xml:space="preserve">12 Joint Committee on Vaccination and Immunisation BCG panel. Minutes. 2003.</w:t>
      </w:r>
      <w:hyperlink r:id="rId46">
        <w:r>
          <w:rPr>
            <w:rStyle w:val="Hyperlink"/>
          </w:rPr>
          <w:t xml:space="preserve">http://webarchive.nationalarchives.gov.uk/20120907200824/http://www.dh.gov.uk/prod{\_}consum{\_}dh/groups/dh{\_}digitalassets/@dh/@ab/documents/digitalasset/dh{\_}119892.pdf</w:t>
        </w:r>
      </w:hyperlink>
    </w:p>
    <w:p>
      <w:pPr>
        <w:pStyle w:val="BodyText"/>
      </w:pPr>
      <w:r>
        <w:t xml:space="preserve">13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14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 Epidemiol Community Health</w:t>
      </w:r>
      <w:r>
        <w:t xml:space="preserve"> </w:t>
      </w:r>
      <w:r>
        <w:t xml:space="preserve">1988;</w:t>
      </w:r>
      <w:r>
        <w:rPr>
          <w:b/>
        </w:rPr>
        <w:t xml:space="preserve">42</w:t>
      </w:r>
      <w:r>
        <w:t xml:space="preserve">:370–6.</w:t>
      </w:r>
    </w:p>
    <w:p>
      <w:pPr>
        <w:pStyle w:val="BodyText"/>
      </w:pPr>
      <w:r>
        <w:t xml:space="preserve">15 Borgdorff MW, Sebek M, Geskus RB</w:t>
      </w:r>
      <w:r>
        <w:t xml:space="preserve"> </w:t>
      </w:r>
      <w:r>
        <w:rPr>
          <w:i/>
        </w:rPr>
        <w:t xml:space="preserve">et al.</w:t>
      </w:r>
      <w:r>
        <w:t xml:space="preserve"> </w:t>
      </w:r>
      <w:r>
        <w:t xml:space="preserve">The incubation period distribution of tuberculosis estimated with a molecular epidemiological approach.</w:t>
      </w:r>
      <w:r>
        <w:t xml:space="preserve"> </w:t>
      </w:r>
      <w:r>
        <w:rPr>
          <w:i/>
        </w:rPr>
        <w:t xml:space="preserve">Int J Epidemiol</w:t>
      </w:r>
      <w:r>
        <w:t xml:space="preserve"> </w:t>
      </w:r>
      <w:r>
        <w:t xml:space="preserve">2011;</w:t>
      </w:r>
      <w:r>
        <w:rPr>
          <w:b/>
        </w:rPr>
        <w:t xml:space="preserve">40</w:t>
      </w:r>
      <w:r>
        <w:t xml:space="preserve">:964–70. doi:</w:t>
      </w:r>
      <w:hyperlink r:id="rId47">
        <w:r>
          <w:rPr>
            <w:rStyle w:val="Hyperlink"/>
          </w:rPr>
          <w:t xml:space="preserve">10.1093/ije/dyr058</w:t>
        </w:r>
      </w:hyperlink>
    </w:p>
    <w:p>
      <w:pPr>
        <w:pStyle w:val="BodyText"/>
      </w:pPr>
      <w:r>
        <w:t xml:space="preserve">16 R Core Team. R: A Language and Environment for Statistical Computing. 2016.</w:t>
      </w:r>
      <w:hyperlink r:id="rId48">
        <w:r>
          <w:rPr>
            <w:rStyle w:val="Hyperlink"/>
          </w:rPr>
          <w:t xml:space="preserve">https://www.r-project.org/</w:t>
        </w:r>
      </w:hyperlink>
    </w:p>
    <w:p>
      <w:pPr>
        <w:pStyle w:val="BodyText"/>
      </w:pPr>
      <w:r>
        <w:t xml:space="preserve">17 Stevenson M, Nunes T, Heuer C</w:t>
      </w:r>
      <w:r>
        <w:t xml:space="preserve"> </w:t>
      </w:r>
      <w:r>
        <w:rPr>
          <w:i/>
        </w:rPr>
        <w:t xml:space="preserve">et al.</w:t>
      </w:r>
      <w:r>
        <w:t xml:space="preserve"> </w:t>
      </w:r>
      <w:r>
        <w:t xml:space="preserve">epiR: Tools for the Analysis of Epidemiological Data. 2017.</w:t>
      </w:r>
      <w:hyperlink r:id="rId49">
        <w:r>
          <w:rPr>
            <w:rStyle w:val="Hyperlink"/>
          </w:rPr>
          <w:t xml:space="preserve">https://cran.r-project.org/package=epiR</w:t>
        </w:r>
      </w:hyperlink>
    </w:p>
    <w:p>
      <w:pPr>
        <w:pStyle w:val="BodyText"/>
      </w:pPr>
      <w:r>
        <w:t xml:space="preserve">18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 Dis</w:t>
      </w:r>
      <w:r>
        <w:t xml:space="preserve"> </w:t>
      </w:r>
      <w:r>
        <w:t xml:space="preserve">2012;</w:t>
      </w:r>
      <w:r>
        <w:rPr>
          <w:b/>
        </w:rPr>
        <w:t xml:space="preserve">12</w:t>
      </w:r>
      <w:r>
        <w:t xml:space="preserve">:300–6. doi:</w:t>
      </w:r>
      <w:hyperlink r:id="rId50">
        <w:r>
          <w:rPr>
            <w:rStyle w:val="Hyperlink"/>
          </w:rPr>
          <w:t xml:space="preserve">10.1016/S1473-3099(11)70285-7</w:t>
        </w:r>
      </w:hyperlink>
    </w:p>
    <w:p>
      <w:pPr>
        <w:pStyle w:val="BodyText"/>
      </w:pPr>
      <w:r>
        <w:t xml:space="preserve">19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 doi:</w:t>
      </w:r>
      <w:hyperlink r:id="rId51">
        <w:r>
          <w:rPr>
            <w:rStyle w:val="Hyperlink"/>
          </w:rPr>
          <w:t xml:space="preserve">10.1016/j.vaccine.2014.05.042</w:t>
        </w:r>
      </w:hyperlink>
    </w:p>
    <w:p>
      <w:pPr>
        <w:pStyle w:val="BodyText"/>
      </w:pPr>
      <w:r>
        <w:t xml:space="preserve">20 Fine PE.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 doi:</w:t>
      </w:r>
      <w:hyperlink r:id="rId52">
        <w:r>
          <w:rPr>
            <w:rStyle w:val="Hyperlink"/>
          </w:rPr>
          <w:t xml:space="preserve">10.1016/S0140-6736(95)92348-9</w:t>
        </w:r>
      </w:hyperlink>
    </w:p>
    <w:p>
      <w:pPr>
        <w:pStyle w:val="BodyText"/>
      </w:pPr>
      <w:r>
        <w:t xml:space="preserve">21 Dye C. Making wider use of the world’s most widely used vaccine: Bacille Calmette-Guerin revaccination reconsidered.</w:t>
      </w:r>
      <w:r>
        <w:t xml:space="preserve"> </w:t>
      </w:r>
      <w:r>
        <w:rPr>
          <w:i/>
        </w:rPr>
        <w:t xml:space="preserve">J R Soc Interface</w:t>
      </w:r>
      <w:r>
        <w:t xml:space="preserve"> </w:t>
      </w:r>
      <w:r>
        <w:t xml:space="preserve">2013;</w:t>
      </w:r>
      <w:r>
        <w:rPr>
          <w:b/>
        </w:rPr>
        <w:t xml:space="preserve">10</w:t>
      </w:r>
      <w:r>
        <w:t xml:space="preserve">:20130365–5. doi:</w:t>
      </w:r>
      <w:hyperlink r:id="rId53">
        <w:r>
          <w:rPr>
            <w:rStyle w:val="Hyperlink"/>
          </w:rPr>
          <w:t xml:space="preserve">10.1098/rsif.2013.0365</w:t>
        </w:r>
      </w:hyperlink>
    </w:p>
    <w:p>
      <w:pPr>
        <w:pStyle w:val="BodyText"/>
      </w:pPr>
      <w:r>
        <w:t xml:space="preserve">22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 Public Heal</w:t>
      </w:r>
      <w:r>
        <w:t xml:space="preserve"> </w:t>
      </w:r>
      <w:r>
        <w:t xml:space="preserve">2016;</w:t>
      </w:r>
      <w:r>
        <w:rPr>
          <w:b/>
        </w:rPr>
        <w:t xml:space="preserve">74</w:t>
      </w:r>
      <w:r>
        <w:t xml:space="preserve">:1–12. doi:</w:t>
      </w:r>
      <w:hyperlink r:id="rId54">
        <w:r>
          <w:rPr>
            <w:rStyle w:val="Hyperlink"/>
          </w:rPr>
          <w:t xml:space="preserve">10.1186/s13690-016-0141-0</w:t>
        </w:r>
      </w:hyperlink>
    </w:p>
    <w:p>
      <w:pPr>
        <w:pStyle w:val="BodyText"/>
      </w:pPr>
      <w:r>
        <w:t xml:space="preserve">23 Hersh aL, Tala-Heikkilä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24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55">
        <w:r>
          <w:rPr>
            <w:rStyle w:val="Hyperlink"/>
          </w:rPr>
          <w:t xml:space="preserve">10.1016/0962-8479(92)90149-E</w:t>
        </w:r>
      </w:hyperlink>
    </w:p>
    <w:p>
      <w:pPr>
        <w:pStyle w:val="BodyText"/>
      </w:pPr>
      <w:r>
        <w:t xml:space="preserve">25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Heading1"/>
      </w:pPr>
      <w:bookmarkStart w:id="56" w:name="abstract"/>
      <w:bookmarkEnd w:id="56"/>
      <w:r>
        <w:t xml:space="preserve">Abstract</w:t>
      </w:r>
    </w:p>
    <w:p>
      <w:pPr>
        <w:pStyle w:val="Heading2"/>
      </w:pPr>
      <w:bookmarkStart w:id="57" w:name="background"/>
      <w:bookmarkEnd w:id="57"/>
      <w:r>
        <w:t xml:space="preserve">Background</w:t>
      </w:r>
    </w:p>
    <w:p>
      <w:pPr>
        <w:pStyle w:val="FirstParagraph"/>
      </w:pPr>
      <w:r>
        <w:t xml:space="preserve">In 2005, England and Wales switched from universal BCG vaccination for school-age children to targeted vaccination of neonates. We assessed some of the quantitative evidence that informed this policy change.</w:t>
      </w:r>
    </w:p>
    <w:p>
      <w:pPr>
        <w:pStyle w:val="Heading2"/>
      </w:pPr>
      <w:bookmarkStart w:id="58" w:name="methods-1"/>
      <w:bookmarkEnd w:id="58"/>
      <w:r>
        <w:t xml:space="preserve">Methods</w:t>
      </w:r>
    </w:p>
    <w:p>
      <w:pPr>
        <w:pStyle w:val="FirstParagraph"/>
      </w:pPr>
      <w:r>
        <w:t xml:space="preserve">We recreated a previous approach for estimating the impact of ending the BCG schools’ scheme in England and Wales, updating the model with parameter uncertainty. We investigated scenarios considered by the Joint Committee on Vaccination and Immunisation, and explored new approaches using notification data. We estimated the number of vaccines needed to prevent a single notification, and the average annual additional notifications caused by ending the BCG schools’ scheme.</w:t>
      </w:r>
    </w:p>
    <w:p>
      <w:pPr>
        <w:pStyle w:val="Heading2"/>
      </w:pPr>
      <w:bookmarkStart w:id="59" w:name="results-1"/>
      <w:bookmarkEnd w:id="59"/>
      <w:r>
        <w:t xml:space="preserve">Results</w:t>
      </w:r>
    </w:p>
    <w:p>
      <w:pPr>
        <w:pStyle w:val="FirstParagraph"/>
      </w:pPr>
      <w:r>
        <w:t xml:space="preserve">We found a 1.9% annual decrease in Tuberculosis incidence rates best matched our estimates from notifications. We estimate that 1600 (95% Interquartile range (IQR) 1300 to 2100) vaccines would have been required to prevent a single notification in 2004. If the scheme had ended in 2001, 302 (95% IQR 238 to 369) additional annual notifications would have occurred compared to if the scheme had continued. If the scheme ended in 2016, 120 (95% IQR 88 to 155) additional annual notifications would have occurred.</w:t>
      </w:r>
    </w:p>
    <w:p>
      <w:pPr>
        <w:pStyle w:val="Heading2"/>
      </w:pPr>
      <w:bookmarkStart w:id="60" w:name="conclusions"/>
      <w:bookmarkEnd w:id="60"/>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notifications were used. Our results highlight the importance of including uncertainty when forecasting the impact of changes in vaccination policy.</w:t>
      </w:r>
    </w:p>
    <w:p>
      <w:pPr>
        <w:pStyle w:val="Heading1"/>
      </w:pPr>
      <w:bookmarkStart w:id="61" w:name="supplementary-information-reassessing-the-evidence-for-universal-school-age-bacillus-calmette-guerin-bcg-vaccination-in-england-and-wales"/>
      <w:bookmarkEnd w:id="61"/>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62" w:name="recreating-the-estimation-model-of-sutherland-et-al."/>
      <w:bookmarkEnd w:id="62"/>
      <w:r>
        <w:t xml:space="preserve">Recreating the estimation model of Sutherland et al.</w:t>
      </w:r>
    </w:p>
    <w:p>
      <w:pPr>
        <w:pStyle w:val="Heading3"/>
      </w:pPr>
      <w:bookmarkStart w:id="63" w:name="estimating-notification-rates"/>
      <w:bookmarkEnd w:id="63"/>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[8]</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[13]</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[13]</w:t>
      </w:r>
      <w:r>
        <w:t xml:space="preserve"> </w:t>
      </w:r>
      <w:r>
        <w:t xml:space="preserve">for full details of the survey construction and the additional assumptions used to give similar estimates for both the 1973 and 1978 surveys. The findings of these surveys were as follows; in the white population notification rates had fallen by an annual average of 9% and BCG efficacy had remained high.</w:t>
      </w:r>
      <w:r>
        <w:t xml:space="preserve">[10,14]</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64" w:name="construction-of-forward-estimates"/>
      <w:bookmarkEnd w:id="64"/>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white population and therefore historic estimates would continue to apply into the future. Additionally, it was assumed that the decay of 9% in notification rates, across all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[13]</w:t>
      </w:r>
    </w:p>
    <w:p>
      <w:pPr>
        <w:pStyle w:val="Heading2"/>
      </w:pPr>
      <w:bookmarkStart w:id="65" w:name="model-validation-1"/>
      <w:bookmarkEnd w:id="65"/>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Comparision of results results published by Sutherland et al. vs. our recreated model. This table shows the total notifications including primary and secondary effects from ending the BCG schools’ scheme at various times in White adults aged 15-29 years old in England and Wales.</w:t>
      </w:r>
    </w:p>
    <w:tbl>
      <w:tblPr>
        <w:tblStyle w:val="TableNormal"/>
        <w:tblW w:type="pct" w:w="0.0"/>
        <w:tblLook w:firstRow="1"/>
        <w:tblCaption w:val="Supplementary Table S1: Comparision of results results published by Sutherland et al. vs. our recreated model. This table shows the total notifications including primary and secondary effects from ending the BCG schools’ scheme at various times in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66" w:name="results-2"/>
      <w:bookmarkEnd w:id="66"/>
      <w:r>
        <w:t xml:space="preserve">Results</w:t>
      </w:r>
    </w:p>
    <w:p>
      <w:pPr>
        <w:pStyle w:val="FigureWithCaption"/>
      </w:pPr>
      <w:r>
        <w:drawing>
          <wp:inline>
            <wp:extent cx="5943600" cy="4457700"/>
            <wp:effectExtent b="0" l="0" r="0" t="0"/>
            <wp:docPr descr="Supplementary Figure S1: Annual percentage change in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figure/paper/plot-annual-change-1.png" id="0" name="Picture"/>
                    <pic:cNvPicPr>
                      <a:picLocks noChangeArrowheads="1" noChangeAspect="1"/>
                    </pic:cNvPicPr>
                  </pic:nvPicPr>
                  <pic:blipFill>
                    <a:blip r:embed="rId6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95% interquartile range) of vaccines required to prevent a single case of Tuberculosis within 15 years in a White UK born adult vaccinated at 13 years old.</w:t>
      </w:r>
    </w:p>
    <w:tbl>
      <w:tblPr>
        <w:tblStyle w:val="TableNormal"/>
        <w:tblW w:type="pct" w:w="0.0"/>
        <w:tblLook w:firstRow="1"/>
        <w:tblCaption w:val="Supplementary Table S2: The median number (with the 95% interquartile range) of vaccines required to prevent a single case of Tuberculosis within 15 years in a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to 1200)</w:t>
            </w:r>
          </w:p>
        </w:tc>
        <w:tc>
          <w:p>
            <w:pPr>
              <w:pStyle w:val="Compact"/>
              <w:jc w:val="left"/>
            </w:pPr>
            <w:r>
              <w:t xml:space="preserve">880 (730 to 1100)</w:t>
            </w:r>
          </w:p>
        </w:tc>
        <w:tc>
          <w:p>
            <w:pPr>
              <w:pStyle w:val="Compact"/>
              <w:jc w:val="left"/>
            </w:pPr>
            <w:r>
              <w:t xml:space="preserve">860 (710 to 1100)</w:t>
            </w:r>
          </w:p>
        </w:tc>
        <w:tc>
          <w:p>
            <w:pPr>
              <w:pStyle w:val="Compact"/>
              <w:jc w:val="left"/>
            </w:pPr>
            <w:r>
              <w:t xml:space="preserve">830 (680 to 1000)</w:t>
            </w:r>
          </w:p>
        </w:tc>
        <w:tc>
          <w:p>
            <w:pPr>
              <w:pStyle w:val="Compact"/>
              <w:jc w:val="left"/>
            </w:pPr>
            <w:r>
              <w:t xml:space="preserve">860 (710 to 1100)</w:t>
            </w:r>
          </w:p>
        </w:tc>
        <w:tc>
          <w:p>
            <w:pPr>
              <w:pStyle w:val="Compact"/>
              <w:jc w:val="left"/>
            </w:pPr>
            <w:r>
              <w:t xml:space="preserve">870 (640 to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to 1800)</w:t>
            </w:r>
          </w:p>
        </w:tc>
        <w:tc>
          <w:p>
            <w:pPr>
              <w:pStyle w:val="Compact"/>
              <w:jc w:val="left"/>
            </w:pPr>
            <w:r>
              <w:t xml:space="preserve">1100 (910 to 1400)</w:t>
            </w:r>
          </w:p>
        </w:tc>
        <w:tc>
          <w:p>
            <w:pPr>
              <w:pStyle w:val="Compact"/>
              <w:jc w:val="left"/>
            </w:pPr>
            <w:r>
              <w:t xml:space="preserve">1000 (820 to 1300)</w:t>
            </w:r>
          </w:p>
        </w:tc>
        <w:tc>
          <w:p>
            <w:pPr>
              <w:pStyle w:val="Compact"/>
              <w:jc w:val="left"/>
            </w:pPr>
            <w:r>
              <w:t xml:space="preserve">910 (740 to 1200)</w:t>
            </w:r>
          </w:p>
        </w:tc>
        <w:tc>
          <w:p>
            <w:pPr>
              <w:pStyle w:val="Compact"/>
              <w:jc w:val="left"/>
            </w:pPr>
            <w:r>
              <w:t xml:space="preserve">1000 (860 to 1300)</w:t>
            </w:r>
          </w:p>
        </w:tc>
        <w:tc>
          <w:p>
            <w:pPr>
              <w:pStyle w:val="Compact"/>
              <w:jc w:val="left"/>
            </w:pPr>
            <w:r>
              <w:t xml:space="preserve">1100 (660 to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to 2900)</w:t>
            </w:r>
          </w:p>
        </w:tc>
        <w:tc>
          <w:p>
            <w:pPr>
              <w:pStyle w:val="Compact"/>
              <w:jc w:val="left"/>
            </w:pPr>
            <w:r>
              <w:t xml:space="preserve">1400 (1100 to 1700)</w:t>
            </w:r>
          </w:p>
        </w:tc>
        <w:tc>
          <w:p>
            <w:pPr>
              <w:pStyle w:val="Compact"/>
              <w:jc w:val="left"/>
            </w:pPr>
            <w:r>
              <w:t xml:space="preserve">1100 (900 to 1400)</w:t>
            </w:r>
          </w:p>
        </w:tc>
        <w:tc>
          <w:p>
            <w:pPr>
              <w:pStyle w:val="Compact"/>
              <w:jc w:val="left"/>
            </w:pPr>
            <w:r>
              <w:t xml:space="preserve">910 (740 to 1200)</w:t>
            </w:r>
          </w:p>
        </w:tc>
        <w:tc>
          <w:p>
            <w:pPr>
              <w:pStyle w:val="Compact"/>
              <w:jc w:val="left"/>
            </w:pPr>
            <w:r>
              <w:t xml:space="preserve">1600 (1300 to 2000)</w:t>
            </w:r>
          </w:p>
        </w:tc>
        <w:tc>
          <w:p>
            <w:pPr>
              <w:pStyle w:val="Compact"/>
              <w:jc w:val="left"/>
            </w:pPr>
            <w:r>
              <w:t xml:space="preserve">1500 (730 to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to 4600)</w:t>
            </w:r>
          </w:p>
        </w:tc>
        <w:tc>
          <w:p>
            <w:pPr>
              <w:pStyle w:val="Compact"/>
              <w:jc w:val="left"/>
            </w:pPr>
            <w:r>
              <w:t xml:space="preserve">1700 (1300 to 2100)</w:t>
            </w:r>
          </w:p>
        </w:tc>
        <w:tc>
          <w:p>
            <w:pPr>
              <w:pStyle w:val="Compact"/>
              <w:jc w:val="left"/>
            </w:pPr>
            <w:r>
              <w:t xml:space="preserve">1200 (990 to 1500)</w:t>
            </w:r>
          </w:p>
        </w:tc>
        <w:tc>
          <w:p>
            <w:pPr>
              <w:pStyle w:val="Compact"/>
              <w:jc w:val="left"/>
            </w:pPr>
            <w:r>
              <w:t xml:space="preserve">910 (740 to 1200)</w:t>
            </w:r>
          </w:p>
        </w:tc>
        <w:tc>
          <w:p>
            <w:pPr>
              <w:pStyle w:val="Compact"/>
              <w:jc w:val="left"/>
            </w:pPr>
            <w:r>
              <w:t xml:space="preserve">1800 (1500 to 2300)</w:t>
            </w:r>
          </w:p>
        </w:tc>
        <w:tc>
          <w:p>
            <w:pPr>
              <w:pStyle w:val="Compact"/>
              <w:jc w:val="left"/>
            </w:pPr>
            <w:r>
              <w:t xml:space="preserve">1700 (760 to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to 7400)</w:t>
            </w:r>
          </w:p>
        </w:tc>
        <w:tc>
          <w:p>
            <w:pPr>
              <w:pStyle w:val="Compact"/>
              <w:jc w:val="left"/>
            </w:pPr>
            <w:r>
              <w:t xml:space="preserve">2000 (1600 to 2600)</w:t>
            </w:r>
          </w:p>
        </w:tc>
        <w:tc>
          <w:p>
            <w:pPr>
              <w:pStyle w:val="Compact"/>
              <w:jc w:val="left"/>
            </w:pPr>
            <w:r>
              <w:t xml:space="preserve">1300 (1100 to 1700)</w:t>
            </w:r>
          </w:p>
        </w:tc>
        <w:tc>
          <w:p>
            <w:pPr>
              <w:pStyle w:val="Compact"/>
              <w:jc w:val="left"/>
            </w:pPr>
            <w:r>
              <w:t xml:space="preserve">910 (740 to 1200)</w:t>
            </w:r>
          </w:p>
        </w:tc>
        <w:tc>
          <w:p>
            <w:pPr>
              <w:pStyle w:val="Compact"/>
              <w:jc w:val="left"/>
            </w:pPr>
            <w:r>
              <w:t xml:space="preserve">1700 (1400 to 2200)</w:t>
            </w:r>
          </w:p>
        </w:tc>
        <w:tc>
          <w:p>
            <w:pPr>
              <w:pStyle w:val="Compact"/>
              <w:jc w:val="left"/>
            </w:pPr>
            <w:r>
              <w:t xml:space="preserve">1600 (630 to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to 12000)</w:t>
            </w:r>
          </w:p>
        </w:tc>
        <w:tc>
          <w:p>
            <w:pPr>
              <w:pStyle w:val="Compact"/>
              <w:jc w:val="left"/>
            </w:pPr>
            <w:r>
              <w:t xml:space="preserve">2500 (2000 to 3100)</w:t>
            </w:r>
          </w:p>
        </w:tc>
        <w:tc>
          <w:p>
            <w:pPr>
              <w:pStyle w:val="Compact"/>
              <w:jc w:val="left"/>
            </w:pPr>
            <w:r>
              <w:t xml:space="preserve">1500 (1200 to 1900)</w:t>
            </w:r>
          </w:p>
        </w:tc>
        <w:tc>
          <w:p>
            <w:pPr>
              <w:pStyle w:val="Compact"/>
              <w:jc w:val="left"/>
            </w:pPr>
            <w:r>
              <w:t xml:space="preserve">910 (740 to 1200)</w:t>
            </w:r>
          </w:p>
        </w:tc>
        <w:tc>
          <w:p>
            <w:pPr>
              <w:pStyle w:val="Compact"/>
              <w:jc w:val="left"/>
            </w:pPr>
            <w:r>
              <w:t xml:space="preserve">1600 (1300 to 2000)</w:t>
            </w:r>
          </w:p>
        </w:tc>
        <w:tc>
          <w:p>
            <w:pPr>
              <w:pStyle w:val="Compact"/>
              <w:jc w:val="left"/>
            </w:pPr>
            <w:r>
              <w:t xml:space="preserve">1500 (510 to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to 19000)</w:t>
            </w:r>
          </w:p>
        </w:tc>
        <w:tc>
          <w:p>
            <w:pPr>
              <w:pStyle w:val="Compact"/>
              <w:jc w:val="left"/>
            </w:pPr>
            <w:r>
              <w:t xml:space="preserve">3000 (2500 to 3800)</w:t>
            </w:r>
          </w:p>
        </w:tc>
        <w:tc>
          <w:p>
            <w:pPr>
              <w:pStyle w:val="Compact"/>
              <w:jc w:val="left"/>
            </w:pPr>
            <w:r>
              <w:t xml:space="preserve">1600 (1300 to 2100)</w:t>
            </w:r>
          </w:p>
        </w:tc>
        <w:tc>
          <w:p>
            <w:pPr>
              <w:pStyle w:val="Compact"/>
              <w:jc w:val="left"/>
            </w:pPr>
            <w:r>
              <w:t xml:space="preserve">910 (740 to 1200)</w:t>
            </w:r>
          </w:p>
        </w:tc>
        <w:tc>
          <w:p>
            <w:pPr>
              <w:pStyle w:val="Compact"/>
              <w:jc w:val="left"/>
            </w:pPr>
            <w:r>
              <w:t xml:space="preserve">1400 (1100 to 1700)</w:t>
            </w:r>
          </w:p>
        </w:tc>
        <w:tc>
          <w:p>
            <w:pPr>
              <w:pStyle w:val="Compact"/>
              <w:jc w:val="left"/>
            </w:pPr>
            <w:r>
              <w:t xml:space="preserve">1500 (450 to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to 30000)</w:t>
            </w:r>
          </w:p>
        </w:tc>
        <w:tc>
          <w:p>
            <w:pPr>
              <w:pStyle w:val="Compact"/>
              <w:jc w:val="left"/>
            </w:pPr>
            <w:r>
              <w:t xml:space="preserve">3700 (3000 to 4600)</w:t>
            </w:r>
          </w:p>
        </w:tc>
        <w:tc>
          <w:p>
            <w:pPr>
              <w:pStyle w:val="Compact"/>
              <w:jc w:val="left"/>
            </w:pPr>
            <w:r>
              <w:t xml:space="preserve">1800 (1500 to 2300)</w:t>
            </w:r>
          </w:p>
        </w:tc>
        <w:tc>
          <w:p>
            <w:pPr>
              <w:pStyle w:val="Compact"/>
              <w:jc w:val="left"/>
            </w:pPr>
            <w:r>
              <w:t xml:space="preserve">910 (740 to 1200)</w:t>
            </w:r>
          </w:p>
        </w:tc>
        <w:tc>
          <w:p>
            <w:pPr>
              <w:pStyle w:val="Compact"/>
              <w:jc w:val="left"/>
            </w:pPr>
            <w:r>
              <w:t xml:space="preserve">1200 (960 to 1500)</w:t>
            </w:r>
          </w:p>
        </w:tc>
        <w:tc>
          <w:p>
            <w:pPr>
              <w:pStyle w:val="Compact"/>
              <w:jc w:val="left"/>
            </w:pPr>
            <w:r>
              <w:t xml:space="preserve">1200 (330 to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to 49000)</w:t>
            </w:r>
          </w:p>
        </w:tc>
        <w:tc>
          <w:p>
            <w:pPr>
              <w:pStyle w:val="Compact"/>
              <w:jc w:val="left"/>
            </w:pPr>
            <w:r>
              <w:t xml:space="preserve">4500 (3600 to 5700)</w:t>
            </w:r>
          </w:p>
        </w:tc>
        <w:tc>
          <w:p>
            <w:pPr>
              <w:pStyle w:val="Compact"/>
              <w:jc w:val="left"/>
            </w:pPr>
            <w:r>
              <w:t xml:space="preserve">2000 (1600 to 2500)</w:t>
            </w:r>
          </w:p>
        </w:tc>
        <w:tc>
          <w:p>
            <w:pPr>
              <w:pStyle w:val="Compact"/>
              <w:jc w:val="left"/>
            </w:pPr>
            <w:r>
              <w:t xml:space="preserve">910 (740 to 1200)</w:t>
            </w:r>
          </w:p>
        </w:tc>
        <w:tc>
          <w:p>
            <w:pPr>
              <w:pStyle w:val="Compact"/>
              <w:jc w:val="left"/>
            </w:pPr>
            <w:r>
              <w:t xml:space="preserve">1500 (1200 to 1900)</w:t>
            </w:r>
          </w:p>
        </w:tc>
        <w:tc>
          <w:p>
            <w:pPr>
              <w:pStyle w:val="Compact"/>
              <w:jc w:val="left"/>
            </w:pPr>
            <w:r>
              <w:t xml:space="preserve">1500 (370 to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to 78000)</w:t>
            </w:r>
          </w:p>
        </w:tc>
        <w:tc>
          <w:p>
            <w:pPr>
              <w:pStyle w:val="Compact"/>
              <w:jc w:val="left"/>
            </w:pPr>
            <w:r>
              <w:t xml:space="preserve">5400 (4500 to 6900)</w:t>
            </w:r>
          </w:p>
        </w:tc>
        <w:tc>
          <w:p>
            <w:pPr>
              <w:pStyle w:val="Compact"/>
              <w:jc w:val="left"/>
            </w:pPr>
            <w:r>
              <w:t xml:space="preserve">2200 (1800 to 2700)</w:t>
            </w:r>
          </w:p>
        </w:tc>
        <w:tc>
          <w:p>
            <w:pPr>
              <w:pStyle w:val="Compact"/>
              <w:jc w:val="left"/>
            </w:pPr>
            <w:r>
              <w:t xml:space="preserve">910 (740 to 1200)</w:t>
            </w:r>
          </w:p>
        </w:tc>
        <w:tc>
          <w:p>
            <w:pPr>
              <w:pStyle w:val="Compact"/>
              <w:jc w:val="left"/>
            </w:pPr>
            <w:r>
              <w:t xml:space="preserve">2200 (1800 to 2700)</w:t>
            </w:r>
          </w:p>
        </w:tc>
        <w:tc>
          <w:p>
            <w:pPr>
              <w:pStyle w:val="Compact"/>
              <w:jc w:val="left"/>
            </w:pPr>
            <w:r>
              <w:t xml:space="preserve">2300 (470 to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to 130000)</w:t>
            </w:r>
          </w:p>
        </w:tc>
        <w:tc>
          <w:p>
            <w:pPr>
              <w:pStyle w:val="Compact"/>
              <w:jc w:val="left"/>
            </w:pPr>
            <w:r>
              <w:t xml:space="preserve">6600 (5400 to 8400)</w:t>
            </w:r>
          </w:p>
        </w:tc>
        <w:tc>
          <w:p>
            <w:pPr>
              <w:pStyle w:val="Compact"/>
              <w:jc w:val="left"/>
            </w:pPr>
            <w:r>
              <w:t xml:space="preserve">2400 (1900 to 3000)</w:t>
            </w:r>
          </w:p>
        </w:tc>
        <w:tc>
          <w:p>
            <w:pPr>
              <w:pStyle w:val="Compact"/>
              <w:jc w:val="left"/>
            </w:pPr>
            <w:r>
              <w:t xml:space="preserve">910 (740 to 1200)</w:t>
            </w:r>
          </w:p>
        </w:tc>
        <w:tc>
          <w:p>
            <w:pPr>
              <w:pStyle w:val="Compact"/>
              <w:jc w:val="left"/>
            </w:pPr>
            <w:r>
              <w:t xml:space="preserve">3200 (2600 to 4100)</w:t>
            </w:r>
          </w:p>
        </w:tc>
        <w:tc>
          <w:p>
            <w:pPr>
              <w:pStyle w:val="Compact"/>
              <w:jc w:val="left"/>
            </w:pPr>
            <w:r>
              <w:t xml:space="preserve">3300 (530 to 18000)</w:t>
            </w:r>
          </w:p>
        </w:tc>
      </w:tr>
    </w:tbl>
    <w:p>
      <w:pPr>
        <w:pStyle w:val="TableCaption"/>
      </w:pPr>
      <w:r>
        <w:t xml:space="preserve">Supplementary Table S3: The median number (with the 95% interquartile range) of additional annual notifications due to ending the BCG schools’ scheme in selected years.</w:t>
      </w:r>
    </w:p>
    <w:tbl>
      <w:tblPr>
        <w:tblStyle w:val="TableNormal"/>
        <w:tblW w:type="pct" w:w="0.0"/>
        <w:tblLook w:firstRow="1"/>
        <w:tblCaption w:val="Supplementary Table S3: The median number (with the 95% interquartile range)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to 247)</w:t>
            </w:r>
          </w:p>
        </w:tc>
        <w:tc>
          <w:p>
            <w:pPr>
              <w:pStyle w:val="Compact"/>
              <w:jc w:val="left"/>
            </w:pPr>
            <w:r>
              <w:t xml:space="preserve">391 (310 to 476)</w:t>
            </w:r>
          </w:p>
        </w:tc>
        <w:tc>
          <w:p>
            <w:pPr>
              <w:pStyle w:val="Compact"/>
              <w:jc w:val="left"/>
            </w:pPr>
            <w:r>
              <w:t xml:space="preserve">557 (440 to 678)</w:t>
            </w:r>
          </w:p>
        </w:tc>
        <w:tc>
          <w:p>
            <w:pPr>
              <w:pStyle w:val="Compact"/>
              <w:jc w:val="left"/>
            </w:pPr>
            <w:r>
              <w:t xml:space="preserve">827 (652 to 1009)</w:t>
            </w:r>
          </w:p>
        </w:tc>
        <w:tc>
          <w:p>
            <w:pPr>
              <w:pStyle w:val="Compact"/>
              <w:jc w:val="left"/>
            </w:pPr>
            <w:r>
              <w:t xml:space="preserve">531 (421 to 646)</w:t>
            </w:r>
          </w:p>
        </w:tc>
        <w:tc>
          <w:p>
            <w:pPr>
              <w:pStyle w:val="Compact"/>
              <w:jc w:val="left"/>
            </w:pPr>
            <w:r>
              <w:t xml:space="preserve">548 (273 to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to 193)</w:t>
            </w:r>
          </w:p>
        </w:tc>
        <w:tc>
          <w:p>
            <w:pPr>
              <w:pStyle w:val="Compact"/>
              <w:jc w:val="left"/>
            </w:pPr>
            <w:r>
              <w:t xml:space="preserve">350 (276 to 428)</w:t>
            </w:r>
          </w:p>
        </w:tc>
        <w:tc>
          <w:p>
            <w:pPr>
              <w:pStyle w:val="Compact"/>
              <w:jc w:val="left"/>
            </w:pPr>
            <w:r>
              <w:t xml:space="preserve">525 (414 to 643)</w:t>
            </w:r>
          </w:p>
        </w:tc>
        <w:tc>
          <w:p>
            <w:pPr>
              <w:pStyle w:val="Compact"/>
              <w:jc w:val="left"/>
            </w:pPr>
            <w:r>
              <w:t xml:space="preserve">816 (642 to 998)</w:t>
            </w:r>
          </w:p>
        </w:tc>
        <w:tc>
          <w:p>
            <w:pPr>
              <w:pStyle w:val="Compact"/>
              <w:jc w:val="left"/>
            </w:pPr>
            <w:r>
              <w:t xml:space="preserve">497 (391 to 607)</w:t>
            </w:r>
          </w:p>
        </w:tc>
        <w:tc>
          <w:p>
            <w:pPr>
              <w:pStyle w:val="Compact"/>
              <w:jc w:val="left"/>
            </w:pPr>
            <w:r>
              <w:t xml:space="preserve">520 (236 to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to 119)</w:t>
            </w:r>
          </w:p>
        </w:tc>
        <w:tc>
          <w:p>
            <w:pPr>
              <w:pStyle w:val="Compact"/>
              <w:jc w:val="left"/>
            </w:pPr>
            <w:r>
              <w:t xml:space="preserve">282 (223 to 346)</w:t>
            </w:r>
          </w:p>
        </w:tc>
        <w:tc>
          <w:p>
            <w:pPr>
              <w:pStyle w:val="Compact"/>
              <w:jc w:val="left"/>
            </w:pPr>
            <w:r>
              <w:t xml:space="preserve">462 (364 to 565)</w:t>
            </w:r>
          </w:p>
        </w:tc>
        <w:tc>
          <w:p>
            <w:pPr>
              <w:pStyle w:val="Compact"/>
              <w:jc w:val="left"/>
            </w:pPr>
            <w:r>
              <w:t xml:space="preserve">767 (604 to 938)</w:t>
            </w:r>
          </w:p>
        </w:tc>
        <w:tc>
          <w:p>
            <w:pPr>
              <w:pStyle w:val="Compact"/>
              <w:jc w:val="left"/>
            </w:pPr>
            <w:r>
              <w:t xml:space="preserve">434 (341 to 531)</w:t>
            </w:r>
          </w:p>
        </w:tc>
        <w:tc>
          <w:p>
            <w:pPr>
              <w:pStyle w:val="Compact"/>
              <w:jc w:val="left"/>
            </w:pPr>
            <w:r>
              <w:t xml:space="preserve">462 (181 to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to 75)</w:t>
            </w:r>
          </w:p>
        </w:tc>
        <w:tc>
          <w:p>
            <w:pPr>
              <w:pStyle w:val="Compact"/>
              <w:jc w:val="left"/>
            </w:pPr>
            <w:r>
              <w:t xml:space="preserve">231 (182 to 283)</w:t>
            </w:r>
          </w:p>
        </w:tc>
        <w:tc>
          <w:p>
            <w:pPr>
              <w:pStyle w:val="Compact"/>
              <w:jc w:val="left"/>
            </w:pPr>
            <w:r>
              <w:t xml:space="preserve">410 (323 to 501)</w:t>
            </w:r>
          </w:p>
        </w:tc>
        <w:tc>
          <w:p>
            <w:pPr>
              <w:pStyle w:val="Compact"/>
              <w:jc w:val="left"/>
            </w:pPr>
            <w:r>
              <w:t xml:space="preserve">724 (570 to 886)</w:t>
            </w:r>
          </w:p>
        </w:tc>
        <w:tc>
          <w:p>
            <w:pPr>
              <w:pStyle w:val="Compact"/>
              <w:jc w:val="left"/>
            </w:pPr>
            <w:r>
              <w:t xml:space="preserve">406 (319 to 496)</w:t>
            </w:r>
          </w:p>
        </w:tc>
        <w:tc>
          <w:p>
            <w:pPr>
              <w:pStyle w:val="Compact"/>
              <w:jc w:val="left"/>
            </w:pPr>
            <w:r>
              <w:t xml:space="preserve">427 (151 to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to 53)</w:t>
            </w:r>
          </w:p>
        </w:tc>
        <w:tc>
          <w:p>
            <w:pPr>
              <w:pStyle w:val="Compact"/>
              <w:jc w:val="left"/>
            </w:pPr>
            <w:r>
              <w:t xml:space="preserve">200 (158 to 245)</w:t>
            </w:r>
          </w:p>
        </w:tc>
        <w:tc>
          <w:p>
            <w:pPr>
              <w:pStyle w:val="Compact"/>
              <w:jc w:val="left"/>
            </w:pPr>
            <w:r>
              <w:t xml:space="preserve">378 (298 to 462)</w:t>
            </w:r>
          </w:p>
        </w:tc>
        <w:tc>
          <w:p>
            <w:pPr>
              <w:pStyle w:val="Compact"/>
              <w:jc w:val="left"/>
            </w:pPr>
            <w:r>
              <w:t xml:space="preserve">703 (554 to 859)</w:t>
            </w:r>
          </w:p>
        </w:tc>
        <w:tc>
          <w:p>
            <w:pPr>
              <w:pStyle w:val="Compact"/>
              <w:jc w:val="left"/>
            </w:pPr>
            <w:r>
              <w:t xml:space="preserve">399 (313 to 487)</w:t>
            </w:r>
          </w:p>
        </w:tc>
        <w:tc>
          <w:p>
            <w:pPr>
              <w:pStyle w:val="Compact"/>
              <w:jc w:val="left"/>
            </w:pPr>
            <w:r>
              <w:t xml:space="preserve">419 (138 to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to 36)</w:t>
            </w:r>
          </w:p>
        </w:tc>
        <w:tc>
          <w:p>
            <w:pPr>
              <w:pStyle w:val="Compact"/>
              <w:jc w:val="left"/>
            </w:pPr>
            <w:r>
              <w:t xml:space="preserve">170 (134 to 208)</w:t>
            </w:r>
          </w:p>
        </w:tc>
        <w:tc>
          <w:p>
            <w:pPr>
              <w:pStyle w:val="Compact"/>
              <w:jc w:val="left"/>
            </w:pPr>
            <w:r>
              <w:t xml:space="preserve">341 (269 to 418)</w:t>
            </w:r>
          </w:p>
        </w:tc>
        <w:tc>
          <w:p>
            <w:pPr>
              <w:pStyle w:val="Compact"/>
              <w:jc w:val="left"/>
            </w:pPr>
            <w:r>
              <w:t xml:space="preserve">668 (526 to 817)</w:t>
            </w:r>
          </w:p>
        </w:tc>
        <w:tc>
          <w:p>
            <w:pPr>
              <w:pStyle w:val="Compact"/>
              <w:jc w:val="left"/>
            </w:pPr>
            <w:r>
              <w:t xml:space="preserve">384 (301 to 469)</w:t>
            </w:r>
          </w:p>
        </w:tc>
        <w:tc>
          <w:p>
            <w:pPr>
              <w:pStyle w:val="Compact"/>
              <w:jc w:val="left"/>
            </w:pPr>
            <w:r>
              <w:t xml:space="preserve">397 (122 to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to 25)</w:t>
            </w:r>
          </w:p>
        </w:tc>
        <w:tc>
          <w:p>
            <w:pPr>
              <w:pStyle w:val="Compact"/>
              <w:jc w:val="left"/>
            </w:pPr>
            <w:r>
              <w:t xml:space="preserve">141 (111 to 173)</w:t>
            </w:r>
          </w:p>
        </w:tc>
        <w:tc>
          <w:p>
            <w:pPr>
              <w:pStyle w:val="Compact"/>
              <w:jc w:val="left"/>
            </w:pPr>
            <w:r>
              <w:t xml:space="preserve">302 (238 to 369)</w:t>
            </w:r>
          </w:p>
        </w:tc>
        <w:tc>
          <w:p>
            <w:pPr>
              <w:pStyle w:val="Compact"/>
              <w:jc w:val="left"/>
            </w:pPr>
            <w:r>
              <w:t xml:space="preserve">620 (489 to 758)</w:t>
            </w:r>
          </w:p>
        </w:tc>
        <w:tc>
          <w:p>
            <w:pPr>
              <w:pStyle w:val="Compact"/>
              <w:jc w:val="left"/>
            </w:pPr>
            <w:r>
              <w:t xml:space="preserve">359 (282 to 439)</w:t>
            </w:r>
          </w:p>
        </w:tc>
        <w:tc>
          <w:p>
            <w:pPr>
              <w:pStyle w:val="Compact"/>
              <w:jc w:val="left"/>
            </w:pPr>
            <w:r>
              <w:t xml:space="preserve">359 (102 to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to 17)</w:t>
            </w:r>
          </w:p>
        </w:tc>
        <w:tc>
          <w:p>
            <w:pPr>
              <w:pStyle w:val="Compact"/>
              <w:jc w:val="left"/>
            </w:pPr>
            <w:r>
              <w:t xml:space="preserve">113 (89 to 139)</w:t>
            </w:r>
          </w:p>
        </w:tc>
        <w:tc>
          <w:p>
            <w:pPr>
              <w:pStyle w:val="Compact"/>
              <w:jc w:val="left"/>
            </w:pPr>
            <w:r>
              <w:t xml:space="preserve">255 (201 to 313)</w:t>
            </w:r>
          </w:p>
        </w:tc>
        <w:tc>
          <w:p>
            <w:pPr>
              <w:pStyle w:val="Compact"/>
              <w:jc w:val="left"/>
            </w:pPr>
            <w:r>
              <w:t xml:space="preserve">550 (433 to 673)</w:t>
            </w:r>
          </w:p>
        </w:tc>
        <w:tc>
          <w:p>
            <w:pPr>
              <w:pStyle w:val="Compact"/>
              <w:jc w:val="left"/>
            </w:pPr>
            <w:r>
              <w:t xml:space="preserve">311 (244 to 380)</w:t>
            </w:r>
          </w:p>
        </w:tc>
        <w:tc>
          <w:p>
            <w:pPr>
              <w:pStyle w:val="Compact"/>
              <w:jc w:val="left"/>
            </w:pPr>
            <w:r>
              <w:t xml:space="preserve">314 (84 to 1265)</w:t>
            </w:r>
          </w:p>
        </w:tc>
      </w:tr>
      <w:tr>
        <w:tc>
          <w:p>
            <w:pPr>
              <w:pStyle w:val="Compact"/>
              <w:jc w:val="left"/>
            </w:pPr>
            <w:r>
              <w:t xml:space="preserve">2011</w:t>
            </w:r>
          </w:p>
        </w:tc>
        <w:tc>
          <w:p>
            <w:pPr>
              <w:pStyle w:val="Compact"/>
              <w:jc w:val="left"/>
            </w:pPr>
            <w:r>
              <w:t xml:space="preserve">9</w:t>
            </w:r>
          </w:p>
        </w:tc>
        <w:tc>
          <w:p>
            <w:pPr>
              <w:pStyle w:val="Compact"/>
              <w:jc w:val="left"/>
            </w:pPr>
            <w:r>
              <w:t xml:space="preserve">9 (6 to 11)</w:t>
            </w:r>
          </w:p>
        </w:tc>
        <w:tc>
          <w:p>
            <w:pPr>
              <w:pStyle w:val="Compact"/>
              <w:jc w:val="left"/>
            </w:pPr>
            <w:r>
              <w:t xml:space="preserve">82 (64 to 102)</w:t>
            </w:r>
          </w:p>
        </w:tc>
        <w:tc>
          <w:p>
            <w:pPr>
              <w:pStyle w:val="Compact"/>
              <w:jc w:val="left"/>
            </w:pPr>
            <w:r>
              <w:t xml:space="preserve">196 (152 to 242)</w:t>
            </w:r>
          </w:p>
        </w:tc>
        <w:tc>
          <w:p>
            <w:pPr>
              <w:pStyle w:val="Compact"/>
              <w:jc w:val="left"/>
            </w:pPr>
            <w:r>
              <w:t xml:space="preserve">440 (343 to 542)</w:t>
            </w:r>
          </w:p>
        </w:tc>
        <w:tc>
          <w:p>
            <w:pPr>
              <w:pStyle w:val="Compact"/>
              <w:jc w:val="left"/>
            </w:pPr>
            <w:r>
              <w:t xml:space="preserve">215 (167 to 265)</w:t>
            </w:r>
          </w:p>
        </w:tc>
        <w:tc>
          <w:p>
            <w:pPr>
              <w:pStyle w:val="Compact"/>
              <w:jc w:val="left"/>
            </w:pPr>
            <w:r>
              <w:t xml:space="preserve">215 (51 to 1026)</w:t>
            </w:r>
          </w:p>
        </w:tc>
      </w:tr>
      <w:tr>
        <w:tc>
          <w:p>
            <w:pPr>
              <w:pStyle w:val="Compact"/>
              <w:jc w:val="left"/>
            </w:pPr>
            <w:r>
              <w:t xml:space="preserve">2016</w:t>
            </w:r>
          </w:p>
        </w:tc>
        <w:tc>
          <w:p>
            <w:pPr>
              <w:pStyle w:val="Compact"/>
              <w:jc w:val="left"/>
            </w:pPr>
            <w:r>
              <w:t xml:space="preserve">5</w:t>
            </w:r>
          </w:p>
        </w:tc>
        <w:tc>
          <w:p>
            <w:pPr>
              <w:pStyle w:val="Compact"/>
              <w:jc w:val="left"/>
            </w:pPr>
            <w:r>
              <w:t xml:space="preserve">5 (3 to 5)</w:t>
            </w:r>
          </w:p>
        </w:tc>
        <w:tc>
          <w:p>
            <w:pPr>
              <w:pStyle w:val="Compact"/>
              <w:jc w:val="left"/>
            </w:pPr>
            <w:r>
              <w:t xml:space="preserve">49 (35 to 63)</w:t>
            </w:r>
          </w:p>
        </w:tc>
        <w:tc>
          <w:p>
            <w:pPr>
              <w:pStyle w:val="Compact"/>
              <w:jc w:val="left"/>
            </w:pPr>
            <w:r>
              <w:t xml:space="preserve">120 (88 to 155)</w:t>
            </w:r>
          </w:p>
        </w:tc>
        <w:tc>
          <w:p>
            <w:pPr>
              <w:pStyle w:val="Compact"/>
              <w:jc w:val="left"/>
            </w:pPr>
            <w:r>
              <w:t xml:space="preserve">280 (205 to 358)</w:t>
            </w:r>
          </w:p>
        </w:tc>
        <w:tc>
          <w:p>
            <w:pPr>
              <w:pStyle w:val="Compact"/>
              <w:jc w:val="left"/>
            </w:pPr>
            <w:r>
              <w:t xml:space="preserve">109 (80 to 140)</w:t>
            </w:r>
          </w:p>
        </w:tc>
        <w:tc>
          <w:p>
            <w:pPr>
              <w:pStyle w:val="Compact"/>
              <w:jc w:val="left"/>
            </w:pPr>
            <w:r>
              <w:t xml:space="preserve">103 (15 to 755)</w:t>
            </w:r>
          </w:p>
        </w:tc>
      </w:tr>
      <w:tr>
        <w:tc>
          <w:p>
            <w:pPr>
              <w:pStyle w:val="Compact"/>
              <w:jc w:val="left"/>
            </w:pPr>
            <w:r>
              <w:t xml:space="preserve">2021</w:t>
            </w:r>
          </w:p>
        </w:tc>
        <w:tc>
          <w:p>
            <w:pPr>
              <w:pStyle w:val="Compact"/>
              <w:jc w:val="left"/>
            </w:pPr>
            <w:r>
              <w:t xml:space="preserve">2</w:t>
            </w:r>
          </w:p>
        </w:tc>
        <w:tc>
          <w:p>
            <w:pPr>
              <w:pStyle w:val="Compact"/>
              <w:jc w:val="left"/>
            </w:pPr>
            <w:r>
              <w:t xml:space="preserve">2 (1 to 3)</w:t>
            </w:r>
          </w:p>
        </w:tc>
        <w:tc>
          <w:p>
            <w:pPr>
              <w:pStyle w:val="Compact"/>
              <w:jc w:val="left"/>
            </w:pPr>
            <w:r>
              <w:t xml:space="preserve">20 (13 to 29)</w:t>
            </w:r>
          </w:p>
        </w:tc>
        <w:tc>
          <w:p>
            <w:pPr>
              <w:pStyle w:val="Compact"/>
              <w:jc w:val="left"/>
            </w:pPr>
            <w:r>
              <w:t xml:space="preserve">52 (33 to 74)</w:t>
            </w:r>
          </w:p>
        </w:tc>
        <w:tc>
          <w:p>
            <w:pPr>
              <w:pStyle w:val="Compact"/>
              <w:jc w:val="left"/>
            </w:pPr>
            <w:r>
              <w:t xml:space="preserve">126 (78 to 176)</w:t>
            </w:r>
          </w:p>
        </w:tc>
        <w:tc>
          <w:p>
            <w:pPr>
              <w:pStyle w:val="Compact"/>
              <w:jc w:val="left"/>
            </w:pPr>
            <w:r>
              <w:t xml:space="preserve">39 (24 to 54)</w:t>
            </w:r>
          </w:p>
        </w:tc>
        <w:tc>
          <w:p>
            <w:pPr>
              <w:pStyle w:val="Compact"/>
              <w:jc w:val="left"/>
            </w:pPr>
            <w:r>
              <w:t xml:space="preserve">41 (3 to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f4a10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98f3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7986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48f5f4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67" Target="media/rId67.png" /><Relationship Type="http://schemas.openxmlformats.org/officeDocument/2006/relationships/hyperlink" Id="rId37" Target="DOI:10.5281/zenodo.2583056" TargetMode="External" /><Relationship Type="http://schemas.openxmlformats.org/officeDocument/2006/relationships/hyperlink" Id="rId46" Target="http://webarchive.nationalarchives.gov.uk/20120907200824/http://www.dh.gov.uk/prod{\_}consum{\_}dh/groups/dh{\_}digitalassets/@dh/@ab/documents/digitalasset/dh{\_}119892.pdf" TargetMode="External" /><Relationship Type="http://schemas.openxmlformats.org/officeDocument/2006/relationships/hyperlink" Id="rId42" Target="http://www.ncbi.nlm.nih.gov/pubmed/8144299" TargetMode="External" /><Relationship Type="http://schemas.openxmlformats.org/officeDocument/2006/relationships/hyperlink" Id="rId49" Target="https://cran.r-project.org/package=epiR" TargetMode="External" /><Relationship Type="http://schemas.openxmlformats.org/officeDocument/2006/relationships/hyperlink" Id="rId43" Target="https://doi.org/10.1001/jama.1994.03510330076038" TargetMode="External" /><Relationship Type="http://schemas.openxmlformats.org/officeDocument/2006/relationships/hyperlink" Id="rId55" Target="https://doi.org/10.1016/0962-8479(92)90149-E" TargetMode="External" /><Relationship Type="http://schemas.openxmlformats.org/officeDocument/2006/relationships/hyperlink" Id="rId52" Target="https://doi.org/10.1016/S0140-6736(95)92348-9" TargetMode="External" /><Relationship Type="http://schemas.openxmlformats.org/officeDocument/2006/relationships/hyperlink" Id="rId50" Target="https://doi.org/10.1016/S1473-3099(11)70285-7" TargetMode="External" /><Relationship Type="http://schemas.openxmlformats.org/officeDocument/2006/relationships/hyperlink" Id="rId51" Target="https://doi.org/10.1016/j.vaccine.2014.05.042" TargetMode="External" /><Relationship Type="http://schemas.openxmlformats.org/officeDocument/2006/relationships/hyperlink" Id="rId39" Target="https://doi.org/10.1093/cid/cit790" TargetMode="External" /><Relationship Type="http://schemas.openxmlformats.org/officeDocument/2006/relationships/hyperlink" Id="rId47" Target="https://doi.org/10.1093/ije/dyr058" TargetMode="External" /><Relationship Type="http://schemas.openxmlformats.org/officeDocument/2006/relationships/hyperlink" Id="rId53" Target="https://doi.org/10.1098/rsif.2013.0365" TargetMode="External" /><Relationship Type="http://schemas.openxmlformats.org/officeDocument/2006/relationships/hyperlink" Id="rId44" Target="https://doi.org/10.1136/bmj.2.6082.293" TargetMode="External" /><Relationship Type="http://schemas.openxmlformats.org/officeDocument/2006/relationships/hyperlink" Id="rId45" Target="https://doi.org/10.1136/jech.43.1.15" TargetMode="External" /><Relationship Type="http://schemas.openxmlformats.org/officeDocument/2006/relationships/hyperlink" Id="rId54" Target="https://doi.org/10.1186/s13690-016-0141-0" TargetMode="External" /><Relationship Type="http://schemas.openxmlformats.org/officeDocument/2006/relationships/hyperlink" Id="rId41" Target="https://doi.org/10.1371/journal.pmed.1001012" TargetMode="External" /><Relationship Type="http://schemas.openxmlformats.org/officeDocument/2006/relationships/hyperlink" Id="rId40" Target="https://doi.org/10.3310/hta17370" TargetMode="External" /><Relationship Type="http://schemas.openxmlformats.org/officeDocument/2006/relationships/hyperlink" Id="rId48"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7" Target="DOI:10.5281/zenodo.2583056" TargetMode="External" /><Relationship Type="http://schemas.openxmlformats.org/officeDocument/2006/relationships/hyperlink" Id="rId46" Target="http://webarchive.nationalarchives.gov.uk/20120907200824/http://www.dh.gov.uk/prod{\_}consum{\_}dh/groups/dh{\_}digitalassets/@dh/@ab/documents/digitalasset/dh{\_}119892.pdf" TargetMode="External" /><Relationship Type="http://schemas.openxmlformats.org/officeDocument/2006/relationships/hyperlink" Id="rId42" Target="http://www.ncbi.nlm.nih.gov/pubmed/8144299" TargetMode="External" /><Relationship Type="http://schemas.openxmlformats.org/officeDocument/2006/relationships/hyperlink" Id="rId49" Target="https://cran.r-project.org/package=epiR" TargetMode="External" /><Relationship Type="http://schemas.openxmlformats.org/officeDocument/2006/relationships/hyperlink" Id="rId43" Target="https://doi.org/10.1001/jama.1994.03510330076038" TargetMode="External" /><Relationship Type="http://schemas.openxmlformats.org/officeDocument/2006/relationships/hyperlink" Id="rId55" Target="https://doi.org/10.1016/0962-8479(92)90149-E" TargetMode="External" /><Relationship Type="http://schemas.openxmlformats.org/officeDocument/2006/relationships/hyperlink" Id="rId52" Target="https://doi.org/10.1016/S0140-6736(95)92348-9" TargetMode="External" /><Relationship Type="http://schemas.openxmlformats.org/officeDocument/2006/relationships/hyperlink" Id="rId50" Target="https://doi.org/10.1016/S1473-3099(11)70285-7" TargetMode="External" /><Relationship Type="http://schemas.openxmlformats.org/officeDocument/2006/relationships/hyperlink" Id="rId51" Target="https://doi.org/10.1016/j.vaccine.2014.05.042" TargetMode="External" /><Relationship Type="http://schemas.openxmlformats.org/officeDocument/2006/relationships/hyperlink" Id="rId39" Target="https://doi.org/10.1093/cid/cit790" TargetMode="External" /><Relationship Type="http://schemas.openxmlformats.org/officeDocument/2006/relationships/hyperlink" Id="rId47" Target="https://doi.org/10.1093/ije/dyr058" TargetMode="External" /><Relationship Type="http://schemas.openxmlformats.org/officeDocument/2006/relationships/hyperlink" Id="rId53" Target="https://doi.org/10.1098/rsif.2013.0365" TargetMode="External" /><Relationship Type="http://schemas.openxmlformats.org/officeDocument/2006/relationships/hyperlink" Id="rId44" Target="https://doi.org/10.1136/bmj.2.6082.293" TargetMode="External" /><Relationship Type="http://schemas.openxmlformats.org/officeDocument/2006/relationships/hyperlink" Id="rId45" Target="https://doi.org/10.1136/jech.43.1.15" TargetMode="External" /><Relationship Type="http://schemas.openxmlformats.org/officeDocument/2006/relationships/hyperlink" Id="rId54" Target="https://doi.org/10.1186/s13690-016-0141-0" TargetMode="External" /><Relationship Type="http://schemas.openxmlformats.org/officeDocument/2006/relationships/hyperlink" Id="rId41" Target="https://doi.org/10.1371/journal.pmed.1001012" TargetMode="External" /><Relationship Type="http://schemas.openxmlformats.org/officeDocument/2006/relationships/hyperlink" Id="rId40" Target="https://doi.org/10.3310/hta17370" TargetMode="External" /><Relationship Type="http://schemas.openxmlformats.org/officeDocument/2006/relationships/hyperlink" Id="rId48"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2019-04-10T15:53:42Z</dcterms:created>
  <dcterms:modified xsi:type="dcterms:W3CDTF">2019-04-10T15:53:42Z</dcterms:modified>
</cp:coreProperties>
</file>