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274</w:t>
      </w:r>
      <w:r>
        <w:t xml:space="preserve"> </w:t>
      </w:r>
      <w:r>
        <w:rPr>
          <w:i/>
        </w:rPr>
        <w:t xml:space="preserve">Paper:</w:t>
      </w:r>
      <w:r>
        <w:t xml:space="preserve"> </w:t>
      </w:r>
      <w:r>
        <w:t xml:space="preserve">4027</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 of these factors means that our results are likely to underestimate the impact of ending the BCG schools scheme.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(JCVI)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 step.</w:t>
      </w:r>
    </w:p>
    <w:p>
      <w:pPr>
        <w:pStyle w:val="Heading3"/>
      </w:pPr>
      <w:bookmarkStart w:id="33" w:name="original-estimation-of-notification-rates"/>
      <w:bookmarkEnd w:id="33"/>
      <w:r>
        <w:t xml:space="preserve">Original estimation of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original-construction-of-forward-estimates"/>
      <w:bookmarkEnd w:id="34"/>
      <w:r>
        <w:t xml:space="preserve">Original 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annual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 individuals,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Department of Health and Social Security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3"/>
      </w:pPr>
      <w:bookmarkStart w:id="35" w:name="original-transmission-chain-model"/>
      <w:bookmarkEnd w:id="35"/>
      <w:r>
        <w:t xml:space="preserve">Original transmission chain model</w:t>
      </w:r>
    </w:p>
    <w:p>
      <w:pPr>
        <w:pStyle w:val="FirstParagraph"/>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annual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expected number of secondary notifications arising from any single primary notification (</w:t>
      </w:r>
      <m:oMath>
        <m:r>
          <m:t>T</m:t>
        </m:r>
      </m:oMath>
      <w:r>
        <w:t xml:space="preserve">) is related to the number of notifications in each generation using the relative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w:t>
      </w:r>
    </w:p>
    <w:p>
      <w:pPr>
        <w:pStyle w:val="Heading3"/>
      </w:pPr>
      <w:bookmarkStart w:id="36" w:name="updating-the-transmission-chain-model"/>
      <w:bookmarkEnd w:id="36"/>
      <w:r>
        <w:t xml:space="preserve">Updating the transmission chain model</w:t>
      </w:r>
    </w:p>
    <w:p>
      <w:pPr>
        <w:pStyle w:val="FirstParagraph"/>
      </w:pPr>
      <w:r>
        <w:t xml:space="preserve">If we assume a constant decay rate of</w:t>
      </w:r>
      <w:r>
        <w:t xml:space="preserve"> </w:t>
      </w:r>
      <m:oMath>
        <m:r>
          <m:t>d</m:t>
        </m:r>
      </m:oMath>
      <w:r>
        <w:t xml:space="preserve">% per year and that the next generation of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notifications</w:t>
      </w:r>
      <w:r>
        <w:t xml:space="preserve"> </w:t>
      </w:r>
      <m:oMath>
        <m:r>
          <m:t>z</m:t>
        </m:r>
      </m:oMath>
      <w:r>
        <w:t xml:space="preserve"> </w:t>
      </w:r>
      <w:r>
        <w:t xml:space="preserve">years later. This is therefore the relative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Sutherland et al. gave annual estimates of when secondary cases occurred. We were unable to reproduce this using the original model and therefore added an additional model step for validation purposes. This did not impact our results as we used the the total number of secondary notifications occurring due to primary notifications rather than an annual estimate as our measure of impact. Implementing the model also required several additional assumptions not detailed in</w:t>
      </w:r>
      <w:r>
        <w:t xml:space="preserve"> </w:t>
      </w:r>
      <w:r>
        <w:t xml:space="preserve">[11]</w:t>
      </w:r>
      <w:r>
        <w:t xml:space="preserve">. See the supplementary information for details.</w:t>
      </w:r>
    </w:p>
    <w:p>
      <w:pPr>
        <w:pStyle w:val="Heading2"/>
      </w:pPr>
      <w:bookmarkStart w:id="37" w:name="updating-model-parameter-estimates-and-incorporating-parameter-uncertainty"/>
      <w:bookmarkEnd w:id="37"/>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 plot smoothing (LOESS)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8" w:name="statistical-analysis"/>
      <w:bookmarkEnd w:id="38"/>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9" w:name="patient-and-public-involvement"/>
      <w:bookmarkEnd w:id="39"/>
      <w:r>
        <w:t xml:space="preserve">Patient and public involvement</w:t>
      </w:r>
    </w:p>
    <w:p>
      <w:pPr>
        <w:pStyle w:val="FirstParagraph"/>
      </w:pPr>
      <w:r>
        <w:t xml:space="preserve">We did not involve patients or the public in the design or planning of this study.</w:t>
      </w:r>
    </w:p>
    <w:p>
      <w:pPr>
        <w:pStyle w:val="Heading1"/>
      </w:pPr>
      <w:bookmarkStart w:id="40" w:name="results"/>
      <w:bookmarkEnd w:id="40"/>
      <w:r>
        <w:t xml:space="preserve">Results</w:t>
      </w:r>
    </w:p>
    <w:p>
      <w:pPr>
        <w:pStyle w:val="Heading2"/>
      </w:pPr>
      <w:bookmarkStart w:id="41" w:name="model-validation"/>
      <w:bookmarkEnd w:id="41"/>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2" w:name="annual-change-in-tb-incidence-rates"/>
      <w:bookmarkEnd w:id="42"/>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4" w:name="vaccines-required-to-prevent-a-single-notification"/>
      <w:bookmarkEnd w:id="44"/>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JCVI)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6" w:name="average-annual-additional-cases-from-ending-the-bcg-schools-scheme-at-various-dates"/>
      <w:bookmarkEnd w:id="4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 (figure 3).</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8" w:name="discussion"/>
      <w:bookmarkEnd w:id="4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JCVI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likely underestimate the impact of ending the BCG schools scheme.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49">
        <w:r>
          <w:rPr>
            <w:rStyle w:val="Hyperlink"/>
          </w:rPr>
          <w:t xml:space="preserve">https://doi.org/10.5281/zenodo.2635687</w:t>
        </w:r>
      </w:hyperlink>
    </w:p>
    <w:p>
      <w:pPr>
        <w:pStyle w:val="BodyText"/>
      </w:pPr>
      <w:r>
        <w:rPr>
          <w:b/>
        </w:rPr>
        <w:t xml:space="preserve">Data availability statement</w:t>
      </w:r>
    </w:p>
    <w:p>
      <w:pPr>
        <w:pStyle w:val="BodyText"/>
      </w:pPr>
      <w:r>
        <w:t xml:space="preserve">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w:t>
      </w:r>
      <w:r>
        <w:t xml:space="preserve"> </w:t>
      </w:r>
      <w:hyperlink r:id="rId49">
        <w:r>
          <w:rPr>
            <w:rStyle w:val="Hyperlink"/>
          </w:rPr>
          <w:t xml:space="preserve">https://doi.org/10.5281/zenodo.2635687</w:t>
        </w:r>
      </w:hyperlink>
    </w:p>
    <w:p>
      <w:pPr>
        <w:pStyle w:val="Heading1"/>
      </w:pPr>
      <w:bookmarkStart w:id="50" w:name="references"/>
      <w:bookmarkEnd w:id="5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51">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NJ</w:t>
      </w:r>
      <w:r>
        <w:t xml:space="preserve"> </w:t>
      </w:r>
      <w:r>
        <w:rPr>
          <w:i/>
        </w:rPr>
        <w:t xml:space="preserve">et al.</w:t>
      </w:r>
      <w:r>
        <w:t xml:space="preserve"> </w:t>
      </w:r>
      <w:r>
        <w:t xml:space="preserve">Estimating the effect of the 2005 change in bcg policy in england: A retrospective cohort study, 2000 to 2015.</w:t>
      </w:r>
      <w:r>
        <w:t xml:space="preserve"> </w:t>
      </w:r>
      <w:r>
        <w:rPr>
          <w:i/>
        </w:rPr>
        <w:t xml:space="preserve">Eurosurveillance</w:t>
      </w:r>
      <w:r>
        <w:t xml:space="preserve"> </w:t>
      </w:r>
      <w:r>
        <w:t xml:space="preserve">2019;</w:t>
      </w:r>
      <w:r>
        <w:rPr>
          <w:b/>
        </w:rPr>
        <w:t xml:space="preserve">24</w:t>
      </w:r>
      <w:r>
        <w:t xml:space="preserve">:1900220. doi:</w:t>
      </w:r>
      <w:hyperlink r:id="rId52">
        <w:r>
          <w:rPr>
            <w:rStyle w:val="Hyperlink"/>
          </w:rPr>
          <w:t xml:space="preserve">10.2807/1560-7917.ES.2019.24.49.1900220</w:t>
        </w:r>
      </w:hyperlink>
    </w:p>
    <w:p>
      <w:pPr>
        <w:pStyle w:val="Heading2"/>
      </w:pPr>
      <w:bookmarkStart w:id="53" w:name="results-copy-to-top"/>
      <w:bookmarkEnd w:id="53"/>
      <w:r>
        <w:t xml:space="preserve">Results</w:t>
      </w:r>
      <w:r>
        <w:t xml:space="preserve"> </w:t>
      </w:r>
      <w:r>
        <w:rPr>
          <w:i/>
        </w:rPr>
        <w:t xml:space="preserve">Copy to top</w:t>
      </w:r>
    </w:p>
    <w:p>
      <w:pPr>
        <w:pStyle w:val="FirstParagraph"/>
      </w:pPr>
      <w:r>
        <w:t xml:space="preserve">The previously published model was found to contain a methodological flaw and to be spuriously precise. It greatly underestimated the impact of ending school-age vaccination compared to our updated, corrected, model. The updated model produced predictions with wide confidence intervals when parameter uncertainty was included. Model estimates based on an assumption of an annual decrease in TB incidence rates of 1.9% were closest to those estimated using notification data. Using this assumption, we estimate that 1600 (2.5,97.5% Quantiles (Q): 1300, 2000) vaccines would have been required to prevent a single notification in 2004.</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assumptions"/>
      <w:bookmarkEnd w:id="55"/>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annually (rather than by generation or overall) reported in Sutherland et al. we introduced an additional model step and parameter; the proportion of secondary cases in the first generation that occurred in the first year (</w:t>
      </w:r>
      <m:oMath>
        <m:r>
          <m:t>f</m:t>
        </m:r>
      </m:oMath>
      <w:r>
        <w:t xml:space="preserve">). This modelling step was only required to reproduce the final table from</w:t>
      </w:r>
      <w:r>
        <w:t xml:space="preserve"> </w:t>
      </w:r>
      <w:r>
        <w:t xml:space="preserve">[11]</w:t>
      </w:r>
      <w:r>
        <w:t xml:space="preserve"> </w:t>
      </w:r>
      <w:r>
        <w:t xml:space="preserve">and did not impact our estimates of the impact of ending the BCG schools scheme. It is included only for validation purposes.</w:t>
      </w:r>
    </w:p>
    <w:p>
      <w:pPr>
        <w:pStyle w:val="BodyText"/>
      </w:pPr>
      <w:r>
        <w:t xml:space="preserve">The annual distribution of secondary notifications (</w:t>
      </w:r>
      <m:oMath>
        <m:r>
          <m:t>N</m:t>
        </m:r>
      </m:oMath>
      <w:r>
        <w:t xml:space="preserve">) was modelled by first estimating the number of secondary notifications that occurred in the current year (</w:t>
      </w:r>
      <m:oMath>
        <m:r>
          <m:t>i</m:t>
        </m:r>
      </m:oMath>
      <w:r>
        <w:t xml:space="preserve">) due to primary notifications in that year (</w:t>
      </w:r>
      <m:oMath>
        <m:sSup>
          <m:e>
            <m:r>
              <m:t>N</m:t>
            </m:r>
          </m:e>
          <m:sup>
            <m:r>
              <m:t>C</m:t>
            </m:r>
            <m:r>
              <m:t>u</m:t>
            </m:r>
            <m:r>
              <m:t>r</m:t>
            </m:r>
            <m:r>
              <m:t>r</m:t>
            </m:r>
            <m:r>
              <m:t>e</m:t>
            </m:r>
            <m:r>
              <m:t>n</m:t>
            </m:r>
            <m:r>
              <m:t>t</m:t>
            </m:r>
          </m:sup>
        </m:sSup>
      </m:oMath>
      <w:r>
        <w:t xml:space="preserve">) and then estimating how many secondary notifications occurred 5 years later (</w:t>
      </w:r>
      <m:oMath>
        <m:sSup>
          <m:e>
            <m:r>
              <m:t>N</m:t>
            </m:r>
          </m:e>
          <m:sup>
            <m:r>
              <m:t>P</m:t>
            </m:r>
            <m:r>
              <m:t>r</m:t>
            </m:r>
            <m:r>
              <m:t>o</m:t>
            </m:r>
            <m:r>
              <m:t>j</m:t>
            </m:r>
            <m:r>
              <m:t>e</m:t>
            </m:r>
            <m:r>
              <m:t>c</m:t>
            </m:r>
            <m:r>
              <m:t>t</m:t>
            </m:r>
            <m:r>
              <m:t>e</m:t>
            </m:r>
            <m:r>
              <m:t>d</m:t>
            </m:r>
          </m:sup>
        </m:sSup>
      </m:oMath>
      <w:r>
        <w:t xml:space="preserve">).</w:t>
      </w:r>
      <w:r>
        <w:t xml:space="preserve"> </w:t>
      </w:r>
      <m:oMath>
        <m:sSup>
          <m:e>
            <m:r>
              <m:t>N</m:t>
            </m:r>
          </m:e>
          <m:sup>
            <m:r>
              <m:t>C</m:t>
            </m:r>
            <m:r>
              <m:t>u</m:t>
            </m:r>
            <m:r>
              <m:t>r</m:t>
            </m:r>
            <m:r>
              <m:t>r</m:t>
            </m:r>
            <m:r>
              <m:t>e</m:t>
            </m:r>
            <m:r>
              <m:t>n</m:t>
            </m:r>
            <m:r>
              <m:t>t</m:t>
            </m:r>
          </m:sup>
        </m:sSup>
      </m:oMath>
      <w:r>
        <w:t xml:space="preserve"> </w:t>
      </w:r>
      <w:r>
        <w:t xml:space="preserve">was estimated using the number of primary notifications (</w:t>
      </w:r>
      <m:oMath>
        <m:r>
          <m:t>P</m:t>
        </m:r>
      </m:oMath>
      <w:r>
        <w:t xml:space="preserve">) multiplied by the number of total expected number of secondary notifications per primary notification (</w:t>
      </w:r>
      <m:oMath>
        <m:r>
          <m:t>T</m:t>
        </m:r>
      </m:oMath>
      <w:r>
        <w:t xml:space="preserve">), the proportion of secondary cases in the first generation that occurred in the first year (</w:t>
      </w:r>
      <m:oMath>
        <m:r>
          <m:t>f</m:t>
        </m:r>
      </m:oMath>
      <w:r>
        <w:t xml:space="preserve">), and the relative size of the first generation (</w:t>
      </w:r>
      <m:oMath>
        <m:r>
          <m:t>x</m:t>
        </m:r>
      </m:oMath>
      <w:r>
        <w:t xml:space="preserve">).</w:t>
      </w:r>
      <w:r>
        <w:t xml:space="preserve"> </w:t>
      </w:r>
      <m:oMath>
        <m:sSup>
          <m:e>
            <m:r>
              <m:t>N</m:t>
            </m:r>
          </m:e>
          <m:sup>
            <m:r>
              <m:t>P</m:t>
            </m:r>
            <m:r>
              <m:t>r</m:t>
            </m:r>
            <m:r>
              <m:t>o</m:t>
            </m:r>
            <m:r>
              <m:t>j</m:t>
            </m:r>
            <m:r>
              <m:t>e</m:t>
            </m:r>
            <m:r>
              <m:t>c</m:t>
            </m:r>
            <m:r>
              <m:t>t</m:t>
            </m:r>
            <m:r>
              <m:t>e</m:t>
            </m:r>
            <m:r>
              <m:t>d</m:t>
            </m:r>
          </m:sup>
        </m:sSup>
      </m:oMath>
      <w:r>
        <w:t xml:space="preserve"> </w:t>
      </w:r>
      <w:r>
        <w:t xml:space="preserve">was then estimated by assuming that it was equal to the number of secondary notifications, minus notifications occurring in the first year, that occurred</w:t>
      </w:r>
      <w:r>
        <w:t xml:space="preserve"> </w:t>
      </w:r>
      <m:oMath>
        <m:r>
          <m:t>Z</m:t>
        </m:r>
      </m:oMath>
      <w:r>
        <w:t xml:space="preserve"> </w:t>
      </w:r>
      <w:r>
        <w:t xml:space="preserve">(the expected average interval between each primary notification and all secondary notifications) years ago. As this used the overall number of notifications from the previous time step a decay of</w:t>
      </w:r>
      <w:r>
        <w:t xml:space="preserve"> </w:t>
      </w:r>
      <m:oMath>
        <m:r>
          <m:t>(</m:t>
        </m:r>
        <m:r>
          <m:t>1</m:t>
        </m:r>
        <m:r>
          <m:t>−</m:t>
        </m:r>
        <m:r>
          <m:t>d</m:t>
        </m:r>
        <m:sSup>
          <m:e>
            <m:r>
              <m:t>)</m:t>
            </m:r>
          </m:e>
          <m:sup>
            <m:r>
              <m:t>5</m:t>
            </m:r>
            <m:r>
              <m:t>−</m:t>
            </m:r>
            <m:r>
              <m:t>Z</m:t>
            </m:r>
          </m:sup>
        </m:sSup>
      </m:oMath>
      <w:r>
        <w:t xml:space="preserve"> </w:t>
      </w:r>
      <w:r>
        <w:t xml:space="preserve">was applied. This approach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5</m:t>
              </m:r>
              <m:r>
                <m:t>−</m:t>
              </m:r>
              <m:r>
                <m:t>Z</m:t>
              </m:r>
            </m:sup>
          </m:sSup>
        </m:oMath>
      </m:oMathPara>
    </w:p>
    <w:p>
      <w:pPr>
        <w:pStyle w:val="FirstParagraph"/>
      </w:pPr>
      <m:oMathPara>
        <m:oMathParaPr>
          <m:jc m:val="center"/>
        </m:oMathParaPr>
        <m:oMath>
          <m:sSub>
            <m:e>
              <m:r>
                <m:t>N</m:t>
              </m:r>
            </m:e>
            <m:sub>
              <m:r>
                <m:t>i</m:t>
              </m:r>
            </m:sub>
          </m:sSub>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We fitted the proportion of secondary cases in the first generation that occurred in the first year (</w:t>
      </w:r>
      <m:oMath>
        <m:r>
          <m:t>f</m:t>
        </m:r>
      </m:oMath>
      <w:r>
        <w:t xml:space="preserve">)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1"/>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67059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206f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a7e40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b52b6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c81875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52" Target="https://doi.org/10.2807/1560-7917.ES.2019.24.49.1900220"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2807/1560-7917.ES.2019.24.49.1900220"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2019-12-13T16:03:15Z</dcterms:created>
  <dcterms:modified xsi:type="dcterms:W3CDTF">2019-12-13T16:03:15Z</dcterms:modified>
</cp:coreProperties>
</file>