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0.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r>
        <w:t xml:space="preserve"> </w:t>
      </w:r>
      <w:r>
        <w:t xml:space="preserve">re-evaluating</w:t>
      </w:r>
      <w:r>
        <w:t xml:space="preserve"> </w:t>
      </w:r>
      <w:r>
        <w:t xml:space="preserve">and</w:t>
      </w:r>
      <w:r>
        <w:t xml:space="preserve"> </w:t>
      </w:r>
      <w:r>
        <w:t xml:space="preserve">updating</w:t>
      </w:r>
      <w:r>
        <w:t xml:space="preserve"> </w:t>
      </w:r>
      <w:r>
        <w:t xml:space="preserve">a</w:t>
      </w:r>
      <w:r>
        <w:t xml:space="preserve"> </w:t>
      </w:r>
      <w:r>
        <w:t xml:space="preserve">modelling</w:t>
      </w:r>
      <w:r>
        <w:t xml:space="preserve"> </w:t>
      </w:r>
      <w:r>
        <w:t xml:space="preserve">study</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21</w:t>
      </w:r>
      <w:r>
        <w:t xml:space="preserve"> </w:t>
      </w:r>
      <w:r>
        <w:rPr>
          <w:i/>
        </w:rPr>
        <w:t xml:space="preserve">Abstract:</w:t>
      </w:r>
      <w:r>
        <w:t xml:space="preserve"> </w:t>
      </w:r>
      <w:r>
        <w:t xml:space="preserve">250</w:t>
      </w:r>
      <w:r>
        <w:t xml:space="preserve"> </w:t>
      </w:r>
      <w:r>
        <w:rPr>
          <w:i/>
        </w:rPr>
        <w:t xml:space="preserve">Paper:</w:t>
      </w:r>
      <w:r>
        <w:t xml:space="preserve"> </w:t>
      </w:r>
      <w:r>
        <w:t xml:space="preserve">4104</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(at 13-14 years old)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high-risk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and updated,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(vaccinated, unvaccinated, and ineligible), in the ethnic White UK born population of England and Wales aged 15-19 years old, 20-24 years old and 25-29 years old. Future incidence rates were forecast by assuming an annual decrease in incidence rates, which was based on historic trends.</w:t>
      </w:r>
      <w:r>
        <w:t xml:space="preserve">[11,15]</w:t>
      </w:r>
      <w:r>
        <w:t xml:space="preserve"> </w:t>
      </w:r>
      <w:r>
        <w:t xml:space="preserve">Primary impacts from ending the schools scheme, including the number of vaccines required to prevent a single notification, were estimated by calculating the difference in incidence rates between the vaccinated and unvaccinated populations. Additional notifications from TB transmission were then calculated using a transmission chain model. This model allowed both the number of additional notifications to be estimated as well as estimating when approximately they would occur after the initial notification. These estimates were then used, combined with the primary impact estimates, to calculate the number of annual additional notifications due to ending BCG vaccination. Based on data availability the model used a 5 year timestep. More detail is given on the original model, as well as our updated version, in the following sections.</w:t>
      </w:r>
    </w:p>
    <w:p>
      <w:pPr>
        <w:pStyle w:val="Heading3"/>
      </w:pPr>
      <w:bookmarkStart w:id="28" w:name="estimating-notification-rates"/>
      <w:bookmarkEnd w:id="28"/>
      <w:r>
        <w:t xml:space="preserve">Estimating notification rates</w:t>
      </w:r>
    </w:p>
    <w:p>
      <w:pPr>
        <w:pStyle w:val="FirstParagraph"/>
      </w:pPr>
      <w:r>
        <w:t xml:space="preserve">The effectiveness of the BCG vaccine was originally estimated by an MRC trial in 1953 at 78% in the United Kingdom.</w:t>
      </w:r>
      <w:r>
        <w:t xml:space="preserve">[9]</w:t>
      </w:r>
      <w:r>
        <w:t xml:space="preserve"> </w:t>
      </w:r>
      <w:r>
        <w:t xml:space="preserve">As a follow up to this trial members of the MRC bio-statistics unit conducted a series of notification surveys attempting to ascertain any change in effectiveness, as well as acting as an estimate of notification rates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groups: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were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those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sutherland et al.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29" w:name="construction-of-forward-estimates"/>
      <w:bookmarkEnd w:id="29"/>
      <w:r>
        <w:t xml:space="preserve">Construction of forward estimates</w:t>
      </w:r>
    </w:p>
    <w:p>
      <w:pPr>
        <w:pStyle w:val="FirstParagraph"/>
      </w:pPr>
      <w:r>
        <w:t xml:space="preserve">Based on these estimated notification rates Sutherland et al. then sought to quantify the ongoing risk of developing notified TB,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allowed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this information and the projected differences between vaccinated and unvaccinated notification rates allowed the number of prevented notifications for each age group to be found for each year. This can then be combined to give the total number of prevented notifications for those aged between 15-29. To understand these estimates, estimates of the projected yearly notifications if the scheme continues were required. These totals were derived from the vaccinated and unvaccinated rates supplemented with similar projections from the tuberculin positive or otherwise ineligible sourced from the 1983 BCG survey.</w:t>
      </w:r>
      <w:r>
        <w:t xml:space="preserve">[14]</w:t>
      </w:r>
    </w:p>
    <w:p>
      <w:pPr>
        <w:pStyle w:val="Heading4"/>
      </w:pPr>
      <w:bookmarkStart w:id="30" w:name="original-transmission-chain-model"/>
      <w:bookmarkEnd w:id="30"/>
      <w:r>
        <w:t xml:space="preserve">Original transmission chain model</w:t>
      </w:r>
    </w:p>
    <w:p>
      <w:pPr>
        <w:pStyle w:val="FirstParagraph"/>
      </w:pPr>
      <w:r>
        <w:t xml:space="preserve">Sutherland et al defined their TB transmission model as follows: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r>
            <m:t>(</m:t>
          </m:r>
          <m:r>
            <m:t>1</m:t>
          </m:r>
          <m:r>
            <m:t>−</m:t>
          </m:r>
          <m:r>
            <m:t>d</m:t>
          </m:r>
          <m:sSup>
            <m:e>
              <m:r>
                <m:t>)</m:t>
              </m:r>
            </m:e>
            <m:sup>
              <m:r>
                <m:t>z</m:t>
              </m:r>
            </m:sup>
          </m:sSup>
          <m:r>
            <m:t>&lt;</m:t>
          </m:r>
          <m:r>
            <m:t>1</m:t>
          </m:r>
        </m:oMath>
      </m:oMathPara>
    </w:p>
    <w:p>
      <w:pPr>
        <w:pStyle w:val="FirstParagraph"/>
      </w:pPr>
      <w:r>
        <w:t xml:space="preserve">Where</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Compact"/>
        <w:numPr>
          <w:numId w:val="1006"/>
          <w:ilvl w:val="0"/>
        </w:numPr>
      </w:pPr>
      <w:r>
        <w:t xml:space="preserve">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FirstParagraph"/>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Heading4"/>
      </w:pPr>
      <w:bookmarkStart w:id="31" w:name="transmission-chain-model-updates-and-additions"/>
      <w:bookmarkEnd w:id="31"/>
      <w:r>
        <w:t xml:space="preserve">Transmission chain model updates and additions</w:t>
      </w:r>
    </w:p>
    <w:p>
      <w:pPr>
        <w:pStyle w:val="FirstParagraph"/>
      </w:pPr>
      <w:r>
        <w:t xml:space="preserve">Sutherland et al. incorrectly defined the total expected number of secondary notifications (</w:t>
      </w:r>
      <m:oMath>
        <m:r>
          <m:t>T</m:t>
        </m:r>
      </m:oMath>
      <w:r>
        <w:t xml:space="preserve">) as the initial generation size (</w:t>
      </w:r>
      <m:oMath>
        <m:r>
          <m:t>x</m:t>
        </m:r>
      </m:oMath>
      <w:r>
        <w:t xml:space="preserve">). To correct this we updated 1. to the following,</w:t>
      </w:r>
    </w:p>
    <w:p>
      <w:pPr>
        <w:pStyle w:val="BodyText"/>
      </w:pPr>
      <m:oMathPara>
        <m:oMathParaPr>
          <m:jc m:val="center"/>
        </m:oMathParaPr>
        <m:oMath>
          <m:r>
            <m:t>x</m:t>
          </m:r>
          <m:r>
            <m:t>=</m:t>
          </m:r>
          <m:r>
            <m:t>(</m:t>
          </m:r>
          <m:r>
            <m:t>1</m:t>
          </m:r>
          <m:r>
            <m:t>−</m:t>
          </m:r>
          <m:r>
            <m:t>d</m:t>
          </m:r>
          <m:sSup>
            <m:e>
              <m:r>
                <m:t>)</m:t>
              </m:r>
            </m:e>
            <m:sup>
              <m:r>
                <m:t>z</m:t>
              </m:r>
            </m:sup>
          </m:sSup>
          <m:r>
            <m:t>&lt;</m:t>
          </m:r>
          <m:r>
            <m:t>1</m:t>
          </m:r>
        </m:oMath>
      </m:oMathPara>
    </w:p>
    <w:p>
      <w:pPr>
        <w:pStyle w:val="FirstParagraph"/>
      </w:pPr>
      <w:r>
        <w:t xml:space="preserve">Implementing the model also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m:t>f</m:t>
        </m:r>
      </m:oMath>
      <w:r>
        <w:t xml:space="preserve">). The distribution of secondary cases (</w:t>
      </w:r>
      <m:oMath>
        <m:r>
          <m:t>N</m:t>
        </m:r>
      </m:oMath>
      <w:r>
        <w:t xml:space="preserve">) was then modelled by first estimating the number of secondary cases that occurred in the current year and then estimating how many secondary cases occurred 5 years later (due to the 5 year timestep). This iterative process can be summarised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r>
            <m:t>(</m:t>
          </m:r>
          <m:r>
            <m:t>1</m:t>
          </m:r>
          <m:r>
            <m:t>−</m:t>
          </m:r>
          <m:r>
            <m:t>d</m:t>
          </m:r>
          <m:sSup>
            <m:e>
              <m:r>
                <m:t>)</m:t>
              </m:r>
            </m:e>
            <m:sup>
              <m:r>
                <m:t>L</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w:t>
      </w:r>
      <w:r>
        <w:t xml:space="preserve"> </w:t>
      </w:r>
      <m:oMath>
        <m:r>
          <m:t>i</m:t>
        </m:r>
      </m:oMath>
      <w:r>
        <w:t xml:space="preserve"> </w:t>
      </w:r>
      <w:r>
        <w:t xml:space="preserve">is the year of interest,</w:t>
      </w:r>
      <w:r>
        <w:t xml:space="preserve"> </w:t>
      </w:r>
      <m:oMath>
        <m:sSup>
          <m:e>
            <m:r>
              <m:t>N</m:t>
            </m:r>
          </m:e>
          <m:sup>
            <m:r>
              <m:t>C</m:t>
            </m:r>
            <m:r>
              <m:t>u</m:t>
            </m:r>
            <m:r>
              <m:t>r</m:t>
            </m:r>
            <m:r>
              <m:t>r</m:t>
            </m:r>
            <m:r>
              <m:t>e</m:t>
            </m:r>
            <m:r>
              <m:t>n</m:t>
            </m:r>
            <m:r>
              <m:t>t</m:t>
            </m:r>
          </m:sup>
        </m:sSup>
      </m:oMath>
      <w:r>
        <w:t xml:space="preserve"> </w:t>
      </w:r>
      <w:r>
        <w:t xml:space="preserve">is the number of secondary cases in the current year,</w:t>
      </w:r>
      <w:r>
        <w:t xml:space="preserve"> </w:t>
      </w:r>
      <m:oMath>
        <m:sSup>
          <m:e>
            <m:r>
              <m:t>N</m:t>
            </m:r>
          </m:e>
          <m:sup>
            <m:r>
              <m:t>P</m:t>
            </m:r>
            <m:r>
              <m:t>r</m:t>
            </m:r>
            <m:r>
              <m:t>o</m:t>
            </m:r>
            <m:r>
              <m:t>j</m:t>
            </m:r>
            <m:r>
              <m:t>e</m:t>
            </m:r>
            <m:r>
              <m:t>c</m:t>
            </m:r>
            <m:r>
              <m:t>t</m:t>
            </m:r>
            <m:r>
              <m:t>e</m:t>
            </m:r>
            <m:r>
              <m:t>d</m:t>
            </m:r>
          </m:sup>
        </m:sSup>
      </m:oMath>
      <w:r>
        <w:t xml:space="preserve"> </w:t>
      </w:r>
      <w:r>
        <w:t xml:space="preserve">is the number of secondary cases in the subsequent timestep, and</w:t>
      </w:r>
      <w:r>
        <w:t xml:space="preserve"> </w:t>
      </w:r>
      <m:oMath>
        <m:r>
          <m:t>L</m:t>
        </m:r>
      </m:oMath>
      <w:r>
        <w:t xml:space="preserve"> </w:t>
      </w:r>
      <w:r>
        <w:t xml:space="preserve">is the model timestep (set to be 5 years).</w:t>
      </w:r>
    </w:p>
    <w:p>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normalised by the original estimate, as the performance metric.</w:t>
      </w:r>
    </w:p>
    <w:p>
      <w:pPr>
        <w:pStyle w:val="Heading2"/>
      </w:pPr>
      <w:bookmarkStart w:id="32" w:name="updating-model-parameter-estimates-and-incorporating-parameter-uncertainty"/>
      <w:bookmarkEnd w:id="32"/>
      <w:r>
        <w:t xml:space="preserve">Updating model parameter estimates and incorporating parameter uncertainty</w:t>
      </w:r>
    </w:p>
    <w:p>
      <w:pPr>
        <w:pStyle w:val="FirstParagraph"/>
      </w:pPr>
      <w:r>
        <w:t xml:space="preserve">Incidence rates were included as point estimates in</w:t>
      </w:r>
      <w:r>
        <w:t xml:space="preserve"> </w:t>
      </w:r>
      <w:r>
        <w:t xml:space="preserve">[11]</w:t>
      </w:r>
      <w:r>
        <w:t xml:space="preserve">; in the updated model we included uncertainty in these rates. We did this by first estimating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to replace the point estimates used in the original analysis. Sutherland et al. assumed a serial interval of 2 years between linked notifications. Using a newly available literature source we updated this assumption with an estimate of 1.44 (95% CI 1.29 to 1.63) years.</w:t>
      </w:r>
      <w:r>
        <w:t xml:space="preserve">[16]</w:t>
      </w:r>
    </w:p>
    <w:p>
      <w:pPr>
        <w:pStyle w:val="BodyText"/>
      </w:pPr>
      <w:r>
        <w:t xml:space="preserve">We considered the original assumption of a 9% annual decrease in incidence rates as well as three scenarios based on those considered by the JCVI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as data were not available.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[17]</w:t>
      </w:r>
      <w:r>
        <w:t xml:space="preserve"> </w:t>
      </w:r>
      <w:r>
        <w:t xml:space="preserve">The second proxy used was the annual decrease in the UK born age-specific incidence rates in the English population. These were calculated using notification data from the Enhanced TB surveillance system (ETS) and the June Labour Force Survey.</w:t>
      </w:r>
      <w:r>
        <w:t xml:space="preserve">[10]</w:t>
      </w:r>
      <w:r>
        <w:t xml:space="preserve"> </w:t>
      </w:r>
      <w:r>
        <w:t xml:space="preserve">Incidence rates (with SDs) were estimated using the epiR package.</w:t>
      </w:r>
      <w:r>
        <w:t xml:space="preserve">[18]</w:t>
      </w:r>
      <w:r>
        <w:t xml:space="preserve"> </w:t>
      </w:r>
      <w:r>
        <w:t xml:space="preserve">Uncertainty was incorporated by sampling from a normal distribution for both proxy measures. 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t xml:space="preserve">[19]</w:t>
      </w:r>
      <w:r>
        <w:t xml:space="preserve"> </w:t>
      </w:r>
      <w: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33" w:name="statistical-analysis"/>
      <w:bookmarkEnd w:id="33"/>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4" w:name="patient-and-public-involvement"/>
      <w:bookmarkEnd w:id="34"/>
      <w:r>
        <w:t xml:space="preserve">Patient and public involvement</w:t>
      </w:r>
    </w:p>
    <w:p>
      <w:pPr>
        <w:pStyle w:val="FirstParagraph"/>
      </w:pPr>
      <w:r>
        <w:t xml:space="preserve">We did not involve patients or the public in the design or planning of this study.</w:t>
      </w:r>
    </w:p>
    <w:p>
      <w:pPr>
        <w:pStyle w:val="Heading1"/>
      </w:pPr>
      <w:bookmarkStart w:id="35" w:name="results"/>
      <w:bookmarkEnd w:id="35"/>
      <w:r>
        <w:t xml:space="preserve">Results</w:t>
      </w:r>
    </w:p>
    <w:p>
      <w:pPr>
        <w:pStyle w:val="Heading2"/>
      </w:pPr>
      <w:bookmarkStart w:id="36" w:name="model-validation"/>
      <w:bookmarkEnd w:id="36"/>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the original transmission model was used.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7" w:name="annual-change-in-tb-incidence-rates"/>
      <w:bookmarkEnd w:id="37"/>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3.08% (2.5, 97.5% Quantiles (Q): -8.32%, 11.44%), with a maximum of 15.13% (2.5, 97.5% Q: 14.23%, 16.06%) in 1987 and a minimum of -10.17% (2.5, 97.5% Q: -10.83%, -9.52%) in 2005. Using age-specific incidence rates we estimated the median annual decrease in incidence rates for 15-19 year olds was 1.65% (2.5, 97.5% Q: -40.35%, 39.93%), 3.17% (2.5, 97.5% Q: -34.03%, 38.34%) for 20-24 year olds, and 2.72% (2.5, 97.5% Q: -36.29%, 37.25%)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9" w:name="vaccines-required-to-prevent-a-single-notification"/>
      <w:bookmarkEnd w:id="39"/>
      <w:r>
        <w:t xml:space="preserve">Vaccines required to prevent a single notification</w:t>
      </w:r>
    </w:p>
    <w:p>
      <w:pPr>
        <w:pStyle w:val="FirstParagraph"/>
      </w:pPr>
      <w:r>
        <w:t xml:space="preserve">We found that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0.078) and age-specific incidence rates (1600 (2.5, 97.5% Q: 440, 5000), P: 0.083). The estimate using incidence rates had a high degree of uncertainty (figure 2). The number of vaccines required increased slightly over time with 1800 (2.5, 97.5% Q: 1400,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40"/>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41" w:name="average-annual-additional-cases-from-ending-the-bcg-schools-scheme-at-various-dates"/>
      <w:bookmarkEnd w:id="41"/>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However, when these changes were combined with the corrected TB transmission model we found that the impact of ending BCG vaccination was much greater than previously reported. There was a large degree of uncertainty in these estimates with 111 (2.5, 97.5% Q: 85, 141) notifications prevented annually if vaccination was stopped in 2001. As the assumed annual decrease in incidence rates was reduced the annual number of additional notifications prevented increased with 7573 (2.5, 97.5% Q: 5808, 9582) notifications prevented annually when the annual decrease was assumed to be 1.9% and vaccination stopping in 2001. There was some evidence that the average annual number of notifications prevented was greater when the annual decrease was estimated using notifications (1039 (2.5, 97.5% Q: 636, 1475), P: 0.083) and age-specific incidence rates (839 (2.5, 97.5% Q: -27172, 30362), P: 0.560), compared to an assumed annual decrease of 1.9% (figure 2). The estimate made using incidence rates again had a high degree of uncertainty. When an annual decrease of 1.9% was assumed the number of notifications prevented annually reduced with time: 6304 (2.5, 97.5% Q: 4826, 7997) from ending vaccination in 2006; 4642 (2.5, 97.5% Q: 3511, 5945) from ending vaccination in 2011, and 2707 (2.5, 97.5% Q: 1927, 3610)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4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43" w:name="discussion"/>
      <w:bookmarkEnd w:id="43"/>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was included. The approach used to estimate additional notifications due to transmission was found to be incorrect. Once corrected, the transmission model produced much higher estimates of the number of additional notifications caused by ending BCG vaccination than previously reported. Further updating the model with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We found methodological flaws with this evidence which resulted in greatly reduced estimates of the impact of ending BCG vaccination when compared to our corrected model. Our results also provide new insights into the uncertainty of the previously published model predictions by including parameter uncertainty and measurement error and updates these predictions using newly available data. As historical data on incidence rates in the ethnic White UK born in England and Wales were not available we considered two approaches to proxy them, and investigated multiple scenarios based on those explored by the JVCI BCG subgroup. The simulation approach used here, although updated where possible,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incorporated and for flaws in the model to be identified. This would not have been possible if the impact had been assessed using only the observed data or with a alternative model. It also allowed estimates based on updated data to be compared to historic estimates within the same framework. This would also not have been possible if a different framework had been used. As mentioned, a weakness of the model used in this study is that it did not include the whole population or age groups outside those directly affected by vaccination. Heterogeneous mixing between these groups is also likely to be an important consideration.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than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may also be less likely to result in the same reductions in ongoing transmission.</w:t>
      </w:r>
    </w:p>
    <w:p>
      <w:pPr>
        <w:pStyle w:val="BodyText"/>
      </w:pPr>
      <w:r>
        <w:t xml:space="preserve">This study indicates that some of the evidence used to justify the 2005 change in BCG vaccination policy may have depended on a methodologically flawed model, resulting in the impact of ending BCG vaccination being underestimated. The methodological flaw we found in this model should be taken as a warning by policy makers. Modelling evidence can often be complex and difficult to reproduce, it is important that policy makers, or those who work with them, have the skills to assess the it’s quality. This study also highlights the importance of including both parameter and measurement error, as excluding these sources of variation may lead to spuriously precise results. Spurious precision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epidemiological impact of vaccination only.</w:t>
      </w:r>
    </w:p>
    <w:p>
      <w:pPr>
        <w:pStyle w:val="BodyText"/>
      </w:pPr>
      <w:r>
        <w:t xml:space="preserve">This study has reassessed some of the evidence previously used in decision making, correcting the transmission model used, and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w:t>
      </w:r>
      <w:r>
        <w:t xml:space="preserve">[28]</w:t>
      </w:r>
      <w:r>
        <w:t xml:space="preserve"> </w:t>
      </w:r>
      <w:r>
        <w:t xml:space="preserve">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 As we have outlined above any such model would need to be developed with reproducibility in mind in order to allow future inspection by other modellers and decision makers.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4">
        <w:r>
          <w:rPr>
            <w:rStyle w:val="Hyperlink"/>
          </w:rPr>
          <w:t xml:space="preserve">https://doi.org/10.5281/zenodo.2635687</w:t>
        </w:r>
      </w:hyperlink>
    </w:p>
    <w:p>
      <w:pPr>
        <w:pStyle w:val="Heading1"/>
      </w:pPr>
      <w:bookmarkStart w:id="45" w:name="references"/>
      <w:bookmarkEnd w:id="45"/>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17 R Core Team. R: A Language and Environment for Statistical Computing. Vienna, Austria: 2016.</w:t>
      </w:r>
      <w:r>
        <w:t xml:space="preserve"> </w:t>
      </w:r>
    </w:p>
    <w:p>
      <w:pPr>
        <w:pStyle w:val="BodyText"/>
      </w:pPr>
      <w:r>
        <w:t xml:space="preserve">18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19 Fox J, Weisberg S.</w:t>
      </w:r>
      <w:r>
        <w:t xml:space="preserve"> </w:t>
      </w:r>
      <w:r>
        <w:rPr>
          <w:i/>
        </w:rPr>
        <w:t xml:space="preserve">An R companion to applied regression</w:t>
      </w:r>
      <w:r>
        <w:t xml:space="preserve">. Third. Thousand Oaks CA:: Sage 2019.</w:t>
      </w:r>
      <w:r>
        <w:t xml:space="preserve"> </w:t>
      </w:r>
      <w:hyperlink r:id="rId46">
        <w:r>
          <w:rPr>
            <w:rStyle w:val="Hyperlink"/>
          </w:rPr>
          <w:t xml:space="preserve">https://socialsciences.mcmaster.ca/jfox/Books/Companion/</w:t>
        </w:r>
      </w:hyperlink>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BodyText"/>
      </w:pPr>
      <w:r>
        <w:t xml:space="preserve">28 Abbott S, Christensen H, Welton N</w:t>
      </w:r>
      <w:r>
        <w:t xml:space="preserve"> </w:t>
      </w:r>
      <w:r>
        <w:rPr>
          <w:i/>
        </w:rPr>
        <w:t xml:space="preserve">et al.</w:t>
      </w:r>
      <w:r>
        <w:t xml:space="preserve"> </w:t>
      </w:r>
      <w:r>
        <w:t xml:space="preserve">Estimating the effect of the 2005 change in bcg policy in england: A retrospective cohort study.</w:t>
      </w:r>
      <w:r>
        <w:t xml:space="preserve"> </w:t>
      </w:r>
      <w:r>
        <w:rPr>
          <w:i/>
        </w:rPr>
        <w:t xml:space="preserve">bioRxiv</w:t>
      </w:r>
      <w:r>
        <w:t xml:space="preserve"> </w:t>
      </w:r>
      <w:r>
        <w:t xml:space="preserve">Published Online First: 2019. doi:</w:t>
      </w:r>
      <w:hyperlink r:id="rId47">
        <w:r>
          <w:rPr>
            <w:rStyle w:val="Hyperlink"/>
          </w:rPr>
          <w:t xml:space="preserve">10.1101/567511</w:t>
        </w:r>
      </w:hyperlink>
    </w:p>
    <w:p>
      <w:pPr>
        <w:pStyle w:val="Heading1"/>
      </w:pPr>
      <w:bookmarkStart w:id="48" w:name="abstract"/>
      <w:bookmarkEnd w:id="48"/>
      <w:r>
        <w:t xml:space="preserve">Abstract</w:t>
      </w:r>
    </w:p>
    <w:p>
      <w:pPr>
        <w:pStyle w:val="Heading2"/>
      </w:pPr>
      <w:bookmarkStart w:id="49" w:name="objectives"/>
      <w:bookmarkEnd w:id="49"/>
      <w:r>
        <w:t xml:space="preserve">Objectives</w:t>
      </w:r>
    </w:p>
    <w:p>
      <w:pPr>
        <w:pStyle w:val="FirstParagraph"/>
      </w:pPr>
      <w:r>
        <w:t xml:space="preserve">In 2005, England and Wales switched from universal BCG vaccination against tuberculosis (TB) disease for school-age children to targeted vaccination of neonates. We aimed to recreate and re-evaluate a previously published model, the results of which informed this policy change.</w:t>
      </w:r>
    </w:p>
    <w:p>
      <w:pPr>
        <w:pStyle w:val="Heading2"/>
      </w:pPr>
      <w:bookmarkStart w:id="50" w:name="design"/>
      <w:bookmarkEnd w:id="50"/>
      <w:r>
        <w:t xml:space="preserve">Design</w:t>
      </w:r>
    </w:p>
    <w:p>
      <w:pPr>
        <w:pStyle w:val="FirstParagraph"/>
      </w:pPr>
      <w:r>
        <w:t xml:space="preserve">We recreated an approach for estimating the impact of ending the BCG schools scheme, correcting a methodological flaw in the model, updating the model with parameter uncertainty, and improving parameter estimates where possible. We investigated scenarios for the assumed annual decrease in TB incidence rates considered by the UK’s Joint Committee on Vaccination and Immunisation and explored alternative scenarios using notification data.</w:t>
      </w:r>
    </w:p>
    <w:p>
      <w:pPr>
        <w:pStyle w:val="Heading2"/>
      </w:pPr>
      <w:bookmarkStart w:id="51" w:name="setting"/>
      <w:bookmarkEnd w:id="51"/>
      <w:r>
        <w:t xml:space="preserve">Setting</w:t>
      </w:r>
    </w:p>
    <w:p>
      <w:pPr>
        <w:pStyle w:val="FirstParagraph"/>
      </w:pPr>
      <w:r>
        <w:t xml:space="preserve">England and Wales.</w:t>
      </w:r>
    </w:p>
    <w:p>
      <w:pPr>
        <w:pStyle w:val="Heading2"/>
      </w:pPr>
      <w:bookmarkStart w:id="52" w:name="outcome-measures"/>
      <w:bookmarkEnd w:id="52"/>
      <w:r>
        <w:t xml:space="preserve">Outcome measures</w:t>
      </w:r>
    </w:p>
    <w:p>
      <w:pPr>
        <w:pStyle w:val="FirstParagraph"/>
      </w:pPr>
      <w:r>
        <w:t xml:space="preserve">The number of vaccines needed to prevent a single notification, and the average annual additional notifications caused by ending the policy change.</w:t>
      </w:r>
    </w:p>
    <w:p>
      <w:pPr>
        <w:pStyle w:val="Heading2"/>
      </w:pPr>
      <w:bookmarkStart w:id="53" w:name="results-1"/>
      <w:bookmarkEnd w:id="53"/>
      <w:r>
        <w:t xml:space="preserve">Results</w:t>
      </w:r>
    </w:p>
    <w:p>
      <w:pPr>
        <w:pStyle w:val="FirstParagraph"/>
      </w:pPr>
      <w:r>
        <w:t xml:space="preserve">The original model greatly underetimated the impact of ending school-age vaccination compared to our updated, corrected, model. The model produced predictions with wide confidence intervals when parameter uncertainty was included. Updating the assumed annual decrease in TB incidence rates resulted in estimates that were comparable with notification data with an annual decrease of 1.9% representing the closest estimate to the data. Using this assumption, we estimate that 1600 (2.5,97.5% Quantiles (Q): 1300, 2100) vaccines would have been required to prevent a single notification in 2004.</w:t>
      </w:r>
    </w:p>
    <w:p>
      <w:pPr>
        <w:pStyle w:val="Heading2"/>
      </w:pPr>
      <w:bookmarkStart w:id="54" w:name="conclusions"/>
      <w:bookmarkEnd w:id="54"/>
      <w:r>
        <w:t xml:space="preserve">Conclusions</w:t>
      </w:r>
    </w:p>
    <w:p>
      <w:pPr>
        <w:pStyle w:val="FirstParagraph"/>
      </w:pPr>
      <w:r>
        <w:t xml:space="preserve">The previously published model was found to contain a methodological flaw which, once corrected, resulted in a large increase in the estimated impact of ending the BCG schools scheme. The original approach was also found to be spuriously precise once updated with parameter uncertainty.</w:t>
      </w:r>
    </w:p>
    <w:p>
      <w:pPr>
        <w:pStyle w:val="BodyText"/>
      </w:pPr>
      <w:r>
        <w:t xml:space="preserve">Our estimates of the impact of ending school-age vaccination were highly sensitive to the annual decrease in incidence rates. The impact of ending the BCG schools’ scheme was found to be greater than previously thought when notification data were used. Our results highlight the importance of independent evaluations of modelling evidence, including uncertainty, and evaluating multiple scenarios when forecasting the impact of changes in vaccination policy.</w:t>
      </w:r>
    </w:p>
    <w:p>
      <w:pPr>
        <w:pStyle w:val="Heading1"/>
      </w:pPr>
      <w:bookmarkStart w:id="55" w:name="supplementary-information-reassessing-the-evidence-for-universal-school-age-bacillus-calmette-guerin-bcg-vaccination-in-england-and-wales"/>
      <w:bookmarkEnd w:id="55"/>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6" w:name="model-validation-1"/>
      <w:bookmarkEnd w:id="56"/>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7" w:name="results-2"/>
      <w:bookmarkEnd w:id="57"/>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c>
          <w:p>
            <w:pPr>
              <w:pStyle w:val="Compact"/>
              <w:jc w:val="left"/>
            </w:pPr>
            <w:r>
              <w:t xml:space="preserve">460 (390, 540)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(720, 1100)</w:t>
            </w:r>
          </w:p>
        </w:tc>
        <w:tc>
          <w:p>
            <w:pPr>
              <w:pStyle w:val="Compact"/>
              <w:jc w:val="left"/>
            </w:pPr>
            <w:r>
              <w:t xml:space="preserve">860 (700,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(630, 1200)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(900, 1400)</w:t>
            </w:r>
          </w:p>
        </w:tc>
        <w:tc>
          <w:p>
            <w:pPr>
              <w:pStyle w:val="Compact"/>
              <w:jc w:val="left"/>
            </w:pPr>
            <w:r>
              <w:t xml:space="preserve">1000 (810, 1300)</w:t>
            </w:r>
          </w:p>
        </w:tc>
        <w:tc>
          <w:p>
            <w:pPr>
              <w:pStyle w:val="Compact"/>
              <w:jc w:val="left"/>
            </w:pPr>
            <w:r>
              <w:t xml:space="preserve">910 (730, 1200)</w:t>
            </w:r>
          </w:p>
        </w:tc>
        <w:tc>
          <w:p>
            <w:pPr>
              <w:pStyle w:val="Compact"/>
              <w:jc w:val="left"/>
            </w:pPr>
            <w:r>
              <w:t xml:space="preserve">1000 (850, 1300)</w:t>
            </w:r>
          </w:p>
        </w:tc>
        <w:tc>
          <w:p>
            <w:pPr>
              <w:pStyle w:val="Compact"/>
              <w:jc w:val="left"/>
            </w:pPr>
            <w:r>
              <w:t xml:space="preserve">1100 (670,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(730,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1600 (1300, 2100)</w:t>
            </w:r>
          </w:p>
        </w:tc>
        <w:tc>
          <w:p>
            <w:pPr>
              <w:pStyle w:val="Compact"/>
              <w:jc w:val="left"/>
            </w:pPr>
            <w:r>
              <w:t xml:space="preserve">1200 (990, 1500)</w:t>
            </w:r>
          </w:p>
        </w:tc>
        <w:tc>
          <w:p>
            <w:pPr>
              <w:pStyle w:val="Compact"/>
              <w:jc w:val="left"/>
            </w:pPr>
            <w:r>
              <w:t xml:space="preserve">910 (730, 1200)</w:t>
            </w:r>
          </w:p>
        </w:tc>
        <w:tc>
          <w:p>
            <w:pPr>
              <w:pStyle w:val="Compact"/>
              <w:jc w:val="left"/>
            </w:pPr>
            <w:r>
              <w:t xml:space="preserve">1800 (1400, 2300)</w:t>
            </w:r>
          </w:p>
        </w:tc>
        <w:tc>
          <w:p>
            <w:pPr>
              <w:pStyle w:val="Compact"/>
              <w:jc w:val="left"/>
            </w:pPr>
            <w:r>
              <w:t xml:space="preserve">1700 (750, 3900)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(730, 1200)</w:t>
            </w:r>
          </w:p>
        </w:tc>
        <w:tc>
          <w:p>
            <w:pPr>
              <w:pStyle w:val="Compact"/>
              <w:jc w:val="left"/>
            </w:pPr>
            <w:r>
              <w:t xml:space="preserve">1700 (1400, 2200)</w:t>
            </w:r>
          </w:p>
        </w:tc>
        <w:tc>
          <w:p>
            <w:pPr>
              <w:pStyle w:val="Compact"/>
              <w:jc w:val="left"/>
            </w:pPr>
            <w:r>
              <w:t xml:space="preserve">1600 (630, 4300)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(7500,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(730,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(2400, 3800)</w:t>
            </w:r>
          </w:p>
        </w:tc>
        <w:tc>
          <w:p>
            <w:pPr>
              <w:pStyle w:val="Compact"/>
              <w:jc w:val="left"/>
            </w:pPr>
            <w:r>
              <w:t xml:space="preserve">1600 (1300, 2100)</w:t>
            </w:r>
          </w:p>
        </w:tc>
        <w:tc>
          <w:p>
            <w:pPr>
              <w:pStyle w:val="Compact"/>
              <w:jc w:val="left"/>
            </w:pPr>
            <w:r>
              <w:t xml:space="preserve">910 (730, 1200)</w:t>
            </w:r>
          </w:p>
        </w:tc>
        <w:tc>
          <w:p>
            <w:pPr>
              <w:pStyle w:val="Compact"/>
              <w:jc w:val="left"/>
            </w:pPr>
            <w:r>
              <w:t xml:space="preserve">1400 (1100, 1700)</w:t>
            </w:r>
          </w:p>
        </w:tc>
        <w:tc>
          <w:p>
            <w:pPr>
              <w:pStyle w:val="Compact"/>
              <w:jc w:val="left"/>
            </w:pPr>
            <w:r>
              <w:t xml:space="preserve">1600 (440,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(1400, 2300)</w:t>
            </w:r>
          </w:p>
        </w:tc>
        <w:tc>
          <w:p>
            <w:pPr>
              <w:pStyle w:val="Compact"/>
              <w:jc w:val="left"/>
            </w:pPr>
            <w:r>
              <w:t xml:space="preserve">910 (730, 1200)</w:t>
            </w:r>
          </w:p>
        </w:tc>
        <w:tc>
          <w:p>
            <w:pPr>
              <w:pStyle w:val="Compact"/>
              <w:jc w:val="left"/>
            </w:pPr>
            <w:r>
              <w:t xml:space="preserve">1200 (950, 1500)</w:t>
            </w:r>
          </w:p>
        </w:tc>
        <w:tc>
          <w:p>
            <w:pPr>
              <w:pStyle w:val="Compact"/>
              <w:jc w:val="left"/>
            </w:pPr>
            <w:r>
              <w:t xml:space="preserve">1300 (340, 4400)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(730, 1200)</w:t>
            </w:r>
          </w:p>
        </w:tc>
        <w:tc>
          <w:p>
            <w:pPr>
              <w:pStyle w:val="Compact"/>
              <w:jc w:val="left"/>
            </w:pPr>
            <w:r>
              <w:t xml:space="preserve">1500 (1200, 1900)</w:t>
            </w:r>
          </w:p>
        </w:tc>
        <w:tc>
          <w:p>
            <w:pPr>
              <w:pStyle w:val="Compact"/>
              <w:jc w:val="left"/>
            </w:pPr>
            <w:r>
              <w:t xml:space="preserve">1600 (380, 6100)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(4400, 6900)</w:t>
            </w:r>
          </w:p>
        </w:tc>
        <w:tc>
          <w:p>
            <w:pPr>
              <w:pStyle w:val="Compact"/>
              <w:jc w:val="left"/>
            </w:pPr>
            <w:r>
              <w:t xml:space="preserve">2200 (1800, 2700)</w:t>
            </w:r>
          </w:p>
        </w:tc>
        <w:tc>
          <w:p>
            <w:pPr>
              <w:pStyle w:val="Compact"/>
              <w:jc w:val="left"/>
            </w:pPr>
            <w:r>
              <w:t xml:space="preserve">910 (730, 1200)</w:t>
            </w:r>
          </w:p>
        </w:tc>
        <w:tc>
          <w:p>
            <w:pPr>
              <w:pStyle w:val="Compact"/>
              <w:jc w:val="left"/>
            </w:pPr>
            <w:r>
              <w:t xml:space="preserve">2200 (1700, 2700)</w:t>
            </w:r>
          </w:p>
        </w:tc>
        <w:tc>
          <w:p>
            <w:pPr>
              <w:pStyle w:val="Compact"/>
              <w:jc w:val="left"/>
            </w:pPr>
            <w:r>
              <w:t xml:space="preserve">2400 (470, 11000)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(79975, 120000)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(730, 1200)</w:t>
            </w:r>
          </w:p>
        </w:tc>
        <w:tc>
          <w:p>
            <w:pPr>
              <w:pStyle w:val="Compact"/>
              <w:jc w:val="left"/>
            </w:pPr>
            <w:r>
              <w:t xml:space="preserve">3200 (2600, 4100)</w:t>
            </w:r>
          </w:p>
        </w:tc>
        <w:tc>
          <w:p>
            <w:pPr>
              <w:pStyle w:val="Compact"/>
              <w:jc w:val="left"/>
            </w:pPr>
            <w:r>
              <w:t xml:space="preserve">3400 (540, 19000)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1159 (911, 1441)</w:t>
            </w:r>
          </w:p>
        </w:tc>
        <w:tc>
          <w:p>
            <w:pPr>
              <w:pStyle w:val="Compact"/>
              <w:jc w:val="left"/>
            </w:pPr>
            <w:r>
              <w:t xml:space="preserve">5036 (3915, 6310)</w:t>
            </w:r>
          </w:p>
        </w:tc>
        <w:tc>
          <w:p>
            <w:pPr>
              <w:pStyle w:val="Compact"/>
              <w:jc w:val="left"/>
            </w:pPr>
            <w:r>
              <w:t xml:space="preserve">14487 (11202, 18247)</w:t>
            </w:r>
          </w:p>
        </w:tc>
        <w:tc>
          <w:p>
            <w:pPr>
              <w:pStyle w:val="Compact"/>
              <w:jc w:val="left"/>
            </w:pPr>
            <w:r>
              <w:t xml:space="preserve">-864 (-2334, 1220)</w:t>
            </w:r>
          </w:p>
        </w:tc>
        <w:tc>
          <w:p>
            <w:pPr>
              <w:pStyle w:val="Compact"/>
              <w:jc w:val="left"/>
            </w:pPr>
            <w:r>
              <w:t xml:space="preserve">652 (-36838, 40544)</w:t>
            </w:r>
          </w:p>
        </w:tc>
      </w:tr>
      <w:tr>
        <w:tc>
          <w:p>
            <w:pPr>
              <w:pStyle w:val="Compact"/>
              <w:jc w:val="left"/>
            </w:pPr>
            <w:r>
              <w:t xml:space="preserve">1976</w:t>
            </w:r>
          </w:p>
        </w:tc>
        <w:tc>
          <w:p>
            <w:pPr>
              <w:pStyle w:val="Compact"/>
              <w:jc w:val="left"/>
            </w:pPr>
            <w:r>
              <w:t xml:space="preserve">158</w:t>
            </w:r>
          </w:p>
        </w:tc>
        <w:tc>
          <w:p>
            <w:pPr>
              <w:pStyle w:val="Compact"/>
              <w:jc w:val="left"/>
            </w:pPr>
            <w:r>
              <w:t xml:space="preserve">873 (670, 1104)</w:t>
            </w:r>
          </w:p>
        </w:tc>
        <w:tc>
          <w:p>
            <w:pPr>
              <w:pStyle w:val="Compact"/>
              <w:jc w:val="left"/>
            </w:pPr>
            <w:r>
              <w:t xml:space="preserve">4438 (3416, 5592)</w:t>
            </w:r>
          </w:p>
        </w:tc>
        <w:tc>
          <w:p>
            <w:pPr>
              <w:pStyle w:val="Compact"/>
              <w:jc w:val="left"/>
            </w:pPr>
            <w:r>
              <w:t xml:space="preserve">13525 (10382, 17095)</w:t>
            </w:r>
          </w:p>
        </w:tc>
        <w:tc>
          <w:p>
            <w:pPr>
              <w:pStyle w:val="Compact"/>
              <w:jc w:val="left"/>
            </w:pPr>
            <w:r>
              <w:t xml:space="preserve">-24 (-1345, 2252)</w:t>
            </w:r>
          </w:p>
        </w:tc>
        <w:tc>
          <w:p>
            <w:pPr>
              <w:pStyle w:val="Compact"/>
              <w:jc w:val="left"/>
            </w:pPr>
            <w:r>
              <w:t xml:space="preserve">540 (-35554, 38649)</w:t>
            </w:r>
          </w:p>
        </w:tc>
      </w:tr>
      <w:tr>
        <w:tc>
          <w:p>
            <w:pPr>
              <w:pStyle w:val="Compact"/>
              <w:jc w:val="left"/>
            </w:pPr>
            <w:r>
              <w:t xml:space="preserve">1981</w:t>
            </w:r>
          </w:p>
        </w:tc>
        <w:tc>
          <w:p>
            <w:pPr>
              <w:pStyle w:val="Compact"/>
              <w:jc w:val="left"/>
            </w:pPr>
            <w:r>
              <w:t xml:space="preserve">97</w:t>
            </w:r>
          </w:p>
        </w:tc>
        <w:tc>
          <w:p>
            <w:pPr>
              <w:pStyle w:val="Compact"/>
              <w:jc w:val="left"/>
            </w:pPr>
            <w:r>
              <w:t xml:space="preserve">538 (413, 680)</w:t>
            </w:r>
          </w:p>
        </w:tc>
        <w:tc>
          <w:p>
            <w:pPr>
              <w:pStyle w:val="Compact"/>
              <w:jc w:val="left"/>
            </w:pPr>
            <w:r>
              <w:t xml:space="preserve">3571 (2748, 4499)</w:t>
            </w:r>
          </w:p>
        </w:tc>
        <w:tc>
          <w:p>
            <w:pPr>
              <w:pStyle w:val="Compact"/>
              <w:jc w:val="left"/>
            </w:pPr>
            <w:r>
              <w:t xml:space="preserve">11849 (9101, 14974)</w:t>
            </w:r>
          </w:p>
        </w:tc>
        <w:tc>
          <w:p>
            <w:pPr>
              <w:pStyle w:val="Compact"/>
              <w:jc w:val="left"/>
            </w:pPr>
            <w:r>
              <w:t xml:space="preserve">2062 (792, 4653)</w:t>
            </w:r>
          </w:p>
        </w:tc>
        <w:tc>
          <w:p>
            <w:pPr>
              <w:pStyle w:val="Compact"/>
              <w:jc w:val="left"/>
            </w:pPr>
            <w:r>
              <w:t xml:space="preserve">459 (-32020, 37632)</w:t>
            </w:r>
          </w:p>
        </w:tc>
      </w:tr>
      <w:tr>
        <w:tc>
          <w:p>
            <w:pPr>
              <w:pStyle w:val="Compact"/>
              <w:jc w:val="left"/>
            </w:pPr>
            <w:r>
              <w:t xml:space="preserve">1986</w:t>
            </w:r>
          </w:p>
        </w:tc>
        <w:tc>
          <w:p>
            <w:pPr>
              <w:pStyle w:val="Compact"/>
              <w:jc w:val="left"/>
            </w:pPr>
            <w:r>
              <w:t xml:space="preserve">61</w:t>
            </w:r>
          </w:p>
        </w:tc>
        <w:tc>
          <w:p>
            <w:pPr>
              <w:pStyle w:val="Compact"/>
              <w:jc w:val="left"/>
            </w:pPr>
            <w:r>
              <w:t xml:space="preserve">338 (260, 428)</w:t>
            </w:r>
          </w:p>
        </w:tc>
        <w:tc>
          <w:p>
            <w:pPr>
              <w:pStyle w:val="Compact"/>
              <w:jc w:val="left"/>
            </w:pPr>
            <w:r>
              <w:t xml:space="preserve">2912 (2239, 3668)</w:t>
            </w:r>
          </w:p>
        </w:tc>
        <w:tc>
          <w:p>
            <w:pPr>
              <w:pStyle w:val="Compact"/>
              <w:jc w:val="left"/>
            </w:pPr>
            <w:r>
              <w:t xml:space="preserve">10470 (8053, 13225)</w:t>
            </w:r>
          </w:p>
        </w:tc>
        <w:tc>
          <w:p>
            <w:pPr>
              <w:pStyle w:val="Compact"/>
              <w:jc w:val="left"/>
            </w:pPr>
            <w:r>
              <w:t xml:space="preserve">4102 (2543, 7174)</w:t>
            </w:r>
          </w:p>
        </w:tc>
        <w:tc>
          <w:p>
            <w:pPr>
              <w:pStyle w:val="Compact"/>
              <w:jc w:val="left"/>
            </w:pPr>
            <w:r>
              <w:t xml:space="preserve">536 (-29227, 34116)</w:t>
            </w:r>
          </w:p>
        </w:tc>
      </w:tr>
      <w:tr>
        <w:tc>
          <w:p>
            <w:pPr>
              <w:pStyle w:val="Compact"/>
              <w:jc w:val="left"/>
            </w:pPr>
            <w:r>
              <w:t xml:space="preserve">1991</w:t>
            </w:r>
          </w:p>
        </w:tc>
        <w:tc>
          <w:p>
            <w:pPr>
              <w:pStyle w:val="Compact"/>
              <w:jc w:val="left"/>
            </w:pPr>
            <w:r>
              <w:t xml:space="preserve">43</w:t>
            </w:r>
          </w:p>
        </w:tc>
        <w:tc>
          <w:p>
            <w:pPr>
              <w:pStyle w:val="Compact"/>
              <w:jc w:val="left"/>
            </w:pPr>
            <w:r>
              <w:t xml:space="preserve">237 (182, 300)</w:t>
            </w:r>
          </w:p>
        </w:tc>
        <w:tc>
          <w:p>
            <w:pPr>
              <w:pStyle w:val="Compact"/>
              <w:jc w:val="left"/>
            </w:pPr>
            <w:r>
              <w:t xml:space="preserve">2515 (1933, 3170)</w:t>
            </w:r>
          </w:p>
        </w:tc>
        <w:tc>
          <w:p>
            <w:pPr>
              <w:pStyle w:val="Compact"/>
              <w:jc w:val="left"/>
            </w:pPr>
            <w:r>
              <w:t xml:space="preserve">9634 (7402, 12158)</w:t>
            </w:r>
          </w:p>
        </w:tc>
        <w:tc>
          <w:p>
            <w:pPr>
              <w:pStyle w:val="Compact"/>
              <w:jc w:val="left"/>
            </w:pPr>
            <w:r>
              <w:t xml:space="preserve">3734 (2358, 6321)</w:t>
            </w:r>
          </w:p>
        </w:tc>
        <w:tc>
          <w:p>
            <w:pPr>
              <w:pStyle w:val="Compact"/>
              <w:jc w:val="left"/>
            </w:pPr>
            <w:r>
              <w:t xml:space="preserve">600 (-27789, 33706)</w:t>
            </w:r>
          </w:p>
        </w:tc>
      </w:tr>
      <w:tr>
        <w:tc>
          <w:p>
            <w:pPr>
              <w:pStyle w:val="Compact"/>
              <w:jc w:val="left"/>
            </w:pPr>
            <w:r>
              <w:t xml:space="preserve">1996</w:t>
            </w:r>
          </w:p>
        </w:tc>
        <w:tc>
          <w:p>
            <w:pPr>
              <w:pStyle w:val="Compact"/>
              <w:jc w:val="left"/>
            </w:pPr>
            <w:r>
              <w:t xml:space="preserve">30</w:t>
            </w:r>
          </w:p>
        </w:tc>
        <w:tc>
          <w:p>
            <w:pPr>
              <w:pStyle w:val="Compact"/>
              <w:jc w:val="left"/>
            </w:pPr>
            <w:r>
              <w:t xml:space="preserve">163 (125, 207)</w:t>
            </w:r>
          </w:p>
        </w:tc>
        <w:tc>
          <w:p>
            <w:pPr>
              <w:pStyle w:val="Compact"/>
              <w:jc w:val="left"/>
            </w:pPr>
            <w:r>
              <w:t xml:space="preserve">2120 (1627, 2675)</w:t>
            </w:r>
          </w:p>
        </w:tc>
        <w:tc>
          <w:p>
            <w:pPr>
              <w:pStyle w:val="Compact"/>
              <w:jc w:val="left"/>
            </w:pPr>
            <w:r>
              <w:t xml:space="preserve">8654 (6644, 10918)</w:t>
            </w:r>
          </w:p>
        </w:tc>
        <w:tc>
          <w:p>
            <w:pPr>
              <w:pStyle w:val="Compact"/>
              <w:jc w:val="left"/>
            </w:pPr>
            <w:r>
              <w:t xml:space="preserve">2625 (1618, 4308)</w:t>
            </w:r>
          </w:p>
        </w:tc>
        <w:tc>
          <w:p>
            <w:pPr>
              <w:pStyle w:val="Compact"/>
              <w:jc w:val="left"/>
            </w:pPr>
            <w:r>
              <w:t xml:space="preserve">723 (-27043, 32520)</w:t>
            </w:r>
          </w:p>
        </w:tc>
      </w:tr>
      <w:tr>
        <w:tc>
          <w:p>
            <w:pPr>
              <w:pStyle w:val="Compact"/>
              <w:jc w:val="left"/>
            </w:pPr>
            <w:r>
              <w:t xml:space="preserve">2001</w:t>
            </w:r>
          </w:p>
        </w:tc>
        <w:tc>
          <w:p>
            <w:pPr>
              <w:pStyle w:val="Compact"/>
              <w:jc w:val="left"/>
            </w:pPr>
            <w:r>
              <w:t xml:space="preserve">20</w:t>
            </w:r>
          </w:p>
        </w:tc>
        <w:tc>
          <w:p>
            <w:pPr>
              <w:pStyle w:val="Compact"/>
              <w:jc w:val="left"/>
            </w:pPr>
            <w:r>
              <w:t xml:space="preserve">111 (85, 141)</w:t>
            </w:r>
          </w:p>
        </w:tc>
        <w:tc>
          <w:p>
            <w:pPr>
              <w:pStyle w:val="Compact"/>
              <w:jc w:val="left"/>
            </w:pPr>
            <w:r>
              <w:t xml:space="preserve">1748 (1341, 2209)</w:t>
            </w:r>
          </w:p>
        </w:tc>
        <w:tc>
          <w:p>
            <w:pPr>
              <w:pStyle w:val="Compact"/>
              <w:jc w:val="left"/>
            </w:pPr>
            <w:r>
              <w:t xml:space="preserve">7573 (5808, 9582)</w:t>
            </w:r>
          </w:p>
        </w:tc>
        <w:tc>
          <w:p>
            <w:pPr>
              <w:pStyle w:val="Compact"/>
              <w:jc w:val="left"/>
            </w:pPr>
            <w:r>
              <w:t xml:space="preserve">1039 (636, 1475)</w:t>
            </w:r>
          </w:p>
        </w:tc>
        <w:tc>
          <w:p>
            <w:pPr>
              <w:pStyle w:val="Compact"/>
              <w:jc w:val="left"/>
            </w:pPr>
            <w:r>
              <w:t xml:space="preserve">839 (-27172, 30362)</w:t>
            </w:r>
          </w:p>
        </w:tc>
      </w:tr>
      <w:tr>
        <w:tc>
          <w:p>
            <w:pPr>
              <w:pStyle w:val="Compact"/>
              <w:jc w:val="left"/>
            </w:pPr>
            <w:r>
              <w:t xml:space="preserve">2006</w:t>
            </w:r>
          </w:p>
        </w:tc>
        <w:tc>
          <w:p>
            <w:pPr>
              <w:pStyle w:val="Compact"/>
              <w:jc w:val="left"/>
            </w:pPr>
            <w:r>
              <w:t xml:space="preserve">14</w:t>
            </w:r>
          </w:p>
        </w:tc>
        <w:tc>
          <w:p>
            <w:pPr>
              <w:pStyle w:val="Compact"/>
              <w:jc w:val="left"/>
            </w:pPr>
            <w:r>
              <w:t xml:space="preserve">74 (56, 94)</w:t>
            </w:r>
          </w:p>
        </w:tc>
        <w:tc>
          <w:p>
            <w:pPr>
              <w:pStyle w:val="Compact"/>
              <w:jc w:val="left"/>
            </w:pPr>
            <w:r>
              <w:t xml:space="preserve">1374 (1054, 1745)</w:t>
            </w:r>
          </w:p>
        </w:tc>
        <w:tc>
          <w:p>
            <w:pPr>
              <w:pStyle w:val="Compact"/>
              <w:jc w:val="left"/>
            </w:pPr>
            <w:r>
              <w:t xml:space="preserve">6304 (4826, 7997)</w:t>
            </w:r>
          </w:p>
        </w:tc>
        <w:tc>
          <w:p>
            <w:pPr>
              <w:pStyle w:val="Compact"/>
              <w:jc w:val="left"/>
            </w:pPr>
            <w:r>
              <w:t xml:space="preserve">1841 (1403, 2351)</w:t>
            </w:r>
          </w:p>
        </w:tc>
        <w:tc>
          <w:p>
            <w:pPr>
              <w:pStyle w:val="Compact"/>
              <w:jc w:val="left"/>
            </w:pPr>
            <w:r>
              <w:t xml:space="preserve">888 (-25270, 29788)</w:t>
            </w:r>
          </w:p>
        </w:tc>
      </w:tr>
      <w:tr>
        <w:tc>
          <w:p>
            <w:pPr>
              <w:pStyle w:val="Compact"/>
              <w:jc w:val="left"/>
            </w:pPr>
            <w:r>
              <w:t xml:space="preserve">2011</w:t>
            </w:r>
          </w:p>
        </w:tc>
        <w:tc>
          <w:p>
            <w:pPr>
              <w:pStyle w:val="Compact"/>
              <w:jc w:val="left"/>
            </w:pPr>
            <w:r>
              <w:t xml:space="preserve">9</w:t>
            </w:r>
          </w:p>
        </w:tc>
        <w:tc>
          <w:p>
            <w:pPr>
              <w:pStyle w:val="Compact"/>
              <w:jc w:val="left"/>
            </w:pPr>
            <w:r>
              <w:t xml:space="preserve">44 (33, 57)</w:t>
            </w:r>
          </w:p>
        </w:tc>
        <w:tc>
          <w:p>
            <w:pPr>
              <w:pStyle w:val="Compact"/>
              <w:jc w:val="left"/>
            </w:pPr>
            <w:r>
              <w:t xml:space="preserve">963 (726, 1235)</w:t>
            </w:r>
          </w:p>
        </w:tc>
        <w:tc>
          <w:p>
            <w:pPr>
              <w:pStyle w:val="Compact"/>
              <w:jc w:val="left"/>
            </w:pPr>
            <w:r>
              <w:t xml:space="preserve">4642 (3511, 5945)</w:t>
            </w:r>
          </w:p>
        </w:tc>
        <w:tc>
          <w:p>
            <w:pPr>
              <w:pStyle w:val="Compact"/>
              <w:jc w:val="left"/>
            </w:pPr>
            <w:r>
              <w:t xml:space="preserve">1261 (945, 1624)</w:t>
            </w:r>
          </w:p>
        </w:tc>
        <w:tc>
          <w:p>
            <w:pPr>
              <w:pStyle w:val="Compact"/>
              <w:jc w:val="left"/>
            </w:pPr>
            <w:r>
              <w:t xml:space="preserve">616 (-17340, 20593)</w:t>
            </w:r>
          </w:p>
        </w:tc>
      </w:tr>
      <w:tr>
        <w:tc>
          <w:p>
            <w:pPr>
              <w:pStyle w:val="Compact"/>
              <w:jc w:val="left"/>
            </w:pPr>
            <w:r>
              <w:t xml:space="preserve">2016</w:t>
            </w:r>
          </w:p>
        </w:tc>
        <w:tc>
          <w:p>
            <w:pPr>
              <w:pStyle w:val="Compact"/>
              <w:jc w:val="left"/>
            </w:pPr>
            <w:r>
              <w:t xml:space="preserve">5</w:t>
            </w:r>
          </w:p>
        </w:tc>
        <w:tc>
          <w:p>
            <w:pPr>
              <w:pStyle w:val="Compact"/>
              <w:jc w:val="left"/>
            </w:pPr>
            <w:r>
              <w:t xml:space="preserve">22 (15, 30)</w:t>
            </w:r>
          </w:p>
        </w:tc>
        <w:tc>
          <w:p>
            <w:pPr>
              <w:pStyle w:val="Compact"/>
              <w:jc w:val="left"/>
            </w:pPr>
            <w:r>
              <w:t xml:space="preserve">538 (382, 720)</w:t>
            </w:r>
          </w:p>
        </w:tc>
        <w:tc>
          <w:p>
            <w:pPr>
              <w:pStyle w:val="Compact"/>
              <w:jc w:val="left"/>
            </w:pPr>
            <w:r>
              <w:t xml:space="preserve">2707 (1927, 3610)</w:t>
            </w:r>
          </w:p>
        </w:tc>
        <w:tc>
          <w:p>
            <w:pPr>
              <w:pStyle w:val="Compact"/>
              <w:jc w:val="left"/>
            </w:pPr>
            <w:r>
              <w:t xml:space="preserve">605 (428, 810)</w:t>
            </w:r>
          </w:p>
        </w:tc>
        <w:tc>
          <w:p>
            <w:pPr>
              <w:pStyle w:val="Compact"/>
              <w:jc w:val="left"/>
            </w:pPr>
            <w:r>
              <w:t xml:space="preserve">260 (-9327, 11266)</w:t>
            </w:r>
          </w:p>
        </w:tc>
      </w:tr>
      <w:tr>
        <w:tc>
          <w:p>
            <w:pPr>
              <w:pStyle w:val="Compact"/>
              <w:jc w:val="left"/>
            </w:pPr>
            <w:r>
              <w:t xml:space="preserve">2021</w:t>
            </w:r>
          </w:p>
        </w:tc>
        <w:tc>
          <w:p>
            <w:pPr>
              <w:pStyle w:val="Compact"/>
              <w:jc w:val="left"/>
            </w:pPr>
            <w:r>
              <w:t xml:space="preserve">2</w:t>
            </w:r>
          </w:p>
        </w:tc>
        <w:tc>
          <w:p>
            <w:pPr>
              <w:pStyle w:val="Compact"/>
              <w:jc w:val="left"/>
            </w:pPr>
            <w:r>
              <w:t xml:space="preserve">8 (4, 11)</w:t>
            </w:r>
          </w:p>
        </w:tc>
        <w:tc>
          <w:p>
            <w:pPr>
              <w:pStyle w:val="Compact"/>
              <w:jc w:val="left"/>
            </w:pPr>
            <w:r>
              <w:t xml:space="preserve">201 (125, 289)</w:t>
            </w:r>
          </w:p>
        </w:tc>
        <w:tc>
          <w:p>
            <w:pPr>
              <w:pStyle w:val="Compact"/>
              <w:jc w:val="left"/>
            </w:pPr>
            <w:r>
              <w:t xml:space="preserve">1055 (655, 1521)</w:t>
            </w:r>
          </w:p>
        </w:tc>
        <w:tc>
          <w:p>
            <w:pPr>
              <w:pStyle w:val="Compact"/>
              <w:jc w:val="left"/>
            </w:pPr>
            <w:r>
              <w:t xml:space="preserve">190 (116, 278)</w:t>
            </w:r>
          </w:p>
        </w:tc>
        <w:tc>
          <w:p>
            <w:pPr>
              <w:pStyle w:val="Compact"/>
              <w:jc w:val="left"/>
            </w:pPr>
            <w:r>
              <w:t xml:space="preserve">99 (-4213, 5030)</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058c1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dd012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4da70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bccb2d6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39f52a4b"/>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0" Target="media/rId40.png" /><Relationship Type="http://schemas.openxmlformats.org/officeDocument/2006/relationships/image" Id="rId38" Target="media/rId38.png" /><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101/567511" TargetMode="External" /><Relationship Type="http://schemas.openxmlformats.org/officeDocument/2006/relationships/hyperlink" Id="rId44" Target="https://doi.org/10.5281/zenodo.2635687" TargetMode="External" /><Relationship Type="http://schemas.openxmlformats.org/officeDocument/2006/relationships/hyperlink" Id="rId46" Target="https://socialsciences.mcmaster.ca/jfox/Books/Companion/"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 re-evaluating and updating a modelling study</dc:title>
  <dc:creator>Sam Abbott, Hannah Christensen, Ellen Brooks-Pollock</dc:creator>
  <dcterms:created xsi:type="dcterms:W3CDTF">2019-09-18T09:32:52Z</dcterms:created>
  <dcterms:modified xsi:type="dcterms:W3CDTF">2019-09-18T09:32:52Z</dcterms:modified>
</cp:coreProperties>
</file>