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298</w:t>
      </w:r>
      <w:r>
        <w:t xml:space="preserve"> </w:t>
      </w:r>
      <w:r>
        <w:rPr>
          <w:i/>
        </w:rPr>
        <w:t xml:space="preserve">Paper:</w:t>
      </w:r>
      <w:r>
        <w:t xml:space="preserve"> </w:t>
      </w:r>
      <w:r>
        <w:t xml:space="preserve">3925</w:t>
      </w:r>
    </w:p>
    <w:p>
      <w:pPr>
        <w:pStyle w:val="Heading1"/>
      </w:pPr>
      <w:bookmarkStart w:id="22" w:name="abstract"/>
      <w:bookmarkEnd w:id="22"/>
      <w:r>
        <w:t xml:space="preserve">Abstract</w:t>
      </w:r>
    </w:p>
    <w:p>
      <w:pPr>
        <w:pStyle w:val="Heading2"/>
      </w:pPr>
      <w:bookmarkStart w:id="23" w:name="objectives"/>
      <w:bookmarkEnd w:id="23"/>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24" w:name="design"/>
      <w:bookmarkEnd w:id="24"/>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25" w:name="setting"/>
      <w:bookmarkEnd w:id="25"/>
      <w:r>
        <w:t xml:space="preserve">Setting</w:t>
      </w:r>
    </w:p>
    <w:p>
      <w:pPr>
        <w:pStyle w:val="FirstParagraph"/>
      </w:pPr>
      <w:r>
        <w:t xml:space="preserve">England and Wales.</w:t>
      </w:r>
    </w:p>
    <w:p>
      <w:pPr>
        <w:pStyle w:val="Heading2"/>
      </w:pPr>
      <w:bookmarkStart w:id="26" w:name="outcome-measures"/>
      <w:bookmarkEnd w:id="26"/>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27" w:name="results-copy-from-bottom"/>
      <w:bookmarkEnd w:id="27"/>
      <w:r>
        <w:t xml:space="preserve">Results</w:t>
      </w:r>
      <w:r>
        <w:t xml:space="preserve"> </w:t>
      </w:r>
      <w:r>
        <w:rPr>
          <w:i/>
        </w:rPr>
        <w:t xml:space="preserve">Copy from bottom</w:t>
      </w:r>
    </w:p>
    <w:p>
      <w:pPr>
        <w:pStyle w:val="Heading2"/>
      </w:pPr>
      <w:bookmarkStart w:id="28" w:name="conclusions"/>
      <w:bookmarkEnd w:id="28"/>
      <w:r>
        <w:t xml:space="preserve">Conclusions</w:t>
      </w:r>
    </w:p>
    <w:p>
      <w:pPr>
        <w:pStyle w:val="FirstParagraph"/>
      </w:pPr>
      <w:r>
        <w: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29" w:name="what-is-already-known-on-this-subject"/>
      <w:bookmarkEnd w:id="29"/>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30" w:name="what-this-study-adds"/>
      <w:bookmarkEnd w:id="30"/>
      <w:r>
        <w:t xml:space="preserve">What this study adds</w:t>
      </w:r>
    </w:p>
    <w:p>
      <w:pPr>
        <w:numPr>
          <w:numId w:val="1002"/>
          <w:ilvl w:val="0"/>
        </w:numPr>
      </w:pPr>
      <w:r>
        <w:t xml:space="preserve">The previous approach contained a methodological flaw which led to the impact of ending BCG vaccination being greatly underestimated.</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31" w:name="strengths-and-limitations-of-this-study"/>
      <w:bookmarkEnd w:id="31"/>
      <w:r>
        <w:t xml:space="preserve">Strengths and limitations of this study</w:t>
      </w:r>
    </w:p>
    <w:p>
      <w:pPr>
        <w:numPr>
          <w:numId w:val="1003"/>
          <w:ilvl w:val="0"/>
        </w:numPr>
      </w:pPr>
      <w:r>
        <w:t xml:space="preserve">This study reevaluates a key piece of the quantitative evidence used to motivate the change in BCG vaccination policy in 2005, correcting a methodological flaw in the original model.</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32" w:name="introduction"/>
      <w:bookmarkEnd w:id="32"/>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(hereafter referred to as the BCG schools scheme)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33" w:name="methods"/>
      <w:bookmarkEnd w:id="33"/>
      <w:r>
        <w:t xml:space="preserve">Methods</w:t>
      </w:r>
    </w:p>
    <w:p>
      <w:pPr>
        <w:pStyle w:val="Heading2"/>
      </w:pPr>
      <w:bookmarkStart w:id="34" w:name="modelling-the-impact-of-ending-the-bcg-schools-scheme"/>
      <w:bookmarkEnd w:id="34"/>
      <w:r>
        <w:t xml:space="preserve">Modelling the impact of ending the BCG schools scheme</w:t>
      </w:r>
    </w:p>
    <w:p>
      <w:pPr>
        <w:pStyle w:val="FirstParagraph"/>
      </w:pPr>
      <w:r>
        <w:t xml:space="preserve">We implemented, and updated, Sutherland et al.’s model for estimating the impact of ending the BCG schools scheme, which is outlined briefly below.</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timestep.</w:t>
      </w:r>
    </w:p>
    <w:p>
      <w:pPr>
        <w:pStyle w:val="Heading3"/>
      </w:pPr>
      <w:bookmarkStart w:id="35" w:name="estimating-notification-rates"/>
      <w:bookmarkEnd w:id="35"/>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to 874 notifications in 15-24 year old ethnic White UK born persons in England and Wales; survey participation was 80%. As the number of Tuberculin negative subjects not given BCG was unreported this was estimated at 1.9% of those vaccinated with the BCG.</w:t>
      </w:r>
      <w:r>
        <w:t xml:space="preserve">[14]</w:t>
      </w:r>
      <w:r>
        <w:t xml:space="preserve"> </w:t>
      </w:r>
      <w:r>
        <w:t xml:space="preserve">See</w:t>
      </w:r>
      <w:r>
        <w:t xml:space="preserve"> </w:t>
      </w:r>
      <w:r>
        <w:t xml:space="preserve">[14]</w:t>
      </w:r>
      <w:r>
        <w:t xml:space="preserve"> </w:t>
      </w:r>
      <w:r>
        <w:t xml:space="preserve">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36" w:name="construction-of-forward-estimates"/>
      <w:bookmarkEnd w:id="36"/>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pPr>
        <w:pStyle w:val="BodyText"/>
      </w:pPr>
      <w:r>
        <w:t xml:space="preserve">Using the data on BCG coverage, the number of vaccines given each year, and the projected differences between vaccinated and unvaccinated notification rates allowed the number of prevented notifications, due to vaccination, for each age group to be found for each year. This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BodyText"/>
      </w:pPr>
      <w:r>
        <w:rPr>
          <w:b/>
        </w:rPr>
        <w:t xml:space="preserve">Original transmission chain model</w:t>
      </w:r>
    </w:p>
    <w:p>
      <w:pPr>
        <w:pStyle w:val="BodyText"/>
      </w:pPr>
      <w:r>
        <w:t xml:space="preserve">Sutherland et al defined their TB transmission model as follows:</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6"/>
          <w:ilvl w:val="0"/>
        </w:numPr>
      </w:pPr>
      <w:r>
        <w:t xml:space="preserve">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rPr>
          <w:b/>
        </w:rPr>
        <w:t xml:space="preserve">Updating the transmission chain model</w:t>
      </w:r>
    </w:p>
    <w:p>
      <w:pPr>
        <w:pStyle w:val="BodyText"/>
      </w:pPr>
      <w:r>
        <w:t xml:space="preserve">Sutherland et al. incorrectly defined the total expected number of secondary notifications (</w:t>
      </w:r>
      <m:oMath>
        <m:r>
          <m:t>T</m:t>
        </m:r>
      </m:oMath>
      <w:r>
        <w:t xml:space="preserve">) as the initial generation size (</w:t>
      </w:r>
      <m:oMath>
        <m:r>
          <m:t>x</m:t>
        </m:r>
      </m:oMath>
      <w:r>
        <w:t xml:space="preserve">). To correct this we revised 1. to the following in our updated model,</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This update meant that we could not estimate when secondary notifications occurred. We have therefore reported secondary notifications occurring in the same year as the primary notifications that caused them. Implementing the model required several additional assumptions not detailed in</w:t>
      </w:r>
      <w:r>
        <w:t xml:space="preserve"> </w:t>
      </w:r>
      <w:r>
        <w:t xml:space="preserve">[11]</w:t>
      </w:r>
      <w:r>
        <w:t xml:space="preserve"> </w:t>
      </w:r>
      <w:r>
        <w:t xml:space="preserve">- see the supplementary information for details.</w:t>
      </w:r>
    </w:p>
    <w:p>
      <w:pPr>
        <w:pStyle w:val="Heading2"/>
      </w:pPr>
      <w:bookmarkStart w:id="37" w:name="updating-model-parameter-estimates-and-incorporating-parameter-uncertainty"/>
      <w:bookmarkEnd w:id="37"/>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as data were not available.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pPr>
        <w:pStyle w:val="Heading2"/>
      </w:pPr>
      <w:bookmarkStart w:id="38" w:name="statistical-analysis"/>
      <w:bookmarkEnd w:id="38"/>
      <w:r>
        <w:t xml:space="preserve">Statistical analysis</w:t>
      </w:r>
    </w:p>
    <w:p>
      <w:pPr>
        <w:pStyle w:val="FirstParagraph"/>
      </w:pPr>
      <w:r>
        <w:t xml:space="preserve">For each scenario, we ran the model until 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15-year time horizon was used with 5-year intervals. The year closest to the year of the change in vaccination policy (2005), which had model estimates, was used as the baseline.</w:t>
      </w:r>
    </w:p>
    <w:p>
      <w:pPr>
        <w:pStyle w:val="Heading2"/>
      </w:pPr>
      <w:bookmarkStart w:id="39" w:name="patient-and-public-involvement"/>
      <w:bookmarkEnd w:id="39"/>
      <w:r>
        <w:t xml:space="preserve">Patient and public involvement</w:t>
      </w:r>
    </w:p>
    <w:p>
      <w:pPr>
        <w:pStyle w:val="FirstParagraph"/>
      </w:pPr>
      <w:r>
        <w:t xml:space="preserve">We did not involve patients or the public in the design or planning of this study.</w:t>
      </w:r>
    </w:p>
    <w:p>
      <w:pPr>
        <w:pStyle w:val="Heading1"/>
      </w:pPr>
      <w:bookmarkStart w:id="40" w:name="results"/>
      <w:bookmarkEnd w:id="40"/>
      <w:r>
        <w:t xml:space="preserve">Results</w:t>
      </w:r>
    </w:p>
    <w:p>
      <w:pPr>
        <w:pStyle w:val="Heading2"/>
      </w:pPr>
      <w:bookmarkStart w:id="41" w:name="model-validation"/>
      <w:bookmarkEnd w:id="41"/>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42" w:name="annual-change-in-tb-incidence-rates"/>
      <w:bookmarkEnd w:id="42"/>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4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44" w:name="vaccines-required-to-prevent-a-single-notification"/>
      <w:bookmarkEnd w:id="44"/>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resulted in an</w:t>
      </w:r>
      <w:r>
        <w:t xml:space="preserve"> </w:t>
      </w:r>
      <w:r>
        <w:t xml:space="preserve">estimate of 1600 (2.5, 97.5% Q: 1300, 2000) vaccines required to a prevet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46" w:name="average-annual-additional-cases-from-ending-the-bcg-schools-scheme-at-various-dates"/>
      <w:bookmarkEnd w:id="46"/>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w:t>
      </w:r>
    </w:p>
    <w:p>
      <w:pPr>
        <w:pStyle w:val="FigureWithCaption"/>
      </w:pPr>
      <w:r>
        <w:drawing>
          <wp:inline>
            <wp:extent cx="5943600" cy="4457700"/>
            <wp:effectExtent b="0" l="0" r="0" t="0"/>
            <wp:docPr descr="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8" w:name="discussion"/>
      <w:bookmarkEnd w:id="48"/>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additional notifications from ending school age BCG vaccination was much greater than estimated using the scenario considered in Sutherland et al.</w:t>
      </w:r>
    </w:p>
    <w:p>
      <w:pPr>
        <w:pStyle w:val="BodyText"/>
      </w:pPr>
      <w:r>
        <w:t xml:space="preserve">This study reassesses a key piece of the quantitative evidence used to motivate the change in BCG vaccination policy in 2005. We found methodological flaws with this evidence which resulted in greatly reduced estimates of the impact of ending BCG vaccination when compared to our corrected model.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The methodological flaw we found in this model should be taken as a warning by policy makers.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9">
        <w:r>
          <w:rPr>
            <w:rStyle w:val="Hyperlink"/>
          </w:rPr>
          <w:t xml:space="preserve">https://doi.org/10.5281/zenodo.2635687</w:t>
        </w:r>
      </w:hyperlink>
    </w:p>
    <w:p>
      <w:pPr>
        <w:pStyle w:val="Heading1"/>
      </w:pPr>
      <w:bookmarkStart w:id="50" w:name="references"/>
      <w:bookmarkEnd w:id="50"/>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51">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52">
        <w:r>
          <w:rPr>
            <w:rStyle w:val="Hyperlink"/>
          </w:rPr>
          <w:t xml:space="preserve">10.1101/567511</w:t>
        </w:r>
      </w:hyperlink>
    </w:p>
    <w:p>
      <w:pPr>
        <w:pStyle w:val="Heading2"/>
      </w:pPr>
      <w:bookmarkStart w:id="53" w:name="results-copy-to-top"/>
      <w:bookmarkEnd w:id="53"/>
      <w:r>
        <w:t xml:space="preserve">Results</w:t>
      </w:r>
      <w:r>
        <w:t xml:space="preserve"> </w:t>
      </w:r>
      <w:r>
        <w:rPr>
          <w:i/>
        </w:rPr>
        <w:t xml:space="preserve">Copy to top</w:t>
      </w:r>
    </w:p>
    <w:p>
      <w:pPr>
        <w:pStyle w:val="FirstParagraph"/>
      </w:pPr>
      <w:r>
        <w:t xml:space="preserve">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annual decrease in TB incidence rates of 1.9% was used. Using this assumption, we estimate that 1600 (2.5,97.5% Quantiles (Q): 1300, 2000) vaccines would have been required to prevent a single notification in 2004.</w:t>
      </w:r>
    </w:p>
    <w:p>
      <w:pPr>
        <w:pStyle w:val="Heading1"/>
      </w:pPr>
      <w:bookmarkStart w:id="54" w:name="supplementary-information-reassessing-the-evidence-for-universal-school-age-bacillus-calmette-guerin-bcg-vaccination-in-england-and-wales"/>
      <w:bookmarkEnd w:id="54"/>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5" w:name="model-assumptions"/>
      <w:bookmarkEnd w:id="55"/>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 This approach is only valid when using the original approach from</w:t>
      </w:r>
      <w:r>
        <w:t xml:space="preserve"> </w:t>
      </w:r>
      <w:r>
        <w:t xml:space="preserve">[11]</w:t>
      </w:r>
      <w:r>
        <w:t xml:space="preserve"> </w:t>
      </w:r>
      <w:r>
        <w:t xml:space="preserve">and so is only used here for validation.</w:t>
      </w:r>
    </w:p>
    <w:p>
      <w:pPr>
        <w:pStyle w:val="Heading2"/>
      </w:pPr>
      <w:bookmarkStart w:id="56" w:name="model-validation-1"/>
      <w:bookmarkEnd w:id="56"/>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 Our model produced estimates that were comparable with those from</w:t>
      </w:r>
      <w:r>
        <w:t xml:space="preserve"> </w:t>
      </w:r>
      <w:r>
        <w:t xml:space="preserve">[11]</w:t>
      </w:r>
      <w:r>
        <w:t xml:space="preserve">.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7" w:name="results-1"/>
      <w:bookmarkEnd w:id="57"/>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58c20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fd6a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da84c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22aab3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7257ef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52" Target="https://doi.org/10.1101/567511" TargetMode="External" /><Relationship Type="http://schemas.openxmlformats.org/officeDocument/2006/relationships/hyperlink" Id="rId49" Target="https://doi.org/10.5281/zenodo.2635687" TargetMode="External" /><Relationship Type="http://schemas.openxmlformats.org/officeDocument/2006/relationships/hyperlink" Id="rId51"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101/567511" TargetMode="External" /><Relationship Type="http://schemas.openxmlformats.org/officeDocument/2006/relationships/hyperlink" Id="rId49" Target="https://doi.org/10.5281/zenodo.2635687" TargetMode="External" /><Relationship Type="http://schemas.openxmlformats.org/officeDocument/2006/relationships/hyperlink" Id="rId51"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2019-10-09T16:00:56Z</dcterms:created>
  <dcterms:modified xsi:type="dcterms:W3CDTF">2019-10-09T16:00:56Z</dcterms:modified>
</cp:coreProperties>
</file>