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298</w:t>
      </w:r>
      <w:r>
        <w:t xml:space="preserve"> </w:t>
      </w:r>
      <w:r>
        <w:rPr>
          <w:i/>
        </w:rPr>
        <w:t xml:space="preserve">Paper:</w:t>
      </w:r>
      <w:r>
        <w:t xml:space="preserve"> </w:t>
      </w:r>
      <w:r>
        <w:t xml:space="preserve">3925</w:t>
      </w:r>
    </w:p>
    <w:p>
      <w:pPr>
        <w:pStyle w:val="Heading1"/>
      </w:pPr>
      <w:bookmarkStart w:id="22" w:name="abstract"/>
      <w:bookmarkEnd w:id="22"/>
      <w:r>
        <w:t xml:space="preserve">Abstract</w:t>
      </w:r>
    </w:p>
    <w:p>
      <w:pPr>
        <w:pStyle w:val="Heading2"/>
      </w:pPr>
      <w:bookmarkStart w:id="23" w:name="objectives"/>
      <w:bookmarkEnd w:id="23"/>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24" w:name="design"/>
      <w:bookmarkEnd w:id="24"/>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25" w:name="setting"/>
      <w:bookmarkEnd w:id="25"/>
      <w:r>
        <w:t xml:space="preserve">Setting</w:t>
      </w:r>
    </w:p>
    <w:p>
      <w:pPr>
        <w:pStyle w:val="FirstParagraph"/>
      </w:pPr>
      <w:r>
        <w:t xml:space="preserve">England and Wales.</w:t>
      </w:r>
    </w:p>
    <w:p>
      <w:pPr>
        <w:pStyle w:val="Heading2"/>
      </w:pPr>
      <w:bookmarkStart w:id="26" w:name="outcome-measures"/>
      <w:bookmarkEnd w:id="26"/>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27" w:name="results-copy-from-bottom"/>
      <w:bookmarkEnd w:id="27"/>
      <w:r>
        <w:t xml:space="preserve">Results</w:t>
      </w:r>
      <w:r>
        <w:t xml:space="preserve"> </w:t>
      </w:r>
      <w:r>
        <w:rPr>
          <w:i/>
        </w:rPr>
        <w:t xml:space="preserve">Copy from bottom</w:t>
      </w:r>
    </w:p>
    <w:p>
      <w:pPr>
        <w:pStyle w:val="Heading2"/>
      </w:pPr>
      <w:bookmarkStart w:id="28" w:name="conclusions"/>
      <w:bookmarkEnd w:id="28"/>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29" w:name="strengths-and-limitations-of-this-study"/>
      <w:bookmarkEnd w:id="29"/>
      <w:r>
        <w:t xml:space="preserve">Strengths and limitations of this study</w:t>
      </w:r>
    </w:p>
    <w:p>
      <w:pPr>
        <w:numPr>
          <w:numId w:val="1001"/>
          <w:ilvl w:val="0"/>
        </w:numPr>
      </w:pPr>
      <w:r>
        <w:t xml:space="preserve">This study reevaluates a key piece of the quantitative evidence used to motivate the change in BCG vaccination policy in 2005, correcting a methodological flaw in the original model.</w:t>
      </w:r>
    </w:p>
    <w:p>
      <w:pPr>
        <w:numPr>
          <w:numId w:val="1001"/>
          <w:ilvl w:val="0"/>
        </w:numPr>
      </w:pPr>
      <w:r>
        <w:t xml:space="preserve">The inclusion of parameter uncertainty, and measurement error, allowed the uncertainty in the final estimates to be presented. Previously published estimates may have been spuriously precise.</w:t>
      </w:r>
    </w:p>
    <w:p>
      <w:pPr>
        <w:numPr>
          <w:numId w:val="1001"/>
          <w:ilvl w:val="0"/>
        </w:numPr>
      </w:pPr>
      <w:r>
        <w:t xml:space="preserve">As this study used a historical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1"/>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1"/>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30" w:name="introduction"/>
      <w:bookmarkEnd w:id="30"/>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(hereafter referred to as the BCG schools scheme)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31" w:name="methods"/>
      <w:bookmarkEnd w:id="31"/>
      <w:r>
        <w:t xml:space="preserve">Methods</w:t>
      </w:r>
    </w:p>
    <w:p>
      <w:pPr>
        <w:pStyle w:val="Heading2"/>
      </w:pPr>
      <w:bookmarkStart w:id="32" w:name="modelling-the-impact-of-ending-the-bcg-schools-scheme"/>
      <w:bookmarkEnd w:id="32"/>
      <w:r>
        <w:t xml:space="preserve">Modelling the impact of ending the BCG schools scheme</w:t>
      </w:r>
    </w:p>
    <w:p>
      <w:pPr>
        <w:pStyle w:val="FirstParagraph"/>
      </w:pPr>
      <w:r>
        <w:t xml:space="preserve">We implemented, and updated, Sutherland et al.’s model for estimating the impact of ending the BCG schools scheme, which is outlined briefly below.</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and combined with the primary impact estimates, to calculate the number of annual additional notifications due to ending BCG vaccination. Based on data availability the model used a 5-year timestep.</w:t>
      </w:r>
    </w:p>
    <w:p>
      <w:pPr>
        <w:pStyle w:val="Heading3"/>
      </w:pPr>
      <w:bookmarkStart w:id="33" w:name="estimating-notification-rates"/>
      <w:bookmarkEnd w:id="33"/>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Surveys of those aged 15-24 years were carried out at 5-year intervals in 1973, 1978 and 1983 in England and Wales. For the 1983 survey records of BCG status, Tuberculin status and ethnicity were extracted from the records of notifying physicians and the records of the local health and education authorities. Total notifications across the study period were then aggregated for the following groups: Tuberculin negative and BCG vaccinated, Tuberculin negative and BCG unvaccinated,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to 874 notifications in 15-24 year old ethnic White UK born persons in England and Wales; survey participation was 80%. As the number of Tuberculin negative subjects not given BCG was unreported this was estimated at 1.9% of those vaccinated with the BCG.</w:t>
      </w:r>
      <w:r>
        <w:t xml:space="preserve">[14]</w:t>
      </w:r>
      <w:r>
        <w:t xml:space="preserve"> </w:t>
      </w:r>
      <w:r>
        <w:t xml:space="preserve">See</w:t>
      </w:r>
      <w:r>
        <w:t xml:space="preserve"> </w:t>
      </w:r>
      <w:r>
        <w:t xml:space="preserve">[14]</w:t>
      </w:r>
      <w:r>
        <w:t xml:space="preserve"> </w:t>
      </w:r>
      <w:r>
        <w:t xml:space="preserve">for full details of the survey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in 25-29 year olds was available for the first 6 months of the 1983 survey and this was then scaled up to a yearly estimate using the ratio of notifications from this age group against the total number of notifications recorded in that year. Population estimates for the 25-29 year old cohort were based on data from the 20-24 cohort adjusted for all causes of mortality (0.34%). Migration was ignored. The tuberculin positive cohort had a sharp decline in the previous two age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34" w:name="construction-of-forward-estimates"/>
      <w:bookmarkEnd w:id="34"/>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15-year period can be projected for each cohort. By dividing the total number in a given cohort by the number of prevented cases the estimated number of vaccines required to prevent a single case in the 15-year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5-year period thereafter it was assumed to be 2.1 million.</w:t>
      </w:r>
    </w:p>
    <w:p>
      <w:pPr>
        <w:pStyle w:val="BodyText"/>
      </w:pPr>
      <w:r>
        <w:t xml:space="preserve">Using the data on BCG coverage, the number of vaccines given each year, and the projected differences between vaccinated and unvaccinated notification rates allowed the number of prevented notifications, due to vaccination, for each age group to be found for each year. These estimates can then be used to give the total number of prevented notifications for those aged between 15-29 years.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2"/>
          <w:ilvl w:val="0"/>
        </w:numPr>
      </w:pPr>
      <w:r>
        <w:t xml:space="preserve">The total expected number of secondary notifications (</w:t>
      </w:r>
      <m:oMath>
        <m:r>
          <m:t>T</m:t>
        </m:r>
      </m:oMath>
      <w:r>
        <w:t xml:space="preserve">) arising from any single primary notification was estimated as,</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3"/>
          <w:ilvl w:val="0"/>
        </w:numPr>
      </w:pPr>
      <w:r>
        <w:t xml:space="preserve">The total number of notifications,</w:t>
      </w:r>
      <w:r>
        <w:t xml:space="preserve"> </w:t>
      </w:r>
      <m:oMath>
        <m:r>
          <m:t>T</m:t>
        </m:r>
      </m:oMath>
      <w:r>
        <w:t xml:space="preserve">, is related 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4"/>
          <w:ilvl w:val="0"/>
        </w:numPr>
      </w:pPr>
      <w:r>
        <w:t xml:space="preserve">The expected average interval between each primary notification and all secondary notifications (</w:t>
      </w:r>
      <m:oMath>
        <m:r>
          <m:t>Z</m:t>
        </m:r>
      </m:oMath>
      <w:r>
        <w:t xml:space="preserve">) is defined to be the sum of time to all notifications, weighted by the fraction in each generation, divided by the sum of all notifications.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Both 2. and 3. are only valid when</w:t>
      </w:r>
      <w:r>
        <w:t xml:space="preserve"> </w:t>
      </w:r>
      <m:oMath>
        <m:r>
          <m:t>x</m:t>
        </m:r>
        <m:r>
          <m:t>&lt;</m:t>
        </m:r>
        <m:r>
          <m:t>1</m:t>
        </m:r>
      </m:oMath>
      <w:r>
        <w:t xml:space="preserve"> </w:t>
      </w:r>
      <w:r>
        <w:t xml:space="preserve">and therefore</w:t>
      </w:r>
      <w:r>
        <w:t xml:space="preserve"> </w:t>
      </w:r>
      <m:oMath>
        <m:r>
          <m:t>d</m:t>
        </m:r>
        <m:r>
          <m:t>&gt;</m:t>
        </m:r>
        <m:r>
          <m:t>0</m:t>
        </m:r>
      </m:oMath>
      <w:r>
        <w:t xml:space="preserve">.</w:t>
      </w:r>
    </w:p>
    <w:p>
      <w:pPr>
        <w:pStyle w:val="BodyText"/>
      </w:pPr>
      <w:r>
        <w:rPr>
          <w:b/>
        </w:rPr>
        <w:t xml:space="preserve">Updating the transmission chain model</w:t>
      </w:r>
    </w:p>
    <w:p>
      <w:pPr>
        <w:pStyle w:val="BodyText"/>
      </w:pPr>
      <w:r>
        <w:t xml:space="preserve">If we assume a constant decay rate of</w:t>
      </w:r>
      <w:r>
        <w:t xml:space="preserve"> </w:t>
      </w:r>
      <m:oMath>
        <m:r>
          <m:t>d</m:t>
        </m:r>
      </m:oMath>
      <w:r>
        <w:t xml:space="preserve">% per year and that secondary cases are notified</w:t>
      </w:r>
      <w:r>
        <w:t xml:space="preserve"> </w:t>
      </w:r>
      <m:oMath>
        <m:r>
          <m:t>z</m:t>
        </m:r>
      </m:oMath>
      <w:r>
        <w:t xml:space="preserve"> </w:t>
      </w:r>
      <w:r>
        <w:t xml:space="preserve">years after the person who infected them, then 1 notification in year 0 will result in</w:t>
      </w:r>
      <w:r>
        <w:t xml:space="preserve"> </w:t>
      </w:r>
      <m:oMath>
        <m:r>
          <m:t>(</m:t>
        </m:r>
        <m:r>
          <m:t>1</m:t>
        </m:r>
        <m:r>
          <m:t>−</m:t>
        </m:r>
        <m:r>
          <m:t>d</m:t>
        </m:r>
        <m:sSup>
          <m:e>
            <m:r>
              <m:t>)</m:t>
            </m:r>
          </m:e>
          <m:sup>
            <m:r>
              <m:t>z</m:t>
            </m:r>
          </m:sup>
        </m:sSup>
      </m:oMath>
      <w:r>
        <w:t xml:space="preserve"> </w:t>
      </w:r>
      <w:r>
        <w:t xml:space="preserve">secondary (first generation) notifications</w:t>
      </w:r>
      <w:r>
        <w:t xml:space="preserve"> </w:t>
      </w:r>
      <m:oMath>
        <m:r>
          <m:t>z</m:t>
        </m:r>
      </m:oMath>
      <w:r>
        <w:t xml:space="preserve"> </w:t>
      </w:r>
      <w:r>
        <w:t xml:space="preserve">years later. This is therefore the initial generation size (</w:t>
      </w:r>
      <m:oMath>
        <m:r>
          <m:t>x</m:t>
        </m:r>
      </m:oMath>
      <w:r>
        <w:t xml:space="preserve">), not the</w:t>
      </w:r>
      <w:r>
        <w:t xml:space="preserve"> </w:t>
      </w:r>
      <w:r>
        <w:rPr>
          <w:i/>
        </w:rPr>
        <w:t xml:space="preserve">total</w:t>
      </w:r>
      <w:r>
        <w:t xml:space="preserve"> </w:t>
      </w:r>
      <w:r>
        <w:t xml:space="preserve">number of secondary notifications (</w:t>
      </w:r>
      <m:oMath>
        <m:r>
          <m:t>T</m:t>
        </m:r>
      </m:oMath>
      <w:r>
        <w:t xml:space="preserve">), as (incorrectly) stated by Sutherland et al. Therefore, to correct this we revised 1. to the following in our updated model,</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can not estimate when secondary notifications occurred. We have therefore reported secondary notifications occurring in the same year as the primary notifications that caused them. Implementing the model required several additional assumptions not detailed in</w:t>
      </w:r>
      <w:r>
        <w:t xml:space="preserve"> </w:t>
      </w:r>
      <w:r>
        <w:t xml:space="preserve">[11]</w:t>
      </w:r>
      <w:r>
        <w:t xml:space="preserve"> </w:t>
      </w:r>
      <w:r>
        <w:t xml:space="preserve">- see the supplementary information for details.</w:t>
      </w:r>
    </w:p>
    <w:p>
      <w:pPr>
        <w:pStyle w:val="Heading2"/>
      </w:pPr>
      <w:bookmarkStart w:id="35" w:name="updating-model-parameter-estimates-and-incorporating-parameter-uncertainty"/>
      <w:bookmarkEnd w:id="35"/>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Data on the annual decrease in incidence rates in the ethnic White UK population were not available so we used two proxy measures.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using a series of linear models. For years prior to 1973 the annual decreases were assumed to be the mean of the annual decreases from the previous 3 years. For both proxy measures the annual decreases in incidence rates post 2016 were assumed to be the average of the estimates in 2013-2015.</w:t>
      </w:r>
    </w:p>
    <w:p>
      <w:pPr>
        <w:pStyle w:val="Heading2"/>
      </w:pPr>
      <w:bookmarkStart w:id="36" w:name="statistical-analysis"/>
      <w:bookmarkEnd w:id="36"/>
      <w:r>
        <w:t xml:space="preserve">Statistical analysis</w:t>
      </w:r>
    </w:p>
    <w:p>
      <w:pPr>
        <w:pStyle w:val="FirstParagraph"/>
      </w:pPr>
      <w:r>
        <w:t xml:space="preserve">For each scenario, we ran the model for 69 years (1969-2028)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15-year time horizon was used with 5-year intervals. The year closest to the year of the change in vaccination policy (2005), which had model estimates, was used as the baseline.</w:t>
      </w:r>
    </w:p>
    <w:p>
      <w:pPr>
        <w:pStyle w:val="Heading2"/>
      </w:pPr>
      <w:bookmarkStart w:id="37" w:name="patient-and-public-involvement"/>
      <w:bookmarkEnd w:id="37"/>
      <w:r>
        <w:t xml:space="preserve">Patient and public involvement</w:t>
      </w:r>
    </w:p>
    <w:p>
      <w:pPr>
        <w:pStyle w:val="FirstParagraph"/>
      </w:pPr>
      <w:r>
        <w:t xml:space="preserve">We did not involve patients or the public in the design or planning of this study.</w:t>
      </w:r>
    </w:p>
    <w:p>
      <w:pPr>
        <w:pStyle w:val="Heading1"/>
      </w:pPr>
      <w:bookmarkStart w:id="38" w:name="results"/>
      <w:bookmarkEnd w:id="38"/>
      <w:r>
        <w:t xml:space="preserve">Results</w:t>
      </w:r>
    </w:p>
    <w:p>
      <w:pPr>
        <w:pStyle w:val="Heading2"/>
      </w:pPr>
      <w:bookmarkStart w:id="39" w:name="model-validation"/>
      <w:bookmarkEnd w:id="39"/>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structure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40" w:name="annual-change-in-tb-incidence-rates"/>
      <w:bookmarkEnd w:id="40"/>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4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42" w:name="vaccines-required-to-prevent-a-single-notification"/>
      <w:bookmarkEnd w:id="42"/>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(one of the scenarios evaluated by the JVCI) resulted in an</w:t>
      </w:r>
      <w:r>
        <w:t xml:space="preserve"> </w:t>
      </w:r>
      <w:r>
        <w:t xml:space="preserve">estimate of 1600 (2.5, 97.5% Q: 1300, 2000) vaccines required to a prevent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44" w:name="average-annual-additional-cases-from-ending-the-bcg-schools-scheme-at-various-dates"/>
      <w:bookmarkEnd w:id="4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notifications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6" w:name="discussion"/>
      <w:bookmarkEnd w:id="4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TB notifications arising from ending school age BCG vaccination was much greater than originally estimated using the scenario considered in Sutherland et al.</w:t>
      </w:r>
    </w:p>
    <w:p>
      <w:pPr>
        <w:pStyle w:val="BodyText"/>
      </w:pPr>
      <w:r>
        <w:t xml:space="preserve">This study reassesses a key piece of the quantitative evidence used to motivate the change in BCG vaccination policy in 2005.</w:t>
      </w:r>
    </w:p>
    <w:p>
      <w:pPr>
        <w:pStyle w:val="BodyText"/>
      </w:pPr>
      <w:r>
        <w:t xml:space="preserve">In addition to identifying that the public health impact of the change in vaccine policy was likely much larger than originally estimated,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are based on the framework used to inform policy making. This allowed the strength of the model used in the decision-making process to be assessed once parameter uncertainty had been incorporated and for flaws in the model to be identified. This would not have been possible if the impact had been assessed using only the observed data or with an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in the UK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7">
        <w:r>
          <w:rPr>
            <w:rStyle w:val="Hyperlink"/>
          </w:rPr>
          <w:t xml:space="preserve">https://doi.org/10.5281/zenodo.2635687</w:t>
        </w:r>
      </w:hyperlink>
    </w:p>
    <w:p>
      <w:pPr>
        <w:pStyle w:val="Heading1"/>
      </w:pPr>
      <w:bookmarkStart w:id="48" w:name="references"/>
      <w:bookmarkEnd w:id="4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9">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50">
        <w:r>
          <w:rPr>
            <w:rStyle w:val="Hyperlink"/>
          </w:rPr>
          <w:t xml:space="preserve">10.1101/567511</w:t>
        </w:r>
      </w:hyperlink>
    </w:p>
    <w:p>
      <w:pPr>
        <w:pStyle w:val="Heading2"/>
      </w:pPr>
      <w:bookmarkStart w:id="51" w:name="results-copy-to-top"/>
      <w:bookmarkEnd w:id="51"/>
      <w:r>
        <w:t xml:space="preserve">Results</w:t>
      </w:r>
      <w:r>
        <w:t xml:space="preserve"> </w:t>
      </w:r>
      <w:r>
        <w:rPr>
          <w:i/>
        </w:rPr>
        <w:t xml:space="preserve">Copy to top</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1"/>
      </w:pPr>
      <w:bookmarkStart w:id="52" w:name="supplementary-information-reassessing-the-evidence-for-universal-school-age-bacillus-calmette-guerin-bcg-vaccination-in-england-and-wales"/>
      <w:bookmarkEnd w:id="52"/>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3" w:name="model-assumptions"/>
      <w:bookmarkEnd w:id="53"/>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4" w:name="model-validation-1"/>
      <w:bookmarkEnd w:id="54"/>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5" w:name="results-1"/>
      <w:bookmarkEnd w:id="55"/>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1504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48de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4b6b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9227e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8a9a66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101/567511" TargetMode="External" /><Relationship Type="http://schemas.openxmlformats.org/officeDocument/2006/relationships/hyperlink" Id="rId47" Target="https://doi.org/10.5281/zenodo.2635687" TargetMode="External" /><Relationship Type="http://schemas.openxmlformats.org/officeDocument/2006/relationships/hyperlink" Id="rId49"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2019-10-10T13:26:09Z</dcterms:created>
  <dcterms:modified xsi:type="dcterms:W3CDTF">2019-10-10T13:26:09Z</dcterms:modified>
</cp:coreProperties>
</file>