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298</w:t>
      </w:r>
      <w:r>
        <w:t xml:space="preserve"> </w:t>
      </w:r>
      <w:r>
        <w:rPr>
          <w:i/>
        </w:rPr>
        <w:t xml:space="preserve">Paper:</w:t>
      </w:r>
      <w:r>
        <w:t xml:space="preserve"> </w:t>
      </w:r>
      <w:r>
        <w:t xml:space="preserve">3925</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The previous approach contained a methodological flaw which led to the impact of ending BCG vaccination being greatly underestimated.</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 correcting a methodological flaw in the original model.</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As this study used a historcal approach the model used is not the accurate method for assessing the impact of ending the BCG schools scheme. However, it provides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and updated,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These estimates were then used, combined with the primary impact estimates, to calculate the number of annual additional notifications due to ending BCG vaccination. Based on data availability the model used a 5 year timestep.</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BodyText"/>
      </w:pPr>
      <w:r>
        <w:rPr>
          <w:b/>
        </w:rPr>
        <w:t xml:space="preserve">Original transmission chain model</w:t>
      </w:r>
    </w:p>
    <w:p>
      <w:pPr>
        <w:pStyle w:val="BodyText"/>
      </w:pPr>
      <w:r>
        <w:t xml:space="preserve">Sutherland et al defined their TB transmission model as follows: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rPr>
          <w:b/>
        </w:rPr>
        <w:t xml:space="preserve">Updating the transmission chain model</w:t>
      </w:r>
    </w:p>
    <w:p>
      <w:pPr>
        <w:pStyle w:val="BodyText"/>
      </w:pPr>
      <w:r>
        <w:t xml:space="preserve">Sutherland et al. incorrectly defined the total expected number of secondary notifications (</w:t>
      </w:r>
      <m:oMath>
        <m:r>
          <m:t>T</m:t>
        </m:r>
      </m:oMath>
      <w:r>
        <w:t xml:space="preserve">) as the initial generation size (</w:t>
      </w:r>
      <m:oMath>
        <m:r>
          <m:t>x</m:t>
        </m:r>
      </m:oMath>
      <w:r>
        <w:t xml:space="preserve">). To correct this we updated 1. to the following in our updated scenarios,</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This update meant that we could not estimate when secondary notifications occurred. We have therefore reported secondary notifications occuring in the same year as the primary notifications that caused them. Implementing the model required several assumptions not detailed in</w:t>
      </w:r>
      <w:r>
        <w:t xml:space="preserve"> </w:t>
      </w:r>
      <w:r>
        <w:t xml:space="preserve">[11]</w:t>
      </w:r>
      <w:r>
        <w:t xml:space="preserve"> </w:t>
      </w:r>
      <w:r>
        <w:t xml:space="preserve">these are discusssed in detail in the supplementary information.</w:t>
      </w:r>
    </w:p>
    <w:p>
      <w:pPr>
        <w:pStyle w:val="Heading2"/>
      </w:pPr>
      <w:bookmarkStart w:id="30" w:name="updating-model-parameter-estimates-and-incorporating-parameter-uncertainty"/>
      <w:bookmarkEnd w:id="30"/>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2013-2015.</w:t>
      </w:r>
    </w:p>
    <w:p>
      <w:pPr>
        <w:pStyle w:val="Heading2"/>
      </w:pPr>
      <w:bookmarkStart w:id="31" w:name="statistical-analysis"/>
      <w:bookmarkEnd w:id="31"/>
      <w:r>
        <w:t xml:space="preserve">Statistical analysis</w:t>
      </w:r>
    </w:p>
    <w:p>
      <w:pPr>
        <w:pStyle w:val="FirstParagraph"/>
      </w:pPr>
      <w:r>
        <w:t xml:space="preserve">For each scenario, we ran the model until 2028 with 10,000 parameter samples. We tested the difference between scenarios using the Mann-Whitney test for the number of vaccines needed to prevent a single case in 15 years after vaccination for a cohort aged 13-14 years old at vaccination.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2" w:name="patient-and-public-involvement"/>
      <w:bookmarkEnd w:id="32"/>
      <w:r>
        <w:t xml:space="preserve">Patient and public involvement</w:t>
      </w:r>
    </w:p>
    <w:p>
      <w:pPr>
        <w:pStyle w:val="FirstParagraph"/>
      </w:pPr>
      <w:r>
        <w:t xml:space="preserve">We did not involve patients or the public in the design or planning of this study.</w:t>
      </w:r>
    </w:p>
    <w:p>
      <w:pPr>
        <w:pStyle w:val="Heading1"/>
      </w:pPr>
      <w:bookmarkStart w:id="33" w:name="results"/>
      <w:bookmarkEnd w:id="33"/>
      <w:r>
        <w:t xml:space="preserve">Results</w:t>
      </w:r>
    </w:p>
    <w:p>
      <w:pPr>
        <w:pStyle w:val="Heading2"/>
      </w:pPr>
      <w:bookmarkStart w:id="34" w:name="model-validation"/>
      <w:bookmarkEnd w:id="34"/>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model and assumptions were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5" w:name="annual-change-in-tb-incidence-rates"/>
      <w:bookmarkEnd w:id="35"/>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6"/>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7" w:name="vaccines-required-to-prevent-a-single-notification"/>
      <w:bookmarkEnd w:id="37"/>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Assuming an annual decrease of 1.9% resulted in an</w:t>
      </w:r>
      <w:r>
        <w:t xml:space="preserve"> </w:t>
      </w:r>
      <w:r>
        <w:t xml:space="preserve">estimate of 1600 (2.5, 97.5% Q: 1300, 2000) vaccines required to a prevet a single notification in 2004. This assumption was the most comparable, although not equivalent, to estimates derived using notifications (1400 (2.5, 97.5% Q: 1100, 1700), P: 0.077) and age-specific incidence rates (1500 (2.5, 97.5% Q: 460, 4900), P: 0.083). The estimate using incidence rates had a high degree of uncertainty (figure 2). The number of vaccines required increased slightly over time with 1800 (2.5, 97.5% Q: 1500, 2200)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w:t>
      </w:r>
    </w:p>
    <w:p>
      <w:pPr>
        <w:pStyle w:val="Heading3"/>
      </w:pPr>
      <w:bookmarkStart w:id="39" w:name="average-annual-additional-cases-from-ending-the-bcg-schools-scheme-at-various-dates"/>
      <w:bookmarkEnd w:id="39"/>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primary additional notifications from stopping the BCG schools scheme when the annual decrease was assumed to be 9%. However, when these changes were combined with the updated transmission model we found that the impact of ending BCG vaccination was greater than previously reported with an increase in the number of estimated cases due to onwards transmission (supplementary table S3; supplementary table S4). These estimates were uncertain with 94 (2.5, 97.5% Q: 72, 119) additional annual notifications if vaccination was stopped in 2001. As the assumed annual decrease in incidence rates was reduced the annual number of additional notifications increased with 6099 (2.5, 97.5% Q: 4691, 7719) when the annual decrease was assumed to be 1.9% and vaccination stopped in 2001. The number of annual notifications reduced with time: 5314 (2.5, 97.5% Q: 4082, 6725) from ending vaccination in 2006; 4327 (2.5, 97.5% Q: 3315, 5496) from ending vaccination in 2011, and 2852 (2.5, 97.5% Q: 2074, 3741) from ending vaccination in 2016.</w:t>
      </w:r>
    </w:p>
    <w:p>
      <w:pPr>
        <w:pStyle w:val="FigureWithCaption"/>
      </w:pPr>
      <w:r>
        <w:drawing>
          <wp:inline>
            <wp:extent cx="5943600" cy="4457700"/>
            <wp:effectExtent b="0" l="0" r="0" t="0"/>
            <wp:docPr descr="Figure 3: Annual additional (stratified into primary and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(stratified into primary and secondary) notifications in 15-29 year olds from stopping the BCG schools scheme in 2006, and 2011 until 2028. The years presented were dictated by the 5 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summarises the output of 10,000 model simulations for each scenario. Secondary notifications are reported assuming they occurred in the same year as the primary notifications that caused them.</w:t>
      </w:r>
    </w:p>
    <w:p>
      <w:pPr>
        <w:pStyle w:val="Heading1"/>
      </w:pPr>
      <w:bookmarkStart w:id="41" w:name="discussion"/>
      <w:bookmarkEnd w:id="41"/>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additional notifications caused by ending BCG vaccination than previously reported. Further updating the model with the annual decrease in TB notifications based on both notifications and using age-specific incidence rates resulted in a decrease in the number of vaccines needed to prevent a single case in all years considered. A scenario with a 1.9% annual decrease in incidence rates was most comparable to our results based on notifications. Using this scenario we found that the number of additional notificatons from ending school age BCG vaccination was much greater than estimated using the scenario considered in Sutherland et al.</w:t>
      </w:r>
    </w:p>
    <w:p>
      <w:pPr>
        <w:pStyle w:val="BodyText"/>
      </w:pPr>
      <w:r>
        <w:t xml:space="preserve">This study reassesses a key piece of the quantitative evidence used to motivate the change in BCG vaccination policy in 2005. We found methodological flaws with this evidence which resulted in greatly reduced estimates of the impact of ending BCG vaccination when compared to our corrected model.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The methodological flaw we found in this model should be taken as a warning by policy makers. Modelling evidence can often be complex and difficult to reproduce, it is important that policy makers, or those who work with them, have the skills to assess it’s quality. This study also highlights the importance of including both parameter and measurement error, as excluding these sources of variation may lead to spuriously precise results. Spurious precision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2">
        <w:r>
          <w:rPr>
            <w:rStyle w:val="Hyperlink"/>
          </w:rPr>
          <w:t xml:space="preserve">https://doi.org/10.5281/zenodo.2635687</w:t>
        </w:r>
      </w:hyperlink>
    </w:p>
    <w:p>
      <w:pPr>
        <w:pStyle w:val="Heading1"/>
      </w:pPr>
      <w:bookmarkStart w:id="43" w:name="references"/>
      <w:bookmarkEnd w:id="43"/>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4">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45">
        <w:r>
          <w:rPr>
            <w:rStyle w:val="Hyperlink"/>
          </w:rPr>
          <w:t xml:space="preserve">10.1101/567511</w:t>
        </w:r>
      </w:hyperlink>
    </w:p>
    <w:p>
      <w:pPr>
        <w:pStyle w:val="Heading1"/>
      </w:pPr>
      <w:bookmarkStart w:id="46" w:name="abstract"/>
      <w:bookmarkEnd w:id="46"/>
      <w:r>
        <w:t xml:space="preserve">Abstract</w:t>
      </w:r>
    </w:p>
    <w:p>
      <w:pPr>
        <w:pStyle w:val="Heading2"/>
      </w:pPr>
      <w:bookmarkStart w:id="47" w:name="objectives"/>
      <w:bookmarkEnd w:id="47"/>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48" w:name="design"/>
      <w:bookmarkEnd w:id="48"/>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49" w:name="setting"/>
      <w:bookmarkEnd w:id="49"/>
      <w:r>
        <w:t xml:space="preserve">Setting</w:t>
      </w:r>
    </w:p>
    <w:p>
      <w:pPr>
        <w:pStyle w:val="FirstParagraph"/>
      </w:pPr>
      <w:r>
        <w:t xml:space="preserve">England and Wales.</w:t>
      </w:r>
    </w:p>
    <w:p>
      <w:pPr>
        <w:pStyle w:val="Heading2"/>
      </w:pPr>
      <w:bookmarkStart w:id="50" w:name="outcome-measures"/>
      <w:bookmarkEnd w:id="50"/>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51" w:name="results-1"/>
      <w:bookmarkEnd w:id="51"/>
      <w:r>
        <w:t xml:space="preserve">Results</w:t>
      </w:r>
    </w:p>
    <w:p>
      <w:pPr>
        <w:pStyle w:val="FirstParagraph"/>
      </w:pPr>
      <w:r>
        <w:t xml:space="preserve">The original model greatly underestimated the impact of ending school-age vaccination compared to our updated, corrected, model. The model produced predictions with wide confidence intervals when parameter uncertainty was included. Estimates were most comparable to notification data when an annual decrease in TB incidence rates of 1.9% was used. Using this assumption, we estimate that 1600 (2.5,97.5% Quantiles (Q): 1300, 2000) vaccines would have been required to prevent a single notification in 2004.</w:t>
      </w:r>
    </w:p>
    <w:p>
      <w:pPr>
        <w:pStyle w:val="Heading2"/>
      </w:pPr>
      <w:bookmarkStart w:id="52" w:name="conclusions"/>
      <w:bookmarkEnd w:id="52"/>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53" w:name="supplementary-information-reassessing-the-evidence-for-universal-school-age-bacillus-calmette-guerin-bcg-vaccination-in-england-and-wales"/>
      <w:bookmarkEnd w:id="53"/>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4" w:name="model-assumptions"/>
      <w:bookmarkEnd w:id="54"/>
      <w:r>
        <w:t xml:space="preserve">Model assumptions</w:t>
      </w:r>
    </w:p>
    <w:p>
      <w:pPr>
        <w:pStyle w:val="FirstParagraph"/>
      </w:pPr>
      <w:r>
        <w:t xml:space="preserve">The Sutherland et al. model required several additional assumptions on top of those detailed in the methods.</w:t>
      </w:r>
      <w:r>
        <w:t xml:space="preserve">[11]</w:t>
      </w:r>
      <w:r>
        <w:t xml:space="preserve"> </w:t>
      </w:r>
      <w:r>
        <w:t xml:space="preserve">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 This approach is only valid when using the original approach from</w:t>
      </w:r>
      <w:r>
        <w:t xml:space="preserve"> </w:t>
      </w:r>
      <w:r>
        <w:t xml:space="preserve">[11]</w:t>
      </w:r>
      <w:r>
        <w:t xml:space="preserve"> </w:t>
      </w:r>
      <w:r>
        <w:t xml:space="preserve">and so is only used here for validation.</w:t>
      </w:r>
    </w:p>
    <w:p>
      <w:pPr>
        <w:pStyle w:val="Heading2"/>
      </w:pPr>
      <w:bookmarkStart w:id="55" w:name="model-validation-1"/>
      <w:bookmarkEnd w:id="55"/>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 Our model produced estimates that were comparable with those from</w:t>
      </w:r>
      <w:r>
        <w:t xml:space="preserve"> </w:t>
      </w:r>
      <w:r>
        <w:t xml:space="preserve">[11]</w:t>
      </w:r>
      <w:r>
        <w:t xml:space="preserve">.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olds was 1.65% (2.5, 97.5% Q: -40.49%, 39.97%), 3.16% (2.5, 97.5% Q: -33.95%, 38.30%) for 20-24 year olds, and 2.63% (2.5, 97.5% Q: -36.28%, 37.17%) for 25-29 year olds. There was substantial variation between years and a high degree of uncertainty.</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6" w:name="results-2"/>
      <w:bookmarkEnd w:id="56"/>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850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860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900 (740, 1100)</w:t>
            </w:r>
          </w:p>
        </w:tc>
        <w:tc>
          <w:p>
            <w:pPr>
              <w:pStyle w:val="Compact"/>
              <w:jc w:val="left"/>
            </w:pPr>
            <w:r>
              <w:t xml:space="preserve">1000 (860, 1300)</w:t>
            </w:r>
          </w:p>
        </w:tc>
        <w:tc>
          <w:p>
            <w:pPr>
              <w:pStyle w:val="Compact"/>
              <w:jc w:val="left"/>
            </w:pPr>
            <w:r>
              <w:t xml:space="preserve">1100 (680, 1700)</w:t>
            </w:r>
          </w:p>
        </w:tc>
      </w:tr>
      <w:tr>
        <w:tc>
          <w:p>
            <w:pPr>
              <w:pStyle w:val="Compact"/>
              <w:jc w:val="right"/>
            </w:pPr>
            <w:r>
              <w:t xml:space="preserve">1984</w:t>
            </w:r>
          </w:p>
        </w:tc>
        <w:tc>
          <w:p>
            <w:pPr>
              <w:pStyle w:val="Compact"/>
              <w:jc w:val="left"/>
            </w:pPr>
            <w:r>
              <w:t xml:space="preserve">2200</w:t>
            </w:r>
          </w:p>
        </w:tc>
        <w:tc>
          <w:p>
            <w:pPr>
              <w:pStyle w:val="Compact"/>
              <w:jc w:val="left"/>
            </w:pPr>
            <w:r>
              <w:t xml:space="preserve">2200 (1800, 2900)</w:t>
            </w:r>
          </w:p>
        </w:tc>
        <w:tc>
          <w:p>
            <w:pPr>
              <w:pStyle w:val="Compact"/>
              <w:jc w:val="left"/>
            </w:pPr>
            <w:r>
              <w:t xml:space="preserve">1300 (1100, 1700)</w:t>
            </w:r>
          </w:p>
        </w:tc>
        <w:tc>
          <w:p>
            <w:pPr>
              <w:pStyle w:val="Compact"/>
              <w:jc w:val="left"/>
            </w:pPr>
            <w:r>
              <w:t xml:space="preserve">1100 (900, 1400)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1400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900 (740, 1100)</w:t>
            </w:r>
          </w:p>
        </w:tc>
        <w:tc>
          <w:p>
            <w:pPr>
              <w:pStyle w:val="Compact"/>
              <w:jc w:val="left"/>
            </w:pPr>
            <w:r>
              <w:t xml:space="preserve">1800 (1500, 2200)</w:t>
            </w:r>
          </w:p>
        </w:tc>
        <w:tc>
          <w:p>
            <w:pPr>
              <w:pStyle w:val="Compact"/>
              <w:jc w:val="left"/>
            </w:pPr>
            <w:r>
              <w:t xml:space="preserve">1700 (760, 3800)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7300)</w:t>
            </w:r>
          </w:p>
        </w:tc>
        <w:tc>
          <w:p>
            <w:pPr>
              <w:pStyle w:val="Compact"/>
              <w:jc w:val="left"/>
            </w:pPr>
            <w:r>
              <w:t xml:space="preserve">2000 (1600, 2500)</w:t>
            </w:r>
          </w:p>
        </w:tc>
        <w:tc>
          <w:p>
            <w:pPr>
              <w:pStyle w:val="Compact"/>
              <w:jc w:val="left"/>
            </w:pPr>
            <w:r>
              <w:t xml:space="preserve">1300 (1100, 1700)</w:t>
            </w:r>
          </w:p>
        </w:tc>
        <w:tc>
          <w:p>
            <w:pPr>
              <w:pStyle w:val="Compact"/>
              <w:jc w:val="left"/>
            </w:pPr>
            <w:r>
              <w:t xml:space="preserve">900 (740, 1100)</w:t>
            </w:r>
          </w:p>
        </w:tc>
        <w:tc>
          <w:p>
            <w:pPr>
              <w:pStyle w:val="Compact"/>
              <w:jc w:val="left"/>
            </w:pPr>
            <w:r>
              <w:t xml:space="preserve">1700 (1400, 2200)</w:t>
            </w:r>
          </w:p>
        </w:tc>
        <w:tc>
          <w:p>
            <w:pPr>
              <w:pStyle w:val="Compact"/>
              <w:jc w:val="left"/>
            </w:pPr>
            <w:r>
              <w:t xml:space="preserve">1600 (640, 4200)</w:t>
            </w:r>
          </w:p>
        </w:tc>
      </w:tr>
      <w:tr>
        <w:tc>
          <w:p>
            <w:pPr>
              <w:pStyle w:val="Compact"/>
              <w:jc w:val="right"/>
            </w:pPr>
            <w:r>
              <w:t xml:space="preserve">1999</w:t>
            </w:r>
          </w:p>
        </w:tc>
        <w:tc>
          <w:p>
            <w:pPr>
              <w:pStyle w:val="Compact"/>
              <w:jc w:val="left"/>
            </w:pPr>
            <w:r>
              <w:t xml:space="preserve">9300</w:t>
            </w:r>
          </w:p>
        </w:tc>
        <w:tc>
          <w:p>
            <w:pPr>
              <w:pStyle w:val="Compact"/>
              <w:jc w:val="left"/>
            </w:pPr>
            <w:r>
              <w:t xml:space="preserve">9200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900 (740, 1100)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2000)</w:t>
            </w:r>
          </w:p>
        </w:tc>
        <w:tc>
          <w:p>
            <w:pPr>
              <w:pStyle w:val="Compact"/>
              <w:jc w:val="left"/>
            </w:pPr>
            <w:r>
              <w:t xml:space="preserve">900 (740, 1100)</w:t>
            </w:r>
          </w:p>
        </w:tc>
        <w:tc>
          <w:p>
            <w:pPr>
              <w:pStyle w:val="Compact"/>
              <w:jc w:val="left"/>
            </w:pPr>
            <w:r>
              <w:t xml:space="preserve">1400 (1100, 1700)</w:t>
            </w:r>
          </w:p>
        </w:tc>
        <w:tc>
          <w:p>
            <w:pPr>
              <w:pStyle w:val="Compact"/>
              <w:jc w:val="left"/>
            </w:pPr>
            <w:r>
              <w:t xml:space="preserve">1500 (460, 4900)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3600 (3000, 4600)</w:t>
            </w:r>
          </w:p>
        </w:tc>
        <w:tc>
          <w:p>
            <w:pPr>
              <w:pStyle w:val="Compact"/>
              <w:jc w:val="left"/>
            </w:pPr>
            <w:r>
              <w:t xml:space="preserve">1800 (1500, 2200)</w:t>
            </w:r>
          </w:p>
        </w:tc>
        <w:tc>
          <w:p>
            <w:pPr>
              <w:pStyle w:val="Compact"/>
              <w:jc w:val="left"/>
            </w:pPr>
            <w:r>
              <w:t xml:space="preserve">900 (740, 1100)</w:t>
            </w:r>
          </w:p>
        </w:tc>
        <w:tc>
          <w:p>
            <w:pPr>
              <w:pStyle w:val="Compact"/>
              <w:jc w:val="left"/>
            </w:pPr>
            <w:r>
              <w:t xml:space="preserve">1200 (960, 1500)</w:t>
            </w:r>
          </w:p>
        </w:tc>
        <w:tc>
          <w:p>
            <w:pPr>
              <w:pStyle w:val="Compact"/>
              <w:jc w:val="left"/>
            </w:pPr>
            <w:r>
              <w:t xml:space="preserve">1200 (350,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48000)</w:t>
            </w:r>
          </w:p>
        </w:tc>
        <w:tc>
          <w:p>
            <w:pPr>
              <w:pStyle w:val="Compact"/>
              <w:jc w:val="left"/>
            </w:pPr>
            <w:r>
              <w:t xml:space="preserve">4500 (3600, 5600)</w:t>
            </w:r>
          </w:p>
        </w:tc>
        <w:tc>
          <w:p>
            <w:pPr>
              <w:pStyle w:val="Compact"/>
              <w:jc w:val="left"/>
            </w:pPr>
            <w:r>
              <w:t xml:space="preserve">2000 (1600, 2500)</w:t>
            </w:r>
          </w:p>
        </w:tc>
        <w:tc>
          <w:p>
            <w:pPr>
              <w:pStyle w:val="Compact"/>
              <w:jc w:val="left"/>
            </w:pPr>
            <w:r>
              <w:t xml:space="preserve">900 (740, 1100)</w:t>
            </w:r>
          </w:p>
        </w:tc>
        <w:tc>
          <w:p>
            <w:pPr>
              <w:pStyle w:val="Compact"/>
              <w:jc w:val="left"/>
            </w:pPr>
            <w:r>
              <w:t xml:space="preserve">1500 (1200, 1900)</w:t>
            </w:r>
          </w:p>
        </w:tc>
        <w:tc>
          <w:p>
            <w:pPr>
              <w:pStyle w:val="Compact"/>
              <w:jc w:val="left"/>
            </w:pPr>
            <w:r>
              <w:t xml:space="preserve">1500 (390,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900 (740, 1100)</w:t>
            </w:r>
          </w:p>
        </w:tc>
        <w:tc>
          <w:p>
            <w:pPr>
              <w:pStyle w:val="Compact"/>
              <w:jc w:val="left"/>
            </w:pPr>
            <w:r>
              <w:t xml:space="preserve">2100 (1800, 2700)</w:t>
            </w:r>
          </w:p>
        </w:tc>
        <w:tc>
          <w:p>
            <w:pPr>
              <w:pStyle w:val="Compact"/>
              <w:jc w:val="left"/>
            </w:pPr>
            <w:r>
              <w:t xml:space="preserve">2300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900 (740, 1100)</w:t>
            </w:r>
          </w:p>
        </w:tc>
        <w:tc>
          <w:p>
            <w:pPr>
              <w:pStyle w:val="Compact"/>
              <w:jc w:val="left"/>
            </w:pPr>
            <w:r>
              <w:t xml:space="preserve">3200 (2600, 4100)</w:t>
            </w:r>
          </w:p>
        </w:tc>
        <w:tc>
          <w:p>
            <w:pPr>
              <w:pStyle w:val="Compact"/>
              <w:jc w:val="left"/>
            </w:pPr>
            <w:r>
              <w:t xml:space="preserve">3300 (550, 18000)</w:t>
            </w:r>
          </w:p>
        </w:tc>
      </w:tr>
    </w:tbl>
    <w:p>
      <w:pPr>
        <w:pStyle w:val="TableCaption"/>
      </w:pPr>
      <w:r>
        <w:t xml:space="preserve">Supplementary Table S3: The median number (with the 2.5% and 97.% quantiles) of additional annual primary notifications due to ending the BCG schools scheme in selected years.</w:t>
      </w:r>
    </w:p>
    <w:tbl>
      <w:tblPr>
        <w:tblStyle w:val="TableNormal"/>
        <w:tblW w:type="pct" w:w="0.0"/>
        <w:tblLook w:firstRow="1"/>
        <w:tblCaption w:val="Supplementary Table S3: The median number (with the 2.5% and 97.% quantiles) of additional annual primary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111</w:t>
            </w:r>
          </w:p>
        </w:tc>
        <w:tc>
          <w:p>
            <w:pPr>
              <w:pStyle w:val="Compact"/>
              <w:jc w:val="left"/>
            </w:pPr>
            <w:r>
              <w:t xml:space="preserve">111 (88, 135)</w:t>
            </w:r>
          </w:p>
        </w:tc>
        <w:tc>
          <w:p>
            <w:pPr>
              <w:pStyle w:val="Compact"/>
              <w:jc w:val="left"/>
            </w:pPr>
            <w:r>
              <w:t xml:space="preserve">204 (161, 249)</w:t>
            </w:r>
          </w:p>
        </w:tc>
        <w:tc>
          <w:p>
            <w:pPr>
              <w:pStyle w:val="Compact"/>
              <w:jc w:val="left"/>
            </w:pPr>
            <w:r>
              <w:t xml:space="preserve">286 (226, 350)</w:t>
            </w:r>
          </w:p>
        </w:tc>
      </w:tr>
      <w:tr>
        <w:tc>
          <w:p>
            <w:pPr>
              <w:pStyle w:val="Compact"/>
              <w:jc w:val="left"/>
            </w:pPr>
            <w:r>
              <w:t xml:space="preserve">1976</w:t>
            </w:r>
          </w:p>
        </w:tc>
        <w:tc>
          <w:p>
            <w:pPr>
              <w:pStyle w:val="Compact"/>
              <w:jc w:val="left"/>
            </w:pPr>
            <w:r>
              <w:t xml:space="preserve">90</w:t>
            </w:r>
          </w:p>
        </w:tc>
        <w:tc>
          <w:p>
            <w:pPr>
              <w:pStyle w:val="Compact"/>
              <w:jc w:val="left"/>
            </w:pPr>
            <w:r>
              <w:t xml:space="preserve">90 (71, 110)</w:t>
            </w:r>
          </w:p>
        </w:tc>
        <w:tc>
          <w:p>
            <w:pPr>
              <w:pStyle w:val="Compact"/>
              <w:jc w:val="left"/>
            </w:pPr>
            <w:r>
              <w:t xml:space="preserve">187 (148, 229)</w:t>
            </w:r>
          </w:p>
        </w:tc>
        <w:tc>
          <w:p>
            <w:pPr>
              <w:pStyle w:val="Compact"/>
              <w:jc w:val="left"/>
            </w:pPr>
            <w:r>
              <w:t xml:space="preserve">276 (219, 337)</w:t>
            </w:r>
          </w:p>
        </w:tc>
      </w:tr>
      <w:tr>
        <w:tc>
          <w:p>
            <w:pPr>
              <w:pStyle w:val="Compact"/>
              <w:jc w:val="left"/>
            </w:pPr>
            <w:r>
              <w:t xml:space="preserve">1981</w:t>
            </w:r>
          </w:p>
        </w:tc>
        <w:tc>
          <w:p>
            <w:pPr>
              <w:pStyle w:val="Compact"/>
              <w:jc w:val="left"/>
            </w:pPr>
            <w:r>
              <w:t xml:space="preserve">55</w:t>
            </w:r>
          </w:p>
        </w:tc>
        <w:tc>
          <w:p>
            <w:pPr>
              <w:pStyle w:val="Compact"/>
              <w:jc w:val="left"/>
            </w:pPr>
            <w:r>
              <w:t xml:space="preserve">55 (44, 68)</w:t>
            </w:r>
          </w:p>
        </w:tc>
        <w:tc>
          <w:p>
            <w:pPr>
              <w:pStyle w:val="Compact"/>
              <w:jc w:val="left"/>
            </w:pPr>
            <w:r>
              <w:t xml:space="preserve">152 (120, 185)</w:t>
            </w:r>
          </w:p>
        </w:tc>
        <w:tc>
          <w:p>
            <w:pPr>
              <w:pStyle w:val="Compact"/>
              <w:jc w:val="left"/>
            </w:pPr>
            <w:r>
              <w:t xml:space="preserve">244 (193, 298)</w:t>
            </w:r>
          </w:p>
        </w:tc>
      </w:tr>
      <w:tr>
        <w:tc>
          <w:p>
            <w:pPr>
              <w:pStyle w:val="Compact"/>
              <w:jc w:val="left"/>
            </w:pPr>
            <w:r>
              <w:t xml:space="preserve">1986</w:t>
            </w:r>
          </w:p>
        </w:tc>
        <w:tc>
          <w:p>
            <w:pPr>
              <w:pStyle w:val="Compact"/>
              <w:jc w:val="left"/>
            </w:pPr>
            <w:r>
              <w:t xml:space="preserve">35</w:t>
            </w:r>
          </w:p>
        </w:tc>
        <w:tc>
          <w:p>
            <w:pPr>
              <w:pStyle w:val="Compact"/>
              <w:jc w:val="left"/>
            </w:pPr>
            <w:r>
              <w:t xml:space="preserve">35 (28, 43)</w:t>
            </w:r>
          </w:p>
        </w:tc>
        <w:tc>
          <w:p>
            <w:pPr>
              <w:pStyle w:val="Compact"/>
              <w:jc w:val="left"/>
            </w:pPr>
            <w:r>
              <w:t xml:space="preserve">125 (99, 152)</w:t>
            </w:r>
          </w:p>
        </w:tc>
        <w:tc>
          <w:p>
            <w:pPr>
              <w:pStyle w:val="Compact"/>
              <w:jc w:val="left"/>
            </w:pPr>
            <w:r>
              <w:t xml:space="preserve">218 (172, 266)</w:t>
            </w:r>
          </w:p>
        </w:tc>
      </w:tr>
      <w:tr>
        <w:tc>
          <w:p>
            <w:pPr>
              <w:pStyle w:val="Compact"/>
              <w:jc w:val="left"/>
            </w:pPr>
            <w:r>
              <w:t xml:space="preserve">1991</w:t>
            </w:r>
          </w:p>
        </w:tc>
        <w:tc>
          <w:p>
            <w:pPr>
              <w:pStyle w:val="Compact"/>
              <w:jc w:val="left"/>
            </w:pPr>
            <w:r>
              <w:t xml:space="preserve">25</w:t>
            </w:r>
          </w:p>
        </w:tc>
        <w:tc>
          <w:p>
            <w:pPr>
              <w:pStyle w:val="Compact"/>
              <w:jc w:val="left"/>
            </w:pPr>
            <w:r>
              <w:t xml:space="preserve">25 (19, 30)</w:t>
            </w:r>
          </w:p>
        </w:tc>
        <w:tc>
          <w:p>
            <w:pPr>
              <w:pStyle w:val="Compact"/>
              <w:jc w:val="left"/>
            </w:pPr>
            <w:r>
              <w:t xml:space="preserve">109 (86, 133)</w:t>
            </w:r>
          </w:p>
        </w:tc>
        <w:tc>
          <w:p>
            <w:pPr>
              <w:pStyle w:val="Compact"/>
              <w:jc w:val="left"/>
            </w:pPr>
            <w:r>
              <w:t xml:space="preserve">203 (161, 247)</w:t>
            </w:r>
          </w:p>
        </w:tc>
      </w:tr>
      <w:tr>
        <w:tc>
          <w:p>
            <w:pPr>
              <w:pStyle w:val="Compact"/>
              <w:jc w:val="left"/>
            </w:pPr>
            <w:r>
              <w:t xml:space="preserve">1996</w:t>
            </w:r>
          </w:p>
        </w:tc>
        <w:tc>
          <w:p>
            <w:pPr>
              <w:pStyle w:val="Compact"/>
              <w:jc w:val="left"/>
            </w:pPr>
            <w:r>
              <w:t xml:space="preserve">17</w:t>
            </w:r>
          </w:p>
        </w:tc>
        <w:tc>
          <w:p>
            <w:pPr>
              <w:pStyle w:val="Compact"/>
              <w:jc w:val="left"/>
            </w:pPr>
            <w:r>
              <w:t xml:space="preserve">17 (13, 21)</w:t>
            </w:r>
          </w:p>
        </w:tc>
        <w:tc>
          <w:p>
            <w:pPr>
              <w:pStyle w:val="Compact"/>
              <w:jc w:val="left"/>
            </w:pPr>
            <w:r>
              <w:t xml:space="preserve">93 (74, 114)</w:t>
            </w:r>
          </w:p>
        </w:tc>
        <w:tc>
          <w:p>
            <w:pPr>
              <w:pStyle w:val="Compact"/>
              <w:jc w:val="left"/>
            </w:pPr>
            <w:r>
              <w:t xml:space="preserve">185 (147, 225)</w:t>
            </w:r>
          </w:p>
        </w:tc>
      </w:tr>
      <w:tr>
        <w:tc>
          <w:p>
            <w:pPr>
              <w:pStyle w:val="Compact"/>
              <w:jc w:val="left"/>
            </w:pPr>
            <w:r>
              <w:t xml:space="preserve">2001</w:t>
            </w:r>
          </w:p>
        </w:tc>
        <w:tc>
          <w:p>
            <w:pPr>
              <w:pStyle w:val="Compact"/>
              <w:jc w:val="left"/>
            </w:pPr>
            <w:r>
              <w:t xml:space="preserve">12</w:t>
            </w:r>
          </w:p>
        </w:tc>
        <w:tc>
          <w:p>
            <w:pPr>
              <w:pStyle w:val="Compact"/>
              <w:jc w:val="left"/>
            </w:pPr>
            <w:r>
              <w:t xml:space="preserve">12 (9, 15)</w:t>
            </w:r>
          </w:p>
        </w:tc>
        <w:tc>
          <w:p>
            <w:pPr>
              <w:pStyle w:val="Compact"/>
              <w:jc w:val="left"/>
            </w:pPr>
            <w:r>
              <w:t xml:space="preserve">79 (62, 96)</w:t>
            </w:r>
          </w:p>
        </w:tc>
        <w:tc>
          <w:p>
            <w:pPr>
              <w:pStyle w:val="Compact"/>
              <w:jc w:val="left"/>
            </w:pPr>
            <w:r>
              <w:t xml:space="preserve">166 (132, 203)</w:t>
            </w:r>
          </w:p>
        </w:tc>
      </w:tr>
      <w:tr>
        <w:tc>
          <w:p>
            <w:pPr>
              <w:pStyle w:val="Compact"/>
              <w:jc w:val="left"/>
            </w:pPr>
            <w:r>
              <w:t xml:space="preserve">2006</w:t>
            </w:r>
          </w:p>
        </w:tc>
        <w:tc>
          <w:p>
            <w:pPr>
              <w:pStyle w:val="Compact"/>
              <w:jc w:val="left"/>
            </w:pPr>
            <w:r>
              <w:t xml:space="preserve">8</w:t>
            </w:r>
          </w:p>
        </w:tc>
        <w:tc>
          <w:p>
            <w:pPr>
              <w:pStyle w:val="Compact"/>
              <w:jc w:val="left"/>
            </w:pPr>
            <w:r>
              <w:t xml:space="preserve">8 (6, 10)</w:t>
            </w:r>
          </w:p>
        </w:tc>
        <w:tc>
          <w:p>
            <w:pPr>
              <w:pStyle w:val="Compact"/>
              <w:jc w:val="left"/>
            </w:pPr>
            <w:r>
              <w:t xml:space="preserve">65 (51, 79)</w:t>
            </w:r>
          </w:p>
        </w:tc>
        <w:tc>
          <w:p>
            <w:pPr>
              <w:pStyle w:val="Compact"/>
              <w:jc w:val="left"/>
            </w:pPr>
            <w:r>
              <w:t xml:space="preserve">145 (115, 177)</w:t>
            </w:r>
          </w:p>
        </w:tc>
      </w:tr>
      <w:tr>
        <w:tc>
          <w:p>
            <w:pPr>
              <w:pStyle w:val="Compact"/>
              <w:jc w:val="left"/>
            </w:pPr>
            <w:r>
              <w:t xml:space="preserve">2011</w:t>
            </w:r>
          </w:p>
        </w:tc>
        <w:tc>
          <w:p>
            <w:pPr>
              <w:pStyle w:val="Compact"/>
              <w:jc w:val="left"/>
            </w:pPr>
            <w:r>
              <w:t xml:space="preserve">6</w:t>
            </w:r>
          </w:p>
        </w:tc>
        <w:tc>
          <w:p>
            <w:pPr>
              <w:pStyle w:val="Compact"/>
              <w:jc w:val="left"/>
            </w:pPr>
            <w:r>
              <w:t xml:space="preserve">5 (4, 7)</w:t>
            </w:r>
          </w:p>
        </w:tc>
        <w:tc>
          <w:p>
            <w:pPr>
              <w:pStyle w:val="Compact"/>
              <w:jc w:val="left"/>
            </w:pPr>
            <w:r>
              <w:t xml:space="preserve">50 (39, 62)</w:t>
            </w:r>
          </w:p>
        </w:tc>
        <w:tc>
          <w:p>
            <w:pPr>
              <w:pStyle w:val="Compact"/>
              <w:jc w:val="left"/>
            </w:pPr>
            <w:r>
              <w:t xml:space="preserve">118 (92, 145)</w:t>
            </w:r>
          </w:p>
        </w:tc>
      </w:tr>
      <w:tr>
        <w:tc>
          <w:p>
            <w:pPr>
              <w:pStyle w:val="Compact"/>
              <w:jc w:val="left"/>
            </w:pPr>
            <w:r>
              <w:t xml:space="preserve">2016</w:t>
            </w:r>
          </w:p>
        </w:tc>
        <w:tc>
          <w:p>
            <w:pPr>
              <w:pStyle w:val="Compact"/>
              <w:jc w:val="left"/>
            </w:pPr>
            <w:r>
              <w:t xml:space="preserve">3</w:t>
            </w:r>
          </w:p>
        </w:tc>
        <w:tc>
          <w:p>
            <w:pPr>
              <w:pStyle w:val="Compact"/>
              <w:jc w:val="left"/>
            </w:pPr>
            <w:r>
              <w:t xml:space="preserve">3 (2, 4)</w:t>
            </w:r>
          </w:p>
        </w:tc>
        <w:tc>
          <w:p>
            <w:pPr>
              <w:pStyle w:val="Compact"/>
              <w:jc w:val="left"/>
            </w:pPr>
            <w:r>
              <w:t xml:space="preserve">32 (23, 40)</w:t>
            </w:r>
          </w:p>
        </w:tc>
        <w:tc>
          <w:p>
            <w:pPr>
              <w:pStyle w:val="Compact"/>
              <w:jc w:val="left"/>
            </w:pPr>
            <w:r>
              <w:t xml:space="preserve">78 (58, 99)</w:t>
            </w:r>
          </w:p>
        </w:tc>
      </w:tr>
      <w:tr>
        <w:tc>
          <w:p>
            <w:pPr>
              <w:pStyle w:val="Compact"/>
              <w:jc w:val="left"/>
            </w:pPr>
            <w:r>
              <w:t xml:space="preserve">2021</w:t>
            </w:r>
          </w:p>
        </w:tc>
        <w:tc>
          <w:p>
            <w:pPr>
              <w:pStyle w:val="Compact"/>
              <w:jc w:val="left"/>
            </w:pPr>
            <w:r>
              <w:t xml:space="preserve">1</w:t>
            </w:r>
          </w:p>
        </w:tc>
        <w:tc>
          <w:p>
            <w:pPr>
              <w:pStyle w:val="Compact"/>
              <w:jc w:val="left"/>
            </w:pPr>
            <w:r>
              <w:t xml:space="preserve">1 (1, 2)</w:t>
            </w:r>
          </w:p>
        </w:tc>
        <w:tc>
          <w:p>
            <w:pPr>
              <w:pStyle w:val="Compact"/>
              <w:jc w:val="left"/>
            </w:pPr>
            <w:r>
              <w:t xml:space="preserve">15 (9, 21)</w:t>
            </w:r>
          </w:p>
        </w:tc>
        <w:tc>
          <w:p>
            <w:pPr>
              <w:pStyle w:val="Compact"/>
              <w:jc w:val="left"/>
            </w:pPr>
            <w:r>
              <w:t xml:space="preserve">39 (24, 54)</w:t>
            </w:r>
          </w:p>
        </w:tc>
      </w:tr>
    </w:tbl>
    <w:p>
      <w:pPr>
        <w:pStyle w:val="TableCaption"/>
      </w:pPr>
      <w:r>
        <w:t xml:space="preserve">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TableNormal"/>
        <w:tblW w:type="pct" w:w="0.0"/>
        <w:tblLook w:firstRow="1"/>
        <w:tblCaption w:val="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r>
      <w:tr>
        <w:tc>
          <w:p>
            <w:pPr>
              <w:pStyle w:val="Compact"/>
              <w:jc w:val="left"/>
            </w:pPr>
            <w:r>
              <w:t xml:space="preserve">1971</w:t>
            </w:r>
          </w:p>
        </w:tc>
        <w:tc>
          <w:p>
            <w:pPr>
              <w:pStyle w:val="Compact"/>
              <w:jc w:val="left"/>
            </w:pPr>
            <w:r>
              <w:t xml:space="preserve">107</w:t>
            </w:r>
          </w:p>
        </w:tc>
        <w:tc>
          <w:p>
            <w:pPr>
              <w:pStyle w:val="Compact"/>
              <w:jc w:val="left"/>
            </w:pPr>
            <w:r>
              <w:t xml:space="preserve">889 (702, 1115)</w:t>
            </w:r>
          </w:p>
        </w:tc>
        <w:tc>
          <w:p>
            <w:pPr>
              <w:pStyle w:val="Compact"/>
              <w:jc w:val="left"/>
            </w:pPr>
            <w:r>
              <w:t xml:space="preserve">3760 (2945, 4735)</w:t>
            </w:r>
          </w:p>
        </w:tc>
        <w:tc>
          <w:p>
            <w:pPr>
              <w:pStyle w:val="Compact"/>
              <w:jc w:val="left"/>
            </w:pPr>
            <w:r>
              <w:t xml:space="preserve">10855 (8454, 13697)</w:t>
            </w:r>
          </w:p>
        </w:tc>
      </w:tr>
      <w:tr>
        <w:tc>
          <w:p>
            <w:pPr>
              <w:pStyle w:val="Compact"/>
              <w:jc w:val="left"/>
            </w:pPr>
            <w:r>
              <w:t xml:space="preserve">1976</w:t>
            </w:r>
          </w:p>
        </w:tc>
        <w:tc>
          <w:p>
            <w:pPr>
              <w:pStyle w:val="Compact"/>
              <w:jc w:val="left"/>
            </w:pPr>
            <w:r>
              <w:t xml:space="preserve">74</w:t>
            </w:r>
          </w:p>
        </w:tc>
        <w:tc>
          <w:p>
            <w:pPr>
              <w:pStyle w:val="Compact"/>
              <w:jc w:val="left"/>
            </w:pPr>
            <w:r>
              <w:t xml:space="preserve">616 (472, 786)</w:t>
            </w:r>
          </w:p>
        </w:tc>
        <w:tc>
          <w:p>
            <w:pPr>
              <w:pStyle w:val="Compact"/>
              <w:jc w:val="left"/>
            </w:pPr>
            <w:r>
              <w:t xml:space="preserve">3179 (2439, 4045)</w:t>
            </w:r>
          </w:p>
        </w:tc>
        <w:tc>
          <w:p>
            <w:pPr>
              <w:pStyle w:val="Compact"/>
              <w:jc w:val="left"/>
            </w:pPr>
            <w:r>
              <w:t xml:space="preserve">9852 (7584, 12514)</w:t>
            </w:r>
          </w:p>
        </w:tc>
      </w:tr>
      <w:tr>
        <w:tc>
          <w:p>
            <w:pPr>
              <w:pStyle w:val="Compact"/>
              <w:jc w:val="left"/>
            </w:pPr>
            <w:r>
              <w:t xml:space="preserve">1981</w:t>
            </w:r>
          </w:p>
        </w:tc>
        <w:tc>
          <w:p>
            <w:pPr>
              <w:pStyle w:val="Compact"/>
              <w:jc w:val="left"/>
            </w:pPr>
            <w:r>
              <w:t xml:space="preserve">46</w:t>
            </w:r>
          </w:p>
        </w:tc>
        <w:tc>
          <w:p>
            <w:pPr>
              <w:pStyle w:val="Compact"/>
              <w:jc w:val="left"/>
            </w:pPr>
            <w:r>
              <w:t xml:space="preserve">380 (291, 485)</w:t>
            </w:r>
          </w:p>
        </w:tc>
        <w:tc>
          <w:p>
            <w:pPr>
              <w:pStyle w:val="Compact"/>
              <w:jc w:val="left"/>
            </w:pPr>
            <w:r>
              <w:t xml:space="preserve">2575 (1976, 3275)</w:t>
            </w:r>
          </w:p>
        </w:tc>
        <w:tc>
          <w:p>
            <w:pPr>
              <w:pStyle w:val="Compact"/>
              <w:jc w:val="left"/>
            </w:pPr>
            <w:r>
              <w:t xml:space="preserve">8705 (6703, 11063)</w:t>
            </w:r>
          </w:p>
        </w:tc>
      </w:tr>
      <w:tr>
        <w:tc>
          <w:p>
            <w:pPr>
              <w:pStyle w:val="Compact"/>
              <w:jc w:val="left"/>
            </w:pPr>
            <w:r>
              <w:t xml:space="preserve">1986</w:t>
            </w:r>
          </w:p>
        </w:tc>
        <w:tc>
          <w:p>
            <w:pPr>
              <w:pStyle w:val="Compact"/>
              <w:jc w:val="left"/>
            </w:pPr>
            <w:r>
              <w:t xml:space="preserve">29</w:t>
            </w:r>
          </w:p>
        </w:tc>
        <w:tc>
          <w:p>
            <w:pPr>
              <w:pStyle w:val="Compact"/>
              <w:jc w:val="left"/>
            </w:pPr>
            <w:r>
              <w:t xml:space="preserve">240 (184, 306)</w:t>
            </w:r>
          </w:p>
        </w:tc>
        <w:tc>
          <w:p>
            <w:pPr>
              <w:pStyle w:val="Compact"/>
              <w:jc w:val="left"/>
            </w:pPr>
            <w:r>
              <w:t xml:space="preserve">2118 (1625, 2693)</w:t>
            </w:r>
          </w:p>
        </w:tc>
        <w:tc>
          <w:p>
            <w:pPr>
              <w:pStyle w:val="Compact"/>
              <w:jc w:val="left"/>
            </w:pPr>
            <w:r>
              <w:t xml:space="preserve">7772 (5980, 9874)</w:t>
            </w:r>
          </w:p>
        </w:tc>
      </w:tr>
      <w:tr>
        <w:tc>
          <w:p>
            <w:pPr>
              <w:pStyle w:val="Compact"/>
              <w:jc w:val="left"/>
            </w:pPr>
            <w:r>
              <w:t xml:space="preserve">1991</w:t>
            </w:r>
          </w:p>
        </w:tc>
        <w:tc>
          <w:p>
            <w:pPr>
              <w:pStyle w:val="Compact"/>
              <w:jc w:val="left"/>
            </w:pPr>
            <w:r>
              <w:t xml:space="preserve">20</w:t>
            </w:r>
          </w:p>
        </w:tc>
        <w:tc>
          <w:p>
            <w:pPr>
              <w:pStyle w:val="Compact"/>
              <w:jc w:val="left"/>
            </w:pPr>
            <w:r>
              <w:t xml:space="preserve">169 (130, 216)</w:t>
            </w:r>
          </w:p>
        </w:tc>
        <w:tc>
          <w:p>
            <w:pPr>
              <w:pStyle w:val="Compact"/>
              <w:jc w:val="left"/>
            </w:pPr>
            <w:r>
              <w:t xml:space="preserve">1848 (1417, 2348)</w:t>
            </w:r>
          </w:p>
        </w:tc>
        <w:tc>
          <w:p>
            <w:pPr>
              <w:pStyle w:val="Compact"/>
              <w:jc w:val="left"/>
            </w:pPr>
            <w:r>
              <w:t xml:space="preserve">7229 (5553, 9185)</w:t>
            </w:r>
          </w:p>
        </w:tc>
      </w:tr>
      <w:tr>
        <w:tc>
          <w:p>
            <w:pPr>
              <w:pStyle w:val="Compact"/>
              <w:jc w:val="left"/>
            </w:pPr>
            <w:r>
              <w:t xml:space="preserve">1996</w:t>
            </w:r>
          </w:p>
        </w:tc>
        <w:tc>
          <w:p>
            <w:pPr>
              <w:pStyle w:val="Compact"/>
              <w:jc w:val="left"/>
            </w:pPr>
            <w:r>
              <w:t xml:space="preserve">14</w:t>
            </w:r>
          </w:p>
        </w:tc>
        <w:tc>
          <w:p>
            <w:pPr>
              <w:pStyle w:val="Compact"/>
              <w:jc w:val="left"/>
            </w:pPr>
            <w:r>
              <w:t xml:space="preserve">118 (90, 150)</w:t>
            </w:r>
          </w:p>
        </w:tc>
        <w:tc>
          <w:p>
            <w:pPr>
              <w:pStyle w:val="Compact"/>
              <w:jc w:val="left"/>
            </w:pPr>
            <w:r>
              <w:t xml:space="preserve">1583 (1214, 2008)</w:t>
            </w:r>
          </w:p>
        </w:tc>
        <w:tc>
          <w:p>
            <w:pPr>
              <w:pStyle w:val="Compact"/>
              <w:jc w:val="left"/>
            </w:pPr>
            <w:r>
              <w:t xml:space="preserve">6602 (5072, 8385)</w:t>
            </w:r>
          </w:p>
        </w:tc>
      </w:tr>
      <w:tr>
        <w:tc>
          <w:p>
            <w:pPr>
              <w:pStyle w:val="Compact"/>
              <w:jc w:val="left"/>
            </w:pPr>
            <w:r>
              <w:t xml:space="preserve">2001</w:t>
            </w:r>
          </w:p>
        </w:tc>
        <w:tc>
          <w:p>
            <w:pPr>
              <w:pStyle w:val="Compact"/>
              <w:jc w:val="left"/>
            </w:pPr>
            <w:r>
              <w:t xml:space="preserve">10</w:t>
            </w:r>
          </w:p>
        </w:tc>
        <w:tc>
          <w:p>
            <w:pPr>
              <w:pStyle w:val="Compact"/>
              <w:jc w:val="left"/>
            </w:pPr>
            <w:r>
              <w:t xml:space="preserve">82 (62, 104)</w:t>
            </w:r>
          </w:p>
        </w:tc>
        <w:tc>
          <w:p>
            <w:pPr>
              <w:pStyle w:val="Compact"/>
              <w:jc w:val="left"/>
            </w:pPr>
            <w:r>
              <w:t xml:space="preserve">1338 (1026, 1697)</w:t>
            </w:r>
          </w:p>
        </w:tc>
        <w:tc>
          <w:p>
            <w:pPr>
              <w:pStyle w:val="Compact"/>
              <w:jc w:val="left"/>
            </w:pPr>
            <w:r>
              <w:t xml:space="preserve">5933 (4553, 7522)</w:t>
            </w:r>
          </w:p>
        </w:tc>
      </w:tr>
      <w:tr>
        <w:tc>
          <w:p>
            <w:pPr>
              <w:pStyle w:val="Compact"/>
              <w:jc w:val="left"/>
            </w:pPr>
            <w:r>
              <w:t xml:space="preserve">2006</w:t>
            </w:r>
          </w:p>
        </w:tc>
        <w:tc>
          <w:p>
            <w:pPr>
              <w:pStyle w:val="Compact"/>
              <w:jc w:val="left"/>
            </w:pPr>
            <w:r>
              <w:t xml:space="preserve">7</w:t>
            </w:r>
          </w:p>
        </w:tc>
        <w:tc>
          <w:p>
            <w:pPr>
              <w:pStyle w:val="Compact"/>
              <w:jc w:val="left"/>
            </w:pPr>
            <w:r>
              <w:t xml:space="preserve">56 (43, 72)</w:t>
            </w:r>
          </w:p>
        </w:tc>
        <w:tc>
          <w:p>
            <w:pPr>
              <w:pStyle w:val="Compact"/>
              <w:jc w:val="left"/>
            </w:pPr>
            <w:r>
              <w:t xml:space="preserve">1101 (843, 1397)</w:t>
            </w:r>
          </w:p>
        </w:tc>
        <w:tc>
          <w:p>
            <w:pPr>
              <w:pStyle w:val="Compact"/>
              <w:jc w:val="left"/>
            </w:pPr>
            <w:r>
              <w:t xml:space="preserve">5168 (3965, 6554)</w:t>
            </w:r>
          </w:p>
        </w:tc>
      </w:tr>
      <w:tr>
        <w:tc>
          <w:p>
            <w:pPr>
              <w:pStyle w:val="Compact"/>
              <w:jc w:val="left"/>
            </w:pPr>
            <w:r>
              <w:t xml:space="preserve">2011</w:t>
            </w:r>
          </w:p>
        </w:tc>
        <w:tc>
          <w:p>
            <w:pPr>
              <w:pStyle w:val="Compact"/>
              <w:jc w:val="left"/>
            </w:pPr>
            <w:r>
              <w:t xml:space="preserve">4</w:t>
            </w:r>
          </w:p>
        </w:tc>
        <w:tc>
          <w:p>
            <w:pPr>
              <w:pStyle w:val="Compact"/>
              <w:jc w:val="left"/>
            </w:pPr>
            <w:r>
              <w:t xml:space="preserve">37 (28, 48)</w:t>
            </w:r>
          </w:p>
        </w:tc>
        <w:tc>
          <w:p>
            <w:pPr>
              <w:pStyle w:val="Compact"/>
              <w:jc w:val="left"/>
            </w:pPr>
            <w:r>
              <w:t xml:space="preserve">851 (647, 1086)</w:t>
            </w:r>
          </w:p>
        </w:tc>
        <w:tc>
          <w:p>
            <w:pPr>
              <w:pStyle w:val="Compact"/>
              <w:jc w:val="left"/>
            </w:pPr>
            <w:r>
              <w:t xml:space="preserve">4209 (3221, 5357)</w:t>
            </w:r>
          </w:p>
        </w:tc>
      </w:tr>
      <w:tr>
        <w:tc>
          <w:p>
            <w:pPr>
              <w:pStyle w:val="Compact"/>
              <w:jc w:val="left"/>
            </w:pPr>
            <w:r>
              <w:t xml:space="preserve">2016</w:t>
            </w:r>
          </w:p>
        </w:tc>
        <w:tc>
          <w:p>
            <w:pPr>
              <w:pStyle w:val="Compact"/>
              <w:jc w:val="left"/>
            </w:pPr>
            <w:r>
              <w:t xml:space="preserve">2</w:t>
            </w:r>
          </w:p>
        </w:tc>
        <w:tc>
          <w:p>
            <w:pPr>
              <w:pStyle w:val="Compact"/>
              <w:jc w:val="left"/>
            </w:pPr>
            <w:r>
              <w:t xml:space="preserve">21 (15, 28)</w:t>
            </w:r>
          </w:p>
        </w:tc>
        <w:tc>
          <w:p>
            <w:pPr>
              <w:pStyle w:val="Compact"/>
              <w:jc w:val="left"/>
            </w:pPr>
            <w:r>
              <w:t xml:space="preserve">539 (391, 710)</w:t>
            </w:r>
          </w:p>
        </w:tc>
        <w:tc>
          <w:p>
            <w:pPr>
              <w:pStyle w:val="Compact"/>
              <w:jc w:val="left"/>
            </w:pPr>
            <w:r>
              <w:t xml:space="preserve">2772 (2015, 3642)</w:t>
            </w:r>
          </w:p>
        </w:tc>
      </w:tr>
      <w:tr>
        <w:tc>
          <w:p>
            <w:pPr>
              <w:pStyle w:val="Compact"/>
              <w:jc w:val="left"/>
            </w:pPr>
            <w:r>
              <w:t xml:space="preserve">2021</w:t>
            </w:r>
          </w:p>
        </w:tc>
        <w:tc>
          <w:p>
            <w:pPr>
              <w:pStyle w:val="Compact"/>
              <w:jc w:val="left"/>
            </w:pPr>
            <w:r>
              <w:t xml:space="preserve">1</w:t>
            </w:r>
          </w:p>
        </w:tc>
        <w:tc>
          <w:p>
            <w:pPr>
              <w:pStyle w:val="Compact"/>
              <w:jc w:val="left"/>
            </w:pPr>
            <w:r>
              <w:t xml:space="preserve">9 (6, 13)</w:t>
            </w:r>
          </w:p>
        </w:tc>
        <w:tc>
          <w:p>
            <w:pPr>
              <w:pStyle w:val="Compact"/>
              <w:jc w:val="left"/>
            </w:pPr>
            <w:r>
              <w:t xml:space="preserve">257 (160, 370)</w:t>
            </w:r>
          </w:p>
        </w:tc>
        <w:tc>
          <w:p>
            <w:pPr>
              <w:pStyle w:val="Compact"/>
              <w:jc w:val="left"/>
            </w:pPr>
            <w:r>
              <w:t xml:space="preserve">1368 (853, 1966)</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4156e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8a3d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bc657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c98286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8f3890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hyperlink" Id="rId45" Target="https://doi.org/10.1101/567511" TargetMode="External" /><Relationship Type="http://schemas.openxmlformats.org/officeDocument/2006/relationships/hyperlink" Id="rId42" Target="https://doi.org/10.5281/zenodo.2635687" TargetMode="External" /><Relationship Type="http://schemas.openxmlformats.org/officeDocument/2006/relationships/hyperlink" Id="rId44"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101/567511" TargetMode="External" /><Relationship Type="http://schemas.openxmlformats.org/officeDocument/2006/relationships/hyperlink" Id="rId42" Target="https://doi.org/10.5281/zenodo.2635687" TargetMode="External" /><Relationship Type="http://schemas.openxmlformats.org/officeDocument/2006/relationships/hyperlink" Id="rId44"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2019-10-07T14:58:33Z</dcterms:created>
  <dcterms:modified xsi:type="dcterms:W3CDTF">2019-10-07T14:58:33Z</dcterms:modified>
</cp:coreProperties>
</file>