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pStyle w:val="Compact"/>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pStyle w:val="FirstParagraph"/>
      </w:pPr>
      <w:r>
        <w:rPr>
          <w:i/>
        </w:rPr>
        <w:t xml:space="preserve">We have reviewed all abbreviations and added definitions where missing. Tables and footers have been checked for abbreviations without explanations and these have been added when missing. We added missing explanations for the abbreviations in the abstract</w:t>
      </w:r>
    </w:p>
    <w:p>
      <w:pPr>
        <w:pStyle w:val="Compact"/>
        <w:numPr>
          <w:numId w:val="1002"/>
          <w:ilvl w:val="0"/>
        </w:numPr>
      </w:pPr>
      <w:r>
        <w:t xml:space="preserve">If possible, please use square brackets for the references with the punctuation following the reference.</w:t>
      </w:r>
    </w:p>
    <w:p>
      <w:pPr>
        <w:pStyle w:val="FirstParagraph"/>
      </w:pPr>
      <w:r>
        <w:rPr>
          <w:i/>
        </w:rPr>
        <w:t xml:space="preserve">We have moved to using square brackets and moved to punctuation following the reference.</w:t>
      </w:r>
    </w:p>
    <w:p>
      <w:pPr>
        <w:pStyle w:val="Compact"/>
        <w:numPr>
          <w:numId w:val="1003"/>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pStyle w:val="FirstParagraph"/>
      </w:pPr>
      <w:r>
        <w:rPr>
          <w:i/>
        </w:rPr>
        <w:t xml:space="preserve">We have re-formatted the tables to limit empty cells while still clearly imparting The correct information. Where fields do not contain data we have indicated this with a dash (-) and only used NA for missing data in the conventional sense. Having this information in a single table allows for easier between model comparisons which we feel is essential to the presentation of our results. We have also included all results in csv form for readers who wish to use our results programmatically. We have clarified this in the data availability section. However, we are happy to alter the table design if we can preserve the clarity of the results presentation.</w:t>
      </w:r>
    </w:p>
    <w:p>
      <w:pPr>
        <w:pStyle w:val="Compact"/>
        <w:numPr>
          <w:numId w:val="1004"/>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pStyle w:val="FirstParagraph"/>
      </w:pPr>
      <w:r>
        <w:rPr>
          <w:i/>
        </w:rPr>
        <w:t xml:space="preserve">We have added location and temporal information to all tables/figures. As this was a retrospective whole population based study based on surveillance data, sample sizes are not useful in this instance (as they are the whole population meeting the cohort critiera which is age based).</w:t>
      </w:r>
    </w:p>
    <w:p>
      <w:pPr>
        <w:pStyle w:val="Compact"/>
        <w:numPr>
          <w:numId w:val="1005"/>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rPr>
          <w:i/>
        </w:rPr>
        <w:t xml:space="preserve">We have standardised all usage across the text.</w:t>
      </w:r>
      <w:r>
        <w:rPr>
          <w:i/>
        </w:rPr>
        <w:t xml:space="preserve"> </w:t>
      </w:r>
    </w:p>
    <w:p>
      <w:pPr>
        <w:pStyle w:val="BodyText"/>
      </w:pPr>
      <w:r>
        <w:t xml:space="preserve">ABSTRACT</w:t>
      </w:r>
    </w:p>
    <w:p>
      <w:pPr>
        <w:pStyle w:val="Compact"/>
        <w:numPr>
          <w:numId w:val="1006"/>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rPr>
          <w:i/>
        </w:rPr>
        <w:t xml:space="preserve">We have added an aim section that includes the aim of the paper and the study type. We have also made the required cuts to the abstract in order to keep within the word limit.</w:t>
      </w:r>
    </w:p>
    <w:p>
      <w:pPr>
        <w:pStyle w:val="BodyText"/>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rPr>
          <w:i/>
        </w:rPr>
        <w:t xml:space="preserve">The LFS is the largest household study in the UK. Whilst it is used primarily to estimate unemployment rates it is also designed to be used by local governments etc. to understand the structure of their population. It therefore provides some of the best available yearly population estimates that are stratified by ethnicity, UK birth status, and age. A caveat to this is that it may not capture the older adult poplulation well. However, this was not relevant to this study as those individuals were not directed impacted by the change in policy. We have added these additional detials to the manuscript.</w:t>
      </w:r>
    </w:p>
    <w:p>
      <w:pPr>
        <w:pStyle w:val="BodyText"/>
      </w:pPr>
      <w:r>
        <w:t xml:space="preserve">Statistical methods</w:t>
      </w:r>
    </w:p>
    <w:p>
      <w:pPr>
        <w:pStyle w:val="Compact"/>
        <w:numPr>
          <w:numId w:val="1007"/>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rPr>
          <w:i/>
        </w:rPr>
        <w:t xml:space="preserve">We have added this and checked all tables and figures to make sure we are consistent.</w:t>
      </w:r>
    </w:p>
    <w:p>
      <w:pPr>
        <w:pStyle w:val="BodyText"/>
      </w:pPr>
      <w:r>
        <w:t xml:space="preserve">Ethical statement</w:t>
      </w:r>
    </w:p>
    <w:p>
      <w:pPr>
        <w:pStyle w:val="Compact"/>
        <w:numPr>
          <w:numId w:val="1008"/>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rPr>
          <w:i/>
        </w:rPr>
        <w:t xml:space="preserve">We have added an ethical statement</w:t>
      </w:r>
    </w:p>
    <w:p>
      <w:pPr>
        <w:pStyle w:val="BodyText"/>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BodyText"/>
      </w:pPr>
      <w:r>
        <w:rPr>
          <w:i/>
        </w:rPr>
        <w:t xml:space="preserve">Yes that is correct.</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rPr>
          <w:i/>
        </w:rPr>
        <w:t xml:space="preserve">Thank you for your helpful comments. We agree that understanding when/if targeted vaccination should be used rather than universal vaccination is a key TB control issue.</w:t>
      </w:r>
      <w:r>
        <w:rPr>
          <w:i/>
        </w:rPr>
        <w:t xml:space="preserve"> </w:t>
      </w:r>
    </w:p>
    <w:p>
      <w:pPr>
        <w:pStyle w:val="BodyText"/>
      </w:pPr>
      <w:r>
        <w:t xml:space="preserve">Introduction</w:t>
      </w:r>
    </w:p>
    <w:p>
      <w:pPr>
        <w:pStyle w:val="Compact"/>
        <w:numPr>
          <w:numId w:val="1009"/>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p>
    <w:p>
      <w:pPr>
        <w:pStyle w:val="FirstParagraph"/>
      </w:pPr>
      <w:r>
        <w:rPr>
          <w:i/>
        </w:rPr>
        <w:t xml:space="preserve">We have corrected this.</w:t>
      </w:r>
    </w:p>
    <w:p>
      <w:pPr>
        <w:pStyle w:val="BodyText"/>
      </w:pPr>
      <w:r>
        <w:t xml:space="preserve">Methods</w:t>
      </w:r>
    </w:p>
    <w:p>
      <w:pPr>
        <w:pStyle w:val="Compact"/>
        <w:numPr>
          <w:numId w:val="1010"/>
          <w:ilvl w:val="0"/>
        </w:numPr>
      </w:pPr>
      <w:r>
        <w:t xml:space="preserve">Paragraph 1. The geographical scale of TB local incidence is not specified and is an important piece of information that would be worth mentioning at this stage.</w:t>
      </w:r>
    </w:p>
    <w:p>
      <w:pPr>
        <w:pStyle w:val="FirstParagraph"/>
      </w:pPr>
      <w:r>
        <w:rPr>
          <w:i/>
        </w:rPr>
        <w:t xml:space="preserve">We have added that TB incidence is highly heterogeneous in England with the majority of cases occurring in urban, non-UK born, populations.</w:t>
      </w:r>
    </w:p>
    <w:p>
      <w:pPr>
        <w:pStyle w:val="Compact"/>
        <w:numPr>
          <w:numId w:val="1011"/>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pStyle w:val="FirstParagraph"/>
      </w:pPr>
      <w:r>
        <w:rPr>
          <w:i/>
        </w:rPr>
        <w:t xml:space="preserve">We have added additional details to this section. Please see the responses to the editors comments for an expanded discussion of the LFS.</w:t>
      </w:r>
    </w:p>
    <w:p>
      <w:pPr>
        <w:pStyle w:val="Compact"/>
        <w:numPr>
          <w:numId w:val="1012"/>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rPr>
          <w:i/>
        </w:rPr>
        <w:t xml:space="preserve">We agree that this is somewhat difficult to interpret as the underlying cohort structure is complex. The cohorts are first identified based on age. Eligibility is then used to indicate if a given cohort was enrolled on the universal or targeted programme. This gives a cohort who were enrolled and a comparison cohort who were not (resulting in a binary outcome). We have added additional detail outlining this to the paper.</w:t>
      </w:r>
    </w:p>
    <w:p>
      <w:pPr>
        <w:pStyle w:val="BodyText"/>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13"/>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rPr>
          <w:i/>
        </w:rPr>
        <w:t xml:space="preserve">We have tried to make the results section readable but happy to take suggestions on which sections in particular to improve.</w:t>
      </w:r>
    </w:p>
    <w:p>
      <w:pPr>
        <w:pStyle w:val="BodyText"/>
      </w:pPr>
      <w:r>
        <w:t xml:space="preserve">Discussion</w:t>
      </w:r>
    </w:p>
    <w:p>
      <w:pPr>
        <w:pStyle w:val="Compact"/>
        <w:numPr>
          <w:numId w:val="1014"/>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pStyle w:val="FirstParagraph"/>
      </w:pPr>
      <w:r>
        <w:rPr>
          <w:i/>
        </w:rPr>
        <w:t xml:space="preserve">We agree that considering disease severity stratified by age is an important issue and could be addressed in a follow up study. We have added comments detailing this to the discussion. We disagree on the evidence that the BCG protects mainly against severe disease in the UK where there is good evidence of strong protection against all disease with no evidence of protection weakening with increased age at vaccination. However, we do agree that this is relevant in other contexts.</w:t>
      </w:r>
    </w:p>
    <w:p>
      <w:pPr>
        <w:pStyle w:val="Compact"/>
        <w:numPr>
          <w:numId w:val="1015"/>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pStyle w:val="FirstParagraph"/>
      </w:pPr>
      <w:r>
        <w:rPr>
          <w:i/>
        </w:rPr>
        <w:t xml:space="preserve">We agree that this is a potential issue and one that we could not fully account for. We have partially accounted for it by adjusting for between year cohort differences but this does not account for interventions that changed at the same time as vaccination policy. We mentioned this limitation in the discussion,</w:t>
      </w:r>
    </w:p>
    <w:p>
      <w:pPr>
        <w:pStyle w:val="BodyText"/>
      </w:pPr>
      <w:r>
        <w:rPr>
          <w:i/>
        </w:rPr>
        <w:t xml:space="preserve">“</w:t>
      </w:r>
      <w:r>
        <w:rPr>
          <w:i/>
        </w:rPr>
        <w:t xml:space="preserve">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r>
        <w:rPr>
          <w:i/>
        </w:rPr>
        <w:t xml:space="preserve">”</w:t>
      </w:r>
    </w:p>
    <w:p>
      <w:pPr>
        <w:pStyle w:val="BodyText"/>
      </w:pPr>
      <w:r>
        <w:rPr>
          <w:i/>
        </w:rPr>
        <w:t xml:space="preserve">We have now added additional details to the conclusions stressing this point further.</w:t>
      </w:r>
    </w:p>
    <w:p>
      <w:pPr>
        <w:pStyle w:val="Compact"/>
        <w:numPr>
          <w:numId w:val="1016"/>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pStyle w:val="FirstParagraph"/>
      </w:pPr>
      <w:r>
        <w:rPr>
          <w:i/>
        </w:rPr>
        <w:t xml:space="preserve">We agree that vaccination coverage impacts the success/failure of vaccination programmes. Unfortunately, coverage estimates for the targeted vaccination programme are of very poor quality. This was part of the motivation for using a population based approach that looked at overall incidence rates and hence did not need to account for vaccination coverage. We agree that understanding coverage in targeted populations should be a focus for further work in this area.</w:t>
      </w:r>
    </w:p>
    <w:p>
      <w:pPr>
        <w:pStyle w:val="Compact"/>
        <w:numPr>
          <w:numId w:val="101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FirstParagraph"/>
      </w:pPr>
      <w:r>
        <w:rPr>
          <w:i/>
        </w:rPr>
        <w:t xml:space="preserve">This is an interesting point and the motivator for some of our current research. Whilst the reviewer is correct that children are less likely to be smear-positive this is not the case for adults. This means that school-age vaccination may lead to fewer overall cases in children than direct vaccination of children once onwards transmission has been accounted for due to increased protection from TB as young adults. This depends on the level of TB transmission in the population and therefore may not be relevant in the UK where transmission is generally thought to be low. For areas where the BCG mainly impacts severe forms of TB only we agree that direct vaccination of children is more clearly beneficical. However, there is good evidence of effectiveness for the BCG when given later in life in the UK meaning that there is likely an incidence rate thresold at which school-age vaccination becomes more protective.</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BodyText"/>
      </w:pPr>
      <w:r>
        <w:rPr>
          <w:i/>
        </w:rPr>
        <w:t xml:space="preserve">Thank you for this review.</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rPr>
          <w:i/>
        </w:rPr>
        <w:t xml:space="preserve">Thank you for this detailed and helpful review. We hope that the findings from this study should be relevant to the global TB community. We particularly appreciate your suggestions for improving the discussion of the approach used.</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 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rPr>
          <w:i/>
        </w:rPr>
        <w:t xml:space="preserve">We agree that it is important that all readers can easily follow the analysis. We have split the modelling section as you suggested into a non-technical overview and a more technical discussion of the approach. As per the editor comment we have carefully reviewed the use of abbreviations and added definitions where missing.</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 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rPr>
          <w:i/>
        </w:rPr>
        <w:t xml:space="preserve">We agree that parsimony is an important goal of modelling. However, it is also important to adjust for confounding in the data. Our approach used a hypothesis free (excepting our initial use of domain knowledge in selecting an overall pool of confounders), statistically rigorous metric (the leave one out information criterion) to select the model that best fit the data after being penalised for model complexity (to avoid overfitting). We hope that our discussion of this approach is clearer now that we have adopted your suggestion above of splitting the statistical methods. We included a discussion of other models as it is gives an indication of which variables greatly altered the results and may be used when interpreting the findings. It is also important to include to make it clear that we explored multiple models (doing otherwise might be considered p hacking).</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rPr>
          <w:i/>
        </w:rPr>
        <w:t xml:space="preserve">We feel that adjusting for year of study eligibility helps to account for potential differences between cohorts. We would not expect to see a trend and if we did this might indicate that we had missed adjusting for a variable that may be introducing systematic bias. We feel that we have satisfactorily captured uncertainty using our modelling approach and that therefore the CrIs are representive of the underlying uncertainty. We have corrected the spelling of eligibility.</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rPr>
          <w:i/>
        </w:rPr>
        <w:t xml:space="preserve">We agree that our conclusions were not as clear-cut as might be expected. However, part of this is due to comparing two vaccination programmes rather than using a baseline of no vaccination. We were in effect estimating the incremental difference between the two programmes and it is perhaps to be expected that this difference was small. In addition much of the uncertainty is due to incidence in neonates being very low in England throughout the study. It should also be noted that stopping universal school-age vaccination did result in increased incidence rates overall when only the UK born were considered (as expected). It required the inclusion of the non-UK born in order to alter these findings. The non-UK born were less clearly exposed to UK vaccination policy and as the reviewer has noted this impact may be due to other policy changes. We feel that the reviewer suggested changes to the discussion has helped highlight this. A final point is that we were only able to use 5 years of follow up. It may be the case that extending follow up alters these findings. We have included this point in the discussion.</w:t>
      </w:r>
    </w:p>
    <w:p>
      <w:pPr>
        <w:pStyle w:val="BodyText"/>
      </w:pPr>
      <w:r>
        <w:t xml:space="preserve">I appreciate the work of the authors with these thought-provoking study results!</w:t>
      </w:r>
    </w:p>
    <w:p>
      <w:pPr>
        <w:pStyle w:val="BodyText"/>
      </w:pPr>
      <w:r>
        <w:rPr>
          <w:i/>
        </w:rPr>
        <w:t xml:space="preserve">Thank you again for your useful comments.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rPr>
          <w:i/>
        </w:rPr>
        <w:t xml:space="preserve">Resolved issue with BCG. Use of title case is a journal dependant decision and therefore we have not standardised.</w:t>
      </w:r>
    </w:p>
    <w:p>
      <w:pPr>
        <w:pStyle w:val="BodyText"/>
      </w:pPr>
      <w:r>
        <w:t xml:space="preserve">References 7 and 8 are duplicates</w:t>
      </w:r>
    </w:p>
    <w:p>
      <w:pPr>
        <w:pStyle w:val="BodyText"/>
      </w:pPr>
      <w:r>
        <w:rPr>
          <w:i/>
        </w:rPr>
        <w:t xml:space="preserve">Resolved.</w:t>
      </w:r>
    </w:p>
    <w:p>
      <w:pPr>
        <w:pStyle w:val="BodyText"/>
      </w:pPr>
      <w:r>
        <w:t xml:space="preserve">Reference 11 is a bit of a screw-up (2018 and January-2011)</w:t>
      </w:r>
    </w:p>
    <w:p>
      <w:pPr>
        <w:pStyle w:val="BodyText"/>
      </w:pPr>
      <w:r>
        <w:rPr>
          <w:i/>
        </w:rPr>
        <w:t xml:space="preserve">Resolved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02a9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c63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ef14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901225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0b5a75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d87e7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2019-11-04T16:48:17Z</dcterms:created>
  <dcterms:modified xsi:type="dcterms:W3CDTF">2019-11-04T16:48:17Z</dcterms:modified>
</cp:coreProperties>
</file>