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43EA6FC3" w:rsidR="007B7DBE" w:rsidRDefault="007B7DBE" w:rsidP="007B7DBE">
      <w:pPr>
        <w:pStyle w:val="Heading2"/>
      </w:pPr>
      <w:r>
        <w:t>Online supplementary appendix: Estimating the effect of the 2005 change in BCG policy in England: A retrospective cohort study</w:t>
      </w:r>
    </w:p>
    <w:p w14:paraId="13CE76D7" w14:textId="3F67FA97" w:rsidR="00DF57BE" w:rsidRPr="00DF57BE" w:rsidRDefault="00DF57BE" w:rsidP="00DF57BE">
      <w:pPr>
        <w:pStyle w:val="BodyText"/>
      </w:pPr>
      <w:bookmarkStart w:id="0" w:name="OLE_LINK20"/>
      <w:bookmarkStart w:id="1" w:name="OLE_LINK21"/>
      <w:r w:rsidRPr="00DF57BE">
        <w:t xml:space="preserve">This supplementary material is hosted by </w:t>
      </w:r>
      <w:proofErr w:type="spellStart"/>
      <w:r w:rsidRPr="00DF57BE">
        <w:rPr>
          <w:i/>
        </w:rPr>
        <w:t>Eurosurveillance</w:t>
      </w:r>
      <w:proofErr w:type="spellEnd"/>
      <w:r w:rsidRPr="00DF57BE">
        <w:t xml:space="preserve"> as supporting information alongside the article </w:t>
      </w:r>
      <w:r>
        <w:t>Estimating the effect of the 2005 change in BCG policy in England: A retrospective cohort study</w:t>
      </w:r>
      <w:r w:rsidRPr="00DF57BE">
        <w:t xml:space="preserve"> on behalf of the authors who remain responsible for the accuracy and appropriateness of the content. The same standards for ethics, copyright, attributions and permissions as for the article apply.</w:t>
      </w:r>
      <w:r w:rsidRPr="00DF57BE">
        <w:rPr>
          <w:i/>
        </w:rPr>
        <w:t xml:space="preserve"> </w:t>
      </w:r>
      <w:proofErr w:type="spellStart"/>
      <w:r w:rsidRPr="00DF57BE">
        <w:rPr>
          <w:i/>
        </w:rPr>
        <w:t>Eurosurveillance</w:t>
      </w:r>
      <w:proofErr w:type="spellEnd"/>
      <w:r w:rsidRPr="00DF57BE">
        <w:t xml:space="preserve"> is not responsible for the maintenance of any links or email addresses provided therein</w:t>
      </w:r>
    </w:p>
    <w:bookmarkEnd w:id="0"/>
    <w:bookmarkEnd w:id="1"/>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2" w:name="pagebreak-7"/>
      <w:bookmarkEnd w:id="2"/>
      <w:r>
        <w:lastRenderedPageBreak/>
        <w:t>PAGEBREAK</w:t>
      </w:r>
    </w:p>
    <w:p w14:paraId="241A1C1C" w14:textId="77777777" w:rsidR="00CC67C0" w:rsidRDefault="00CC67C0" w:rsidP="00CC67C0">
      <w:pPr>
        <w:pStyle w:val="FirstParagraph"/>
      </w:pPr>
      <w:r>
        <w:rPr>
          <w:b/>
        </w:rPr>
        <w:t>Imputation of UK birth status</w:t>
      </w:r>
    </w:p>
    <w:p w14:paraId="18B525A8" w14:textId="77777777" w:rsidR="00CC67C0" w:rsidRDefault="00CC67C0" w:rsidP="00CC67C0">
      <w:pPr>
        <w:pStyle w:val="BodyText"/>
      </w:pPr>
      <w:r>
        <w:t xml:space="preserve">As we were imputing a single </w:t>
      </w:r>
      <w:proofErr w:type="gramStart"/>
      <w:r>
        <w:t>variable</w:t>
      </w:r>
      <w:proofErr w:type="gramEnd"/>
      <w:r>
        <w:t xml:space="preserv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xml:space="preserve">, with 10 stopping rounds), a learning rate of 0.1, and a learn rate annealing of 0.99. Gradient boosted machines are a </w:t>
      </w:r>
      <w:proofErr w:type="gramStart"/>
      <w:r>
        <w:t>tree based</w:t>
      </w:r>
      <w:proofErr w:type="gramEnd"/>
      <w:r>
        <w:t xml:space="preserve"> method that can incor</w:t>
      </w:r>
      <w:proofErr w:type="spellStart"/>
      <w:r>
        <w:t>porate</w:t>
      </w:r>
      <w:proofErr w:type="spellEnd"/>
      <w:r>
        <w:t xml:space="preserv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w:t>
      </w:r>
      <w:proofErr w:type="gramStart"/>
      <w:r>
        <w:t>set</w:t>
      </w:r>
      <w:proofErr w:type="gramEnd"/>
      <w:r>
        <w:t xml:space="preserve">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78725C72" w14:textId="77777777" w:rsidR="00CC67C0" w:rsidRDefault="00CC67C0" w:rsidP="00CC67C0">
      <w:pPr>
        <w:pStyle w:val="BodyText"/>
      </w:pPr>
      <w:r>
        <w:t xml:space="preserve">Using the fitted </w:t>
      </w:r>
      <w:proofErr w:type="gramStart"/>
      <w:r>
        <w:t>model</w:t>
      </w:r>
      <w:proofErr w:type="gramEnd"/>
      <w:r>
        <w:t xml:space="preserve">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denominator[10]. We found that cases with imputed birth status had a similar proportion of UK born to non-UK born cases as in the complete data (Supplementary Table S6).</w:t>
      </w:r>
    </w:p>
    <w:p w14:paraId="7B3749A8" w14:textId="56516704" w:rsidR="007B7DBE" w:rsidRDefault="007B7DBE" w:rsidP="007B7DBE">
      <w:pPr>
        <w:pStyle w:val="TableCaption"/>
      </w:pPr>
      <w:r>
        <w:t>Supplementary Table S6: Comparison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344EA1DE" w14:textId="77777777" w:rsidR="00CC67C0" w:rsidRDefault="00CC67C0" w:rsidP="00CC67C0">
      <w:pPr>
        <w:pStyle w:val="BodyText"/>
      </w:pPr>
      <w:bookmarkStart w:id="3" w:name="pagebreak-8"/>
      <w:bookmarkEnd w:id="3"/>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r>
        <w:lastRenderedPageBreak/>
        <w:t>PAGEBREAK</w:t>
      </w:r>
    </w:p>
    <w:p w14:paraId="20573FE2" w14:textId="77777777" w:rsidR="00CC67C0" w:rsidRDefault="00CC67C0" w:rsidP="00CC67C0">
      <w:pPr>
        <w:pStyle w:val="FirstParagraph"/>
      </w:pPr>
      <w:bookmarkStart w:id="4" w:name="pagebreak-9"/>
      <w:bookmarkEnd w:id="4"/>
      <w:r>
        <w:rPr>
          <w:b/>
        </w:rPr>
        <w:t>Prior choice</w:t>
      </w:r>
    </w:p>
    <w:p w14:paraId="4E3A7EB1" w14:textId="77777777" w:rsidR="00CC67C0" w:rsidRDefault="00CC67C0" w:rsidP="00CC67C0">
      <w:pPr>
        <w:pStyle w:val="BodyText"/>
      </w:pPr>
      <w:r>
        <w:t>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351B31FB" w14:textId="77777777" w:rsidR="00CC67C0" w:rsidRDefault="00CC67C0" w:rsidP="00CC67C0">
      <w:pPr>
        <w:pStyle w:val="BodyText"/>
      </w:pPr>
      <w:r>
        <w:rPr>
          <w:b/>
        </w:rPr>
        <w:t>Estimating the magnitude of the estimated impact of the change in BCG policy</w:t>
      </w:r>
    </w:p>
    <w:p w14:paraId="6F593050" w14:textId="77777777" w:rsidR="00CC67C0" w:rsidRDefault="00CC67C0" w:rsidP="00CC67C0">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4B9F6DDD" w14:textId="77777777" w:rsidR="00CC67C0" w:rsidRDefault="00CC67C0"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3E469A6A" w14:textId="77777777" w:rsidR="00CC67C0" w:rsidRDefault="00CC67C0" w:rsidP="00CC67C0">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w:t>
      </w:r>
      <w:proofErr w:type="spellStart"/>
      <w:r>
        <w:t>ohorts</w:t>
      </w:r>
      <w:proofErr w:type="spellEnd"/>
      <w:r>
        <w:t xml:space="preserve">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359EBA43" w14:textId="77777777" w:rsidR="00CC67C0" w:rsidRDefault="00CC67C0"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r>
        <w:lastRenderedPageBreak/>
        <w:t>PAGEBREAK</w:t>
      </w:r>
    </w:p>
    <w:p w14:paraId="78F452A8" w14:textId="77777777" w:rsidR="00CC67C0" w:rsidRDefault="00CC67C0" w:rsidP="00CC67C0">
      <w:pPr>
        <w:pStyle w:val="FirstParagraph"/>
      </w:pPr>
      <w:r>
        <w:rPr>
          <w:b/>
        </w:rPr>
        <w:t>Descriptive analysis of age-specific incidence rates</w:t>
      </w:r>
    </w:p>
    <w:p w14:paraId="5013F223" w14:textId="77777777" w:rsidR="00CC67C0" w:rsidRDefault="00CC67C0" w:rsidP="00CC67C0">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w:t>
      </w:r>
      <w:proofErr w:type="gramStart"/>
      <w:r>
        <w:t>year</w:t>
      </w:r>
      <w:proofErr w:type="gramEnd"/>
      <w:r>
        <w:t xml:space="preserve">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 xml:space="preserve">Supplementary Figure S1: Incidence rates per 100,000 for UK born population and non-UK born population, aged 0-5 and therefore directly affected by the targeted neonatal vaccination </w:t>
      </w:r>
      <w:proofErr w:type="spellStart"/>
      <w:r>
        <w:t>programme</w:t>
      </w:r>
      <w:proofErr w:type="spellEnd"/>
      <w:r>
        <w:t>,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5" w:name="pagebreak-10"/>
      <w:bookmarkEnd w:id="5"/>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6" w:name="pagebreak-11"/>
      <w:bookmarkEnd w:id="6"/>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 xml:space="preserve">Supplementary Table S2: Comparison of models fitted to incidence rates for the UK born population that were relevant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283D1357"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roofErr w:type="gramStart"/>
            <w:r w:rsidRPr="00B72EAE">
              <w:rPr>
                <w:b w:val="0"/>
                <w:sz w:val="16"/>
                <w:szCs w:val="16"/>
              </w:rPr>
              <w:t>%)*</w:t>
            </w:r>
            <w:proofErr w:type="gramEnd"/>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4A1BB6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6F2D65CA"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roofErr w:type="gramStart"/>
            <w:r w:rsidRPr="00B72EAE">
              <w:rPr>
                <w:b w:val="0"/>
                <w:sz w:val="16"/>
                <w:szCs w:val="16"/>
              </w:rPr>
              <w:t>%)*</w:t>
            </w:r>
            <w:proofErr w:type="gramEnd"/>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242D0BE0"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7" w:name="pagebreak-12"/>
      <w:bookmarkEnd w:id="7"/>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 xml:space="preserve">Supplementary Table S3: Comparison of models fitted to incidence rates for the non-UK born population that were eligible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2"/>
        <w:gridCol w:w="1452"/>
        <w:gridCol w:w="1334"/>
        <w:gridCol w:w="280"/>
        <w:gridCol w:w="280"/>
        <w:gridCol w:w="1298"/>
        <w:gridCol w:w="1678"/>
        <w:gridCol w:w="269"/>
        <w:gridCol w:w="269"/>
        <w:gridCol w:w="1683"/>
        <w:gridCol w:w="538"/>
        <w:gridCol w:w="538"/>
        <w:gridCol w:w="692"/>
        <w:gridCol w:w="295"/>
        <w:gridCol w:w="295"/>
        <w:gridCol w:w="1324"/>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3BA6F948"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roofErr w:type="gramStart"/>
            <w:r w:rsidRPr="00B72EAE">
              <w:rPr>
                <w:b w:val="0"/>
                <w:sz w:val="16"/>
                <w:szCs w:val="16"/>
              </w:rPr>
              <w:t>%)*</w:t>
            </w:r>
            <w:proofErr w:type="gramEnd"/>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0FB62596"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59CCAA95"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roofErr w:type="gramStart"/>
            <w:r w:rsidRPr="00B72EAE">
              <w:rPr>
                <w:b w:val="0"/>
                <w:sz w:val="16"/>
                <w:szCs w:val="16"/>
              </w:rPr>
              <w:t>%)*</w:t>
            </w:r>
            <w:proofErr w:type="gramEnd"/>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1BB8EDB9"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CC67C0">
      <w:bookmarkStart w:id="8" w:name="_GoBack"/>
      <w:bookmarkEnd w:id="8"/>
    </w:p>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1E0CFF"/>
    <w:rsid w:val="004F4783"/>
    <w:rsid w:val="005D082B"/>
    <w:rsid w:val="006E17DD"/>
    <w:rsid w:val="00737012"/>
    <w:rsid w:val="007B7DBE"/>
    <w:rsid w:val="00B72EAE"/>
    <w:rsid w:val="00BB6A8C"/>
    <w:rsid w:val="00BC1BC2"/>
    <w:rsid w:val="00C60C14"/>
    <w:rsid w:val="00CC67C0"/>
    <w:rsid w:val="00DF57BE"/>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semiHidden/>
    <w:unhideWhenUsed/>
    <w:rsid w:val="007B7DBE"/>
  </w:style>
  <w:style w:type="character" w:customStyle="1" w:styleId="CommentTextChar">
    <w:name w:val="Comment Text Char"/>
    <w:basedOn w:val="DefaultParagraphFont"/>
    <w:link w:val="CommentText"/>
    <w:semiHidden/>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3042</Words>
  <Characters>17343</Characters>
  <Application>Microsoft Office Word</Application>
  <DocSecurity>0</DocSecurity>
  <Lines>144</Lines>
  <Paragraphs>40</Paragraphs>
  <ScaleCrop>false</ScaleCrop>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5</cp:revision>
  <dcterms:created xsi:type="dcterms:W3CDTF">2019-01-29T13:33:00Z</dcterms:created>
  <dcterms:modified xsi:type="dcterms:W3CDTF">2019-10-09T10:43:00Z</dcterms:modified>
</cp:coreProperties>
</file>