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94B20" w14:textId="77777777" w:rsidR="00F74486" w:rsidRDefault="008964ED">
      <w:pPr>
        <w:pStyle w:val="Title"/>
      </w:pPr>
      <w:r>
        <w:t>Estimating the effect of the 2005 UK BCG vaccination policy change: A retrospective cohort study using the Enhanced Tuberculosis Surveillance system, 2000-2015</w:t>
      </w:r>
    </w:p>
    <w:p w14:paraId="1D63C525" w14:textId="77777777" w:rsidR="00F74486" w:rsidRDefault="008964ED">
      <w:pPr>
        <w:pStyle w:val="Author"/>
      </w:pPr>
      <w:r>
        <w:t>Sam Abbott, Hannah Christensen, Ellen Brooks-Pollock</w:t>
      </w:r>
    </w:p>
    <w:p w14:paraId="178EF0F7" w14:textId="77777777" w:rsidR="00F74486" w:rsidRDefault="008964ED">
      <w:pPr>
        <w:pStyle w:val="FirstParagraph"/>
      </w:pPr>
      <w:r>
        <w:rPr>
          <w:b/>
        </w:rPr>
        <w:t>Authors:</w:t>
      </w:r>
    </w:p>
    <w:p w14:paraId="61BEE302" w14:textId="77777777" w:rsidR="00F74486" w:rsidRDefault="008964ED">
      <w:pPr>
        <w:pStyle w:val="BodyText"/>
      </w:pPr>
      <w:r>
        <w:t>Sam Abbott, School for Social and Community Medicine, University of Bristol, Bristol, UK</w:t>
      </w:r>
    </w:p>
    <w:p w14:paraId="7317B52A" w14:textId="77777777" w:rsidR="00F74486" w:rsidRDefault="008964ED">
      <w:pPr>
        <w:pStyle w:val="BodyText"/>
      </w:pPr>
      <w:r>
        <w:t>Hannah Christensen, School for Social and Community Medicine, University of Bristol, Bristol, UK</w:t>
      </w:r>
    </w:p>
    <w:p w14:paraId="6F8E0C9B" w14:textId="77777777" w:rsidR="00F74486" w:rsidRDefault="008964ED">
      <w:pPr>
        <w:pStyle w:val="BodyText"/>
      </w:pPr>
      <w:r>
        <w:t>Ellen Brooks-Pollock, School for Social and Community Medicine, Univer</w:t>
      </w:r>
      <w:r>
        <w:t>sity of Bristol, Bristol, UK</w:t>
      </w:r>
    </w:p>
    <w:p w14:paraId="37869C5B" w14:textId="77777777" w:rsidR="00F74486" w:rsidRDefault="008964ED">
      <w:pPr>
        <w:pStyle w:val="BodyText"/>
      </w:pPr>
      <w:r>
        <w:rPr>
          <w:b/>
        </w:rPr>
        <w:t>Correspondence to:</w:t>
      </w:r>
      <w:r>
        <w:t xml:space="preserve"> Sam Abbott, School for Social and Community Medicine, University of Bristol, Bristol BS8 2BN, UK; </w:t>
      </w:r>
      <w:hyperlink r:id="rId7">
        <w:r>
          <w:rPr>
            <w:rStyle w:val="Hyperlink"/>
          </w:rPr>
          <w:t>sam.abbott@bristol.ac.uk</w:t>
        </w:r>
      </w:hyperlink>
      <w:r>
        <w:t>; 01173310185</w:t>
      </w:r>
    </w:p>
    <w:p w14:paraId="42292740" w14:textId="77777777" w:rsidR="00F74486" w:rsidRDefault="008964ED">
      <w:pPr>
        <w:pStyle w:val="BodyText"/>
      </w:pPr>
      <w:r>
        <w:rPr>
          <w:b/>
        </w:rPr>
        <w:t>WORD COUNT:</w:t>
      </w:r>
      <w:r>
        <w:t xml:space="preserve"> </w:t>
      </w:r>
      <w:r>
        <w:rPr>
          <w:b/>
        </w:rPr>
        <w:t>Title</w:t>
      </w:r>
      <w:r>
        <w:t xml:space="preserve"> 22 </w:t>
      </w:r>
      <w:r>
        <w:t xml:space="preserve">(20), </w:t>
      </w:r>
      <w:r>
        <w:rPr>
          <w:b/>
        </w:rPr>
        <w:t>Abstract</w:t>
      </w:r>
      <w:r>
        <w:t xml:space="preserve"> (250), </w:t>
      </w:r>
      <w:r>
        <w:rPr>
          <w:b/>
        </w:rPr>
        <w:t>Paper</w:t>
      </w:r>
      <w:r>
        <w:t xml:space="preserve"> (3500)</w:t>
      </w:r>
    </w:p>
    <w:p w14:paraId="3FD39412" w14:textId="77777777" w:rsidR="00F74486" w:rsidRDefault="008964ED">
      <w:pPr>
        <w:pStyle w:val="Heading5"/>
      </w:pPr>
      <w:bookmarkStart w:id="0" w:name="pagebreak"/>
      <w:bookmarkEnd w:id="0"/>
      <w:r>
        <w:lastRenderedPageBreak/>
        <w:t>PAGEBREAK</w:t>
      </w:r>
    </w:p>
    <w:p w14:paraId="32E45DDE" w14:textId="77777777" w:rsidR="00F74486" w:rsidRDefault="008964ED">
      <w:pPr>
        <w:pStyle w:val="FirstParagraph"/>
      </w:pPr>
      <w:r>
        <w:rPr>
          <w:b/>
        </w:rPr>
        <w:t>ABSTRACT</w:t>
      </w:r>
    </w:p>
    <w:p w14:paraId="7DF1D3A1" w14:textId="77777777" w:rsidR="00F74486" w:rsidRDefault="008964ED">
      <w:pPr>
        <w:pStyle w:val="BodyText"/>
      </w:pPr>
      <w:r>
        <w:rPr>
          <w:b/>
        </w:rPr>
        <w:t>Background</w:t>
      </w:r>
    </w:p>
    <w:p w14:paraId="4150BA5B" w14:textId="77777777" w:rsidR="00F74486" w:rsidRDefault="008964ED">
      <w:pPr>
        <w:pStyle w:val="BodyText"/>
      </w:pPr>
      <w:r>
        <w:t xml:space="preserve">In 2005 the UK changed from a policy of universal school age Bacillus Calmette–Guérin (BCG) vaccination, to a policy of neonatal vaccination targeted at high risk neonates. Deployment of the </w:t>
      </w:r>
      <w:r>
        <w:t xml:space="preserve">BCG vaccine varies globally, with many countries adapting their vaccination programs over the past two decades. Little work has been done to assess the impact of switching BCG vaccination policies. </w:t>
      </w:r>
      <w:r>
        <w:rPr>
          <w:b/>
        </w:rPr>
        <w:t>Methods</w:t>
      </w:r>
    </w:p>
    <w:p w14:paraId="5109FA11" w14:textId="77777777" w:rsidR="00F74486" w:rsidRDefault="008964ED">
      <w:pPr>
        <w:pStyle w:val="BodyText"/>
      </w:pPr>
      <w:r>
        <w:t>We combined notification data from the Enhanced Su</w:t>
      </w:r>
      <w:r>
        <w:t>rveillance system, with demographic data from the Labour Force Survey, to estimate the incidence rate of TB in both the UK born and non-UK born populations. We constructed retrospective cohorts of those eligible for both the universal, and targeted BCG vac</w:t>
      </w:r>
      <w:r>
        <w:t xml:space="preserve">cination programs between Jan 1, 2000 and Dec 31, 2010. To assess the evidence for an association between the change in vaccination policy and incidence rates we then investigated a range of poisson, and negative binomial models, which were assessed based </w:t>
      </w:r>
      <w:r>
        <w:t>on their goodness of fit, and epidemiological justifications.</w:t>
      </w:r>
    </w:p>
    <w:p w14:paraId="06CB432F" w14:textId="77777777" w:rsidR="00F74486" w:rsidRDefault="008964ED">
      <w:pPr>
        <w:pStyle w:val="BodyText"/>
      </w:pPr>
      <w:r>
        <w:rPr>
          <w:b/>
        </w:rPr>
        <w:t>Results:</w:t>
      </w:r>
      <w:r>
        <w:t xml:space="preserve"> </w:t>
      </w:r>
      <w:r>
        <w:rPr>
          <w:i/>
        </w:rPr>
        <w:t>copy in from bottom of paper</w:t>
      </w:r>
    </w:p>
    <w:p w14:paraId="3EDD0FDB" w14:textId="77777777" w:rsidR="00F74486" w:rsidRDefault="008964ED">
      <w:pPr>
        <w:pStyle w:val="BodyText"/>
      </w:pPr>
      <w:r>
        <w:rPr>
          <w:b/>
        </w:rPr>
        <w:t>Conclusions:</w:t>
      </w:r>
    </w:p>
    <w:p w14:paraId="41B61DB9" w14:textId="77777777" w:rsidR="00F74486" w:rsidRDefault="008964ED">
      <w:pPr>
        <w:pStyle w:val="BodyText"/>
      </w:pPr>
      <w:r>
        <w:t>We found evidence across all models investigated that the ending of the BCG schools scheme was associated with an increase in incidence rates i</w:t>
      </w:r>
      <w:r>
        <w:t>n the directly effected population. For models that adjusted for incidence rates in non-UK born population we found that the introduction of the neonatal vaccination program was associated with a decrease in incidence rates in the directly effected populat</w:t>
      </w:r>
      <w:r>
        <w:t>ion. Understanding the trade-off's inherent to BCG vaccination targeting could inform future decision making.</w:t>
      </w:r>
    </w:p>
    <w:p w14:paraId="029F21E5" w14:textId="77777777" w:rsidR="00F74486" w:rsidRDefault="008964ED">
      <w:pPr>
        <w:pStyle w:val="BodyText"/>
      </w:pPr>
      <w:r>
        <w:rPr>
          <w:b/>
        </w:rPr>
        <w:t>Keywords:</w:t>
      </w:r>
    </w:p>
    <w:p w14:paraId="2DE3FFF2" w14:textId="77777777" w:rsidR="00F74486" w:rsidRDefault="008964ED">
      <w:pPr>
        <w:pStyle w:val="BodyText"/>
      </w:pPr>
      <w:r>
        <w:t>BCG, surveillance, vaccination policy, neonatal</w:t>
      </w:r>
    </w:p>
    <w:p w14:paraId="1EDEB1C6" w14:textId="77777777" w:rsidR="00F74486" w:rsidRDefault="008964ED">
      <w:pPr>
        <w:pStyle w:val="BodyText"/>
      </w:pPr>
      <w:r>
        <w:rPr>
          <w:b/>
        </w:rPr>
        <w:t>What is the key question?</w:t>
      </w:r>
    </w:p>
    <w:p w14:paraId="6056AEA7" w14:textId="77777777" w:rsidR="00F74486" w:rsidRDefault="008964ED">
      <w:pPr>
        <w:pStyle w:val="BodyText"/>
      </w:pPr>
      <w:r>
        <w:rPr>
          <w:b/>
        </w:rPr>
        <w:t>What is the bottom line?</w:t>
      </w:r>
    </w:p>
    <w:p w14:paraId="78771F92" w14:textId="77777777" w:rsidR="00F74486" w:rsidRDefault="008964ED">
      <w:pPr>
        <w:pStyle w:val="BodyText"/>
      </w:pPr>
      <w:r>
        <w:rPr>
          <w:b/>
        </w:rPr>
        <w:t>Why read on?</w:t>
      </w:r>
    </w:p>
    <w:p w14:paraId="0D031B41" w14:textId="77777777" w:rsidR="00F74486" w:rsidRDefault="008964ED">
      <w:pPr>
        <w:pStyle w:val="Heading5"/>
      </w:pPr>
      <w:bookmarkStart w:id="1" w:name="pagebreak-1"/>
      <w:bookmarkEnd w:id="1"/>
      <w:r>
        <w:lastRenderedPageBreak/>
        <w:t>PAGEBREAK</w:t>
      </w:r>
    </w:p>
    <w:p w14:paraId="4B393FCA" w14:textId="77777777" w:rsidR="00F74486" w:rsidRDefault="008964ED">
      <w:pPr>
        <w:pStyle w:val="FirstParagraph"/>
      </w:pPr>
      <w:r>
        <w:rPr>
          <w:b/>
        </w:rPr>
        <w:t>INTRODUCTION</w:t>
      </w:r>
    </w:p>
    <w:p w14:paraId="6E51048B" w14:textId="77777777" w:rsidR="00F74486" w:rsidRDefault="008964ED">
      <w:pPr>
        <w:pStyle w:val="BodyText"/>
      </w:pPr>
      <w:r>
        <w:t>B</w:t>
      </w:r>
      <w:r>
        <w:t>acillus Calmette–Guérin (BCG) remains the only licensed Tuberculosis (TB) vaccine, nearly a century after it's development[1], and remains in use throughout the world.[2] Globally vaccination policies differ, due to evidence of variable effectiveness in ad</w:t>
      </w:r>
      <w:r>
        <w:t>ults,[3] high effectiveness in children,[4,5] and evidence of interference with the standard skin test. The UK changed its vaccination policy in 2005 from a universal school age program to vaccination at birth for high risk neonates, due to evidence of red</w:t>
      </w:r>
      <w:r>
        <w:t>uced transmission,[6] and evidence of high effectiveness in children, compared to evidence of variable effectiveness in adults.[3] Little work has been done to evaluate the impact of this change in vaccination policy.</w:t>
      </w:r>
    </w:p>
    <w:p w14:paraId="3528325F" w14:textId="77777777" w:rsidR="00F74486" w:rsidRDefault="008964ED">
      <w:pPr>
        <w:pStyle w:val="BodyText"/>
      </w:pPr>
      <w:r>
        <w:t>Notifications of TB in England and Wal</w:t>
      </w:r>
      <w:r>
        <w:t>es increased from 6226, in 2000, to 8411, in 2011 but have have declined since, with incidence rates falling in both the non-UK born, and UK born populations.[6] After an initial infection with TB, an individual may rapidly develop active symptomatic disea</w:t>
      </w:r>
      <w:r>
        <w:t>se, or the infection may enter a latent state which can develop into active disease many years later. This means that trends in TB notifications may not be directly linked to reducing transmission, and may instead be a product of changing TB incidence many</w:t>
      </w:r>
      <w:r>
        <w:t xml:space="preserve"> years previously. Incidence in young children (0-14 years old) may be used as a proxy of TB transmission, as any active TB disease in this population may be attributable to reduced transmission, using this approach it is thought that TB transmission has b</w:t>
      </w:r>
      <w:r>
        <w:t>een falling in England and Wales for the last 5 years; this has been supported using strain typing.[6] Unlike many vaccines BCG primarily functions by preventing the development of active, symptomatic disease, this means that direct effects of BCG vaccinat</w:t>
      </w:r>
      <w:r>
        <w:t>ion may not be immediate, and therefore may not be readily detectable. Additionally any indirect effect of vaccination, via reducing ongoing transmission, will also be difficult to attribute to vaccination. However, some measure of the direct effect of BCG</w:t>
      </w:r>
      <w:r>
        <w:t xml:space="preserve"> vaccination may be estimated by comparing populations pre and post vaccination, or the converse. This means that the 2005 change in UK vaccination policy represents an opportunity to estimate the direct effect of BCG vaccination on both neonates and those</w:t>
      </w:r>
      <w:r>
        <w:t xml:space="preserve"> at school age, in a low incidence setting.</w:t>
      </w:r>
    </w:p>
    <w:p w14:paraId="62213350" w14:textId="77777777" w:rsidR="00F74486" w:rsidRDefault="008964ED">
      <w:pPr>
        <w:pStyle w:val="BodyText"/>
      </w:pPr>
      <w:r>
        <w:t>This study uses data on notifications from the Enhanced Tuberculosis Surveillance (ETS) system combined with population estimates stratified by UK birth status and age from the Labour Force Survey (LFS) to estima</w:t>
      </w:r>
      <w:r>
        <w:t>te the incidence of tuberculosis in England and Wales. Retrospective cohorts of those eligible for each scheme are then created to estimate the direct effect of the change in vaccination programs within the first 5 years of vaccination. The impact of the p</w:t>
      </w:r>
      <w:r>
        <w:t>olicy change is then estimated using a series of hypothesis driven models increasing in complexity from a simple Poisson model to a multilevel model, with a random intercept. Model fit is then assessed, with models being ranked in order of goodness of fit.</w:t>
      </w:r>
      <w:r>
        <w:t xml:space="preserve"> Inferences are then made as to the impact of the vaccination policy change, using the results from all models tested.</w:t>
      </w:r>
    </w:p>
    <w:p w14:paraId="2EBA64DF" w14:textId="77777777" w:rsidR="00F74486" w:rsidRDefault="008964ED">
      <w:pPr>
        <w:pStyle w:val="Heading5"/>
      </w:pPr>
      <w:bookmarkStart w:id="2" w:name="pagebreak-2"/>
      <w:bookmarkEnd w:id="2"/>
      <w:r>
        <w:lastRenderedPageBreak/>
        <w:t>PAGEBREAK</w:t>
      </w:r>
    </w:p>
    <w:p w14:paraId="3FBC8C90" w14:textId="77777777" w:rsidR="00F74486" w:rsidRDefault="008964ED">
      <w:pPr>
        <w:pStyle w:val="FirstParagraph"/>
      </w:pPr>
      <w:r>
        <w:rPr>
          <w:b/>
        </w:rPr>
        <w:t>METHODS</w:t>
      </w:r>
    </w:p>
    <w:p w14:paraId="3F694A14" w14:textId="77777777" w:rsidR="00F74486" w:rsidRDefault="008964ED">
      <w:pPr>
        <w:pStyle w:val="BodyText"/>
      </w:pPr>
      <w:r>
        <w:rPr>
          <w:b/>
        </w:rPr>
        <w:t>Enhanced Tuberculosis Surveillance (ETS) system</w:t>
      </w:r>
    </w:p>
    <w:p w14:paraId="454BABF8" w14:textId="77777777" w:rsidR="00F74486" w:rsidRDefault="008964ED">
      <w:pPr>
        <w:pStyle w:val="BodyText"/>
      </w:pPr>
      <w:r>
        <w:t>Data on all notifications from the Enhanced Tuberculosis Surveillance (ETS) system from Jan 1, 2000 to Dec 31, 2015 were obtained from Public Health England (PHE). The ETS is maintained by PHE, and collects demographic, clinical, and microbiological data o</w:t>
      </w:r>
      <w:r>
        <w:t>n all notified cases in England and Wales, and is updated annually with de-notifications, late notifications and other updates. A descriptive analysis of tuberculosis epidemiology in England is published each year, which fully details data collection, clea</w:t>
      </w:r>
      <w:r>
        <w:t>ning, and trends in TB incidence at both a national, and sub-national level.[6]</w:t>
      </w:r>
    </w:p>
    <w:p w14:paraId="0311269C" w14:textId="77777777" w:rsidR="00F74486" w:rsidRDefault="008964ED">
      <w:pPr>
        <w:pStyle w:val="BodyText"/>
      </w:pPr>
      <w:r>
        <w:rPr>
          <w:b/>
        </w:rPr>
        <w:t>Labour Force Survey (LFS)</w:t>
      </w:r>
    </w:p>
    <w:p w14:paraId="4402D629" w14:textId="77777777" w:rsidR="00F74486" w:rsidRDefault="008964ED">
      <w:pPr>
        <w:pStyle w:val="BodyText"/>
      </w:pPr>
      <w:r>
        <w:t>We obtained yearly population estimates from the April to June Labour Force Survey (LFS) for 2000-2015, the LFS is a study of the employment circumsta</w:t>
      </w:r>
      <w:r>
        <w:t>nces of the UK population, and provides the official measures of employment and unemployment in the UK. Reporting practices have changed with time so the appropriate variables for age, country of origin, country of birth, and survey weight were extracted f</w:t>
      </w:r>
      <w:r>
        <w:t>rom each yearly extract, standardised, and combined into a single tidy dataset.</w:t>
      </w:r>
      <w:r>
        <w:rPr>
          <w:b/>
        </w:rPr>
        <w:t>???</w:t>
      </w:r>
      <w:r>
        <w:t xml:space="preserve"> The LFS data was then aggregated, accounting for survey weight, by year, age, and UK birth status to provide yearly estimates of the UK born/Non-UK born populations by age. </w:t>
      </w:r>
      <w:r>
        <w:t>As the LFS is based on a population sample these estimates are subject to sampling errors.</w:t>
      </w:r>
    </w:p>
    <w:p w14:paraId="3BDEB22C" w14:textId="77777777" w:rsidR="00F74486" w:rsidRDefault="008964ED">
      <w:pPr>
        <w:pStyle w:val="BodyText"/>
      </w:pPr>
      <w:r>
        <w:rPr>
          <w:b/>
        </w:rPr>
        <w:t>Retrospective cohorts</w:t>
      </w:r>
    </w:p>
    <w:p w14:paraId="69661334" w14:textId="77777777" w:rsidR="00F74486" w:rsidRDefault="008964ED">
      <w:pPr>
        <w:pStyle w:val="BodyText"/>
      </w:pPr>
      <w:r>
        <w:t>We assigned a year of eligibility to all cases; for both the universal school age, and targeted neonatal vaccination programs using age, and ye</w:t>
      </w:r>
      <w:r>
        <w:t>ar of notification, and stratifying by UK birth status. Eligibility was defined as the final year in which an individual could have been vaccinated under either scheme; under 1 for the targeted neonatal program, and at 14 for the school age vaccination pro</w:t>
      </w:r>
      <w:r>
        <w:t>gram. We then restricted the eligible years considered to be between 2000-2010, to ensure that all cohorts had an equivalent follow up time, and then followed up each cohort for 5 years recording the number of cases and the population in each year. To allo</w:t>
      </w:r>
      <w:r>
        <w:t>w comparison between those eligible prior to the BCG vaccination policy change and those eligible post policy change each cohort was flagged as either pre or post policy change using a binary variable (Policy change; Pre change/Post change).</w:t>
      </w:r>
    </w:p>
    <w:p w14:paraId="0BFBAE33" w14:textId="77777777" w:rsidR="00F74486" w:rsidRDefault="008964ED">
      <w:pPr>
        <w:pStyle w:val="BodyText"/>
      </w:pPr>
      <w:r>
        <w:t>The above step</w:t>
      </w:r>
      <w:r>
        <w:t xml:space="preserve">s created two retrospective cohorts of cases and crude controls, one for those eligible for the schools scheme (vaccination at 14 years old) and one eligible for the universal scheme (vaccination at birth); with the UK born as the population exposed to UK </w:t>
      </w:r>
      <w:r>
        <w:t>vaccination policy, and therefore eligible, and the Non-UK born cohorts acting as unexposed crude controls. The structure of each retrospective cohort is summarised in table 1.</w:t>
      </w:r>
    </w:p>
    <w:p w14:paraId="51569B1D" w14:textId="77777777" w:rsidR="00F74486" w:rsidRDefault="008964ED">
      <w:pPr>
        <w:pStyle w:val="TableCaption"/>
      </w:pPr>
      <w:r>
        <w:rPr>
          <w:b/>
        </w:rPr>
        <w:t>Table 1:</w:t>
      </w:r>
    </w:p>
    <w:tbl>
      <w:tblPr>
        <w:tblW w:w="0" w:type="pct"/>
        <w:tblLook w:val="07E0" w:firstRow="1" w:lastRow="1" w:firstColumn="1" w:lastColumn="1" w:noHBand="1" w:noVBand="1"/>
        <w:tblCaption w:val="Table 1:"/>
      </w:tblPr>
      <w:tblGrid>
        <w:gridCol w:w="2784"/>
        <w:gridCol w:w="1127"/>
        <w:gridCol w:w="1070"/>
        <w:gridCol w:w="1718"/>
        <w:gridCol w:w="1491"/>
        <w:gridCol w:w="1386"/>
      </w:tblGrid>
      <w:tr w:rsidR="00F74486" w14:paraId="29978649" w14:textId="77777777">
        <w:tc>
          <w:tcPr>
            <w:tcW w:w="0" w:type="auto"/>
            <w:tcBorders>
              <w:bottom w:val="single" w:sz="0" w:space="0" w:color="auto"/>
            </w:tcBorders>
            <w:vAlign w:val="bottom"/>
          </w:tcPr>
          <w:p w14:paraId="02899768" w14:textId="77777777" w:rsidR="00F74486" w:rsidRDefault="008964ED">
            <w:pPr>
              <w:pStyle w:val="Compact"/>
            </w:pPr>
            <w:r>
              <w:t>Cohort</w:t>
            </w:r>
          </w:p>
        </w:tc>
        <w:tc>
          <w:tcPr>
            <w:tcW w:w="0" w:type="auto"/>
            <w:tcBorders>
              <w:bottom w:val="single" w:sz="0" w:space="0" w:color="auto"/>
            </w:tcBorders>
            <w:vAlign w:val="bottom"/>
          </w:tcPr>
          <w:p w14:paraId="73822B86" w14:textId="77777777" w:rsidR="00F74486" w:rsidRDefault="008964ED">
            <w:pPr>
              <w:pStyle w:val="Compact"/>
            </w:pPr>
            <w:r>
              <w:t>Birth status</w:t>
            </w:r>
          </w:p>
        </w:tc>
        <w:tc>
          <w:tcPr>
            <w:tcW w:w="0" w:type="auto"/>
            <w:tcBorders>
              <w:bottom w:val="single" w:sz="0" w:space="0" w:color="auto"/>
            </w:tcBorders>
            <w:vAlign w:val="bottom"/>
          </w:tcPr>
          <w:p w14:paraId="63CC9D1B" w14:textId="77777777" w:rsidR="00F74486" w:rsidRDefault="008964ED">
            <w:pPr>
              <w:pStyle w:val="Compact"/>
            </w:pPr>
            <w:r>
              <w:t>Study arm</w:t>
            </w:r>
          </w:p>
        </w:tc>
        <w:tc>
          <w:tcPr>
            <w:tcW w:w="0" w:type="auto"/>
            <w:tcBorders>
              <w:bottom w:val="single" w:sz="0" w:space="0" w:color="auto"/>
            </w:tcBorders>
            <w:vAlign w:val="bottom"/>
          </w:tcPr>
          <w:p w14:paraId="3BB3F518" w14:textId="77777777" w:rsidR="00F74486" w:rsidRDefault="008964ED">
            <w:pPr>
              <w:pStyle w:val="Compact"/>
            </w:pPr>
            <w:r>
              <w:t>Eligiblity criteria (age)</w:t>
            </w:r>
          </w:p>
        </w:tc>
        <w:tc>
          <w:tcPr>
            <w:tcW w:w="0" w:type="auto"/>
            <w:tcBorders>
              <w:bottom w:val="single" w:sz="0" w:space="0" w:color="auto"/>
            </w:tcBorders>
            <w:vAlign w:val="bottom"/>
          </w:tcPr>
          <w:p w14:paraId="01CE5CDC" w14:textId="77777777" w:rsidR="00F74486" w:rsidRDefault="008964ED">
            <w:pPr>
              <w:pStyle w:val="Compact"/>
            </w:pPr>
            <w:r>
              <w:t>Eligible entry years</w:t>
            </w:r>
          </w:p>
        </w:tc>
        <w:tc>
          <w:tcPr>
            <w:tcW w:w="0" w:type="auto"/>
            <w:tcBorders>
              <w:bottom w:val="single" w:sz="0" w:space="0" w:color="auto"/>
            </w:tcBorders>
            <w:vAlign w:val="bottom"/>
          </w:tcPr>
          <w:p w14:paraId="64CD0DCE" w14:textId="77777777" w:rsidR="00F74486" w:rsidRDefault="008964ED">
            <w:pPr>
              <w:pStyle w:val="Compact"/>
              <w:jc w:val="right"/>
            </w:pPr>
            <w:r>
              <w:t>Years of follow up</w:t>
            </w:r>
          </w:p>
        </w:tc>
      </w:tr>
      <w:tr w:rsidR="00F74486" w14:paraId="4D42B559" w14:textId="77777777">
        <w:tc>
          <w:tcPr>
            <w:tcW w:w="0" w:type="auto"/>
          </w:tcPr>
          <w:p w14:paraId="35075EF5" w14:textId="77777777" w:rsidR="00F74486" w:rsidRDefault="008964ED">
            <w:pPr>
              <w:pStyle w:val="Compact"/>
            </w:pPr>
            <w:r>
              <w:lastRenderedPageBreak/>
              <w:t>Eligible for universal school age vaccination</w:t>
            </w:r>
          </w:p>
        </w:tc>
        <w:tc>
          <w:tcPr>
            <w:tcW w:w="0" w:type="auto"/>
          </w:tcPr>
          <w:p w14:paraId="76D2BEEF" w14:textId="77777777" w:rsidR="00F74486" w:rsidRDefault="008964ED">
            <w:pPr>
              <w:pStyle w:val="Compact"/>
            </w:pPr>
            <w:r>
              <w:t>UK born</w:t>
            </w:r>
          </w:p>
        </w:tc>
        <w:tc>
          <w:tcPr>
            <w:tcW w:w="0" w:type="auto"/>
          </w:tcPr>
          <w:p w14:paraId="0DF3C02D" w14:textId="77777777" w:rsidR="00F74486" w:rsidRDefault="008964ED">
            <w:pPr>
              <w:pStyle w:val="Compact"/>
            </w:pPr>
            <w:r>
              <w:t>Case</w:t>
            </w:r>
          </w:p>
        </w:tc>
        <w:tc>
          <w:tcPr>
            <w:tcW w:w="0" w:type="auto"/>
          </w:tcPr>
          <w:p w14:paraId="5B2040CF" w14:textId="77777777" w:rsidR="00F74486" w:rsidRDefault="008964ED">
            <w:pPr>
              <w:pStyle w:val="Compact"/>
            </w:pPr>
            <w:r>
              <w:t>14</w:t>
            </w:r>
          </w:p>
        </w:tc>
        <w:tc>
          <w:tcPr>
            <w:tcW w:w="0" w:type="auto"/>
          </w:tcPr>
          <w:p w14:paraId="7F632375" w14:textId="77777777" w:rsidR="00F74486" w:rsidRDefault="008964ED">
            <w:pPr>
              <w:pStyle w:val="Compact"/>
            </w:pPr>
            <w:r>
              <w:t>2000-2010</w:t>
            </w:r>
          </w:p>
        </w:tc>
        <w:tc>
          <w:tcPr>
            <w:tcW w:w="0" w:type="auto"/>
          </w:tcPr>
          <w:p w14:paraId="19542CAD" w14:textId="77777777" w:rsidR="00F74486" w:rsidRDefault="008964ED">
            <w:pPr>
              <w:pStyle w:val="Compact"/>
              <w:jc w:val="right"/>
            </w:pPr>
            <w:r>
              <w:t>5</w:t>
            </w:r>
          </w:p>
        </w:tc>
      </w:tr>
      <w:tr w:rsidR="00F74486" w14:paraId="0FDEA36D" w14:textId="77777777">
        <w:tc>
          <w:tcPr>
            <w:tcW w:w="0" w:type="auto"/>
          </w:tcPr>
          <w:p w14:paraId="133402A2" w14:textId="77777777" w:rsidR="00F74486" w:rsidRDefault="00F74486">
            <w:pPr>
              <w:pStyle w:val="Compact"/>
            </w:pPr>
          </w:p>
        </w:tc>
        <w:tc>
          <w:tcPr>
            <w:tcW w:w="0" w:type="auto"/>
          </w:tcPr>
          <w:p w14:paraId="4D55B886" w14:textId="77777777" w:rsidR="00F74486" w:rsidRDefault="008964ED">
            <w:pPr>
              <w:pStyle w:val="Compact"/>
            </w:pPr>
            <w:r>
              <w:t>Non-UK born</w:t>
            </w:r>
          </w:p>
        </w:tc>
        <w:tc>
          <w:tcPr>
            <w:tcW w:w="0" w:type="auto"/>
          </w:tcPr>
          <w:p w14:paraId="6C94C4F1" w14:textId="77777777" w:rsidR="00F74486" w:rsidRDefault="008964ED">
            <w:pPr>
              <w:pStyle w:val="Compact"/>
            </w:pPr>
            <w:r>
              <w:t>Control</w:t>
            </w:r>
          </w:p>
        </w:tc>
        <w:tc>
          <w:tcPr>
            <w:tcW w:w="0" w:type="auto"/>
          </w:tcPr>
          <w:p w14:paraId="225450B5" w14:textId="77777777" w:rsidR="00F74486" w:rsidRDefault="008964ED">
            <w:pPr>
              <w:pStyle w:val="Compact"/>
            </w:pPr>
            <w:r>
              <w:t>14</w:t>
            </w:r>
          </w:p>
        </w:tc>
        <w:tc>
          <w:tcPr>
            <w:tcW w:w="0" w:type="auto"/>
          </w:tcPr>
          <w:p w14:paraId="17A8ECAC" w14:textId="77777777" w:rsidR="00F74486" w:rsidRDefault="008964ED">
            <w:pPr>
              <w:pStyle w:val="Compact"/>
            </w:pPr>
            <w:r>
              <w:t>2000-2010</w:t>
            </w:r>
          </w:p>
        </w:tc>
        <w:tc>
          <w:tcPr>
            <w:tcW w:w="0" w:type="auto"/>
          </w:tcPr>
          <w:p w14:paraId="468C4FCF" w14:textId="77777777" w:rsidR="00F74486" w:rsidRDefault="008964ED">
            <w:pPr>
              <w:pStyle w:val="Compact"/>
              <w:jc w:val="right"/>
            </w:pPr>
            <w:r>
              <w:t>5</w:t>
            </w:r>
          </w:p>
        </w:tc>
      </w:tr>
      <w:tr w:rsidR="00F74486" w14:paraId="0218CBC2" w14:textId="77777777">
        <w:tc>
          <w:tcPr>
            <w:tcW w:w="0" w:type="auto"/>
          </w:tcPr>
          <w:p w14:paraId="6B303D4C" w14:textId="77777777" w:rsidR="00F74486" w:rsidRDefault="008964ED">
            <w:pPr>
              <w:pStyle w:val="Compact"/>
            </w:pPr>
            <w:r>
              <w:t>Eligible for targeted neonatal vaccination</w:t>
            </w:r>
          </w:p>
        </w:tc>
        <w:tc>
          <w:tcPr>
            <w:tcW w:w="0" w:type="auto"/>
          </w:tcPr>
          <w:p w14:paraId="34AC8F5C" w14:textId="77777777" w:rsidR="00F74486" w:rsidRDefault="008964ED">
            <w:pPr>
              <w:pStyle w:val="Compact"/>
            </w:pPr>
            <w:r>
              <w:t>UK born</w:t>
            </w:r>
          </w:p>
        </w:tc>
        <w:tc>
          <w:tcPr>
            <w:tcW w:w="0" w:type="auto"/>
          </w:tcPr>
          <w:p w14:paraId="5B0494E9" w14:textId="77777777" w:rsidR="00F74486" w:rsidRDefault="008964ED">
            <w:pPr>
              <w:pStyle w:val="Compact"/>
            </w:pPr>
            <w:r>
              <w:t>Case</w:t>
            </w:r>
          </w:p>
        </w:tc>
        <w:tc>
          <w:tcPr>
            <w:tcW w:w="0" w:type="auto"/>
          </w:tcPr>
          <w:p w14:paraId="59D19C57" w14:textId="77777777" w:rsidR="00F74486" w:rsidRDefault="008964ED">
            <w:pPr>
              <w:pStyle w:val="Compact"/>
            </w:pPr>
            <w:r>
              <w:t>&lt; 1</w:t>
            </w:r>
          </w:p>
        </w:tc>
        <w:tc>
          <w:tcPr>
            <w:tcW w:w="0" w:type="auto"/>
          </w:tcPr>
          <w:p w14:paraId="59678C72" w14:textId="77777777" w:rsidR="00F74486" w:rsidRDefault="008964ED">
            <w:pPr>
              <w:pStyle w:val="Compact"/>
            </w:pPr>
            <w:r>
              <w:t>2000-2010</w:t>
            </w:r>
          </w:p>
        </w:tc>
        <w:tc>
          <w:tcPr>
            <w:tcW w:w="0" w:type="auto"/>
          </w:tcPr>
          <w:p w14:paraId="7483DF42" w14:textId="77777777" w:rsidR="00F74486" w:rsidRDefault="008964ED">
            <w:pPr>
              <w:pStyle w:val="Compact"/>
              <w:jc w:val="right"/>
            </w:pPr>
            <w:r>
              <w:t>5</w:t>
            </w:r>
          </w:p>
        </w:tc>
      </w:tr>
      <w:tr w:rsidR="00F74486" w14:paraId="00525CEC" w14:textId="77777777">
        <w:tc>
          <w:tcPr>
            <w:tcW w:w="0" w:type="auto"/>
          </w:tcPr>
          <w:p w14:paraId="0C4D90CB" w14:textId="77777777" w:rsidR="00F74486" w:rsidRDefault="00F74486">
            <w:pPr>
              <w:pStyle w:val="Compact"/>
            </w:pPr>
          </w:p>
        </w:tc>
        <w:tc>
          <w:tcPr>
            <w:tcW w:w="0" w:type="auto"/>
          </w:tcPr>
          <w:p w14:paraId="16B881E2" w14:textId="77777777" w:rsidR="00F74486" w:rsidRDefault="008964ED">
            <w:pPr>
              <w:pStyle w:val="Compact"/>
            </w:pPr>
            <w:r>
              <w:t>Non-UK born</w:t>
            </w:r>
          </w:p>
        </w:tc>
        <w:tc>
          <w:tcPr>
            <w:tcW w:w="0" w:type="auto"/>
          </w:tcPr>
          <w:p w14:paraId="3F5B862C" w14:textId="77777777" w:rsidR="00F74486" w:rsidRDefault="008964ED">
            <w:pPr>
              <w:pStyle w:val="Compact"/>
            </w:pPr>
            <w:r>
              <w:t>Control</w:t>
            </w:r>
          </w:p>
        </w:tc>
        <w:tc>
          <w:tcPr>
            <w:tcW w:w="0" w:type="auto"/>
          </w:tcPr>
          <w:p w14:paraId="353710BA" w14:textId="77777777" w:rsidR="00F74486" w:rsidRDefault="008964ED">
            <w:pPr>
              <w:pStyle w:val="Compact"/>
            </w:pPr>
            <w:r>
              <w:t>&lt; 1</w:t>
            </w:r>
          </w:p>
        </w:tc>
        <w:tc>
          <w:tcPr>
            <w:tcW w:w="0" w:type="auto"/>
          </w:tcPr>
          <w:p w14:paraId="1C897D59" w14:textId="77777777" w:rsidR="00F74486" w:rsidRDefault="008964ED">
            <w:pPr>
              <w:pStyle w:val="Compact"/>
            </w:pPr>
            <w:r>
              <w:t>2000-2010</w:t>
            </w:r>
          </w:p>
        </w:tc>
        <w:tc>
          <w:tcPr>
            <w:tcW w:w="0" w:type="auto"/>
          </w:tcPr>
          <w:p w14:paraId="619A87A3" w14:textId="77777777" w:rsidR="00F74486" w:rsidRDefault="008964ED">
            <w:pPr>
              <w:pStyle w:val="Compact"/>
              <w:jc w:val="right"/>
            </w:pPr>
            <w:r>
              <w:t>5</w:t>
            </w:r>
          </w:p>
        </w:tc>
      </w:tr>
    </w:tbl>
    <w:p w14:paraId="72C38201" w14:textId="77777777" w:rsidR="00F74486" w:rsidRDefault="008964ED">
      <w:pPr>
        <w:pStyle w:val="BodyText"/>
      </w:pPr>
      <w:r>
        <w:rPr>
          <w:b/>
        </w:rPr>
        <w:t>Confounding variables</w:t>
      </w:r>
    </w:p>
    <w:p w14:paraId="515F4A03" w14:textId="77777777" w:rsidR="00F74486" w:rsidRDefault="008964ED">
      <w:pPr>
        <w:pStyle w:val="BodyText"/>
      </w:pPr>
      <w:r>
        <w:t>As each cohort is followed up starting from a different year of entry there is a strong likelihood of a time bias between cohorts, this potential for bias is strengthened further as the aim of this study is to compare incidence rates prior to 2005, and inc</w:t>
      </w:r>
      <w:r>
        <w:t xml:space="preserve">idence rates post 2005. This confounding cannot be completely adjusted for as variation between years of eligibility, before, and after the policy change is the exposure that we are investigating. However it can be mitigated, by accounting for other known </w:t>
      </w:r>
      <w:r>
        <w:t>confounding, by using a model that includes a random intercept for each cohort, and assuming that any residual effect is associated with the change in vaccination policy. Additionally, evidence indicates that TB incidence varies with age[6]; as we have res</w:t>
      </w:r>
      <w:r>
        <w:t>tricted entry to each cohort by age, years of follow up acts as a proxy for age and therefore should be adjusted for. Finally, as TB is an infectious disease cases are not independent of each other, and are instead due to contact between individuals. Incid</w:t>
      </w:r>
      <w:r>
        <w:t>ence rates of TB vary with time, and when incidence is high individuals in our study populations may be at a higher risk of being infected. To account for this the number of cases, and population size of the background population should be adjusted for. TB</w:t>
      </w:r>
      <w:r>
        <w:t xml:space="preserve"> is heterogeneously distributed across the population[6], and there is some evidence that case importation drives incidence rates, therefore incidence in the study population maybe associated with both the background rate in the UK born population, and in </w:t>
      </w:r>
      <w:r>
        <w:t>the non-UK born population. There may also be an additional interaction between the rate in the UK born population and in the Non-UK born population.</w:t>
      </w:r>
    </w:p>
    <w:p w14:paraId="4FA741A9" w14:textId="77777777" w:rsidR="00F74486" w:rsidRDefault="008964ED">
      <w:pPr>
        <w:pStyle w:val="BodyText"/>
      </w:pPr>
      <w:r>
        <w:rPr>
          <w:b/>
        </w:rPr>
        <w:t>Model definitions</w:t>
      </w:r>
    </w:p>
    <w:p w14:paraId="5E8ED1CD" w14:textId="77777777" w:rsidR="00F74486" w:rsidRDefault="008964ED">
      <w:pPr>
        <w:pStyle w:val="BodyText"/>
      </w:pPr>
      <w:r>
        <w:t>As model building can be subjective and because differences between models can be inform</w:t>
      </w:r>
      <w:r>
        <w:t>ative we considered a range of models, motivated by the possible confounding outlined above. The simplest model included in the analysis was a univariable analysis of the policy change; in a poisson framework. Additionally variables were then added to acco</w:t>
      </w:r>
      <w:r>
        <w:t>unt for possible confounding. As the follow up for each cohort began in a different year models with a random intercept for year of entry were included, again with a range of model complexities. Finally evidence of over-dispersion was tested for by using c</w:t>
      </w:r>
      <w:r>
        <w:t>omparable negative binomial models for both the most complex fixed and random effect models. Table 2 outlines the details of each model included in the analysis.</w:t>
      </w:r>
    </w:p>
    <w:p w14:paraId="28138469" w14:textId="77777777" w:rsidR="00F74486" w:rsidRDefault="008964ED">
      <w:pPr>
        <w:pStyle w:val="TableCaption"/>
      </w:pPr>
      <w:r>
        <w:rPr>
          <w:b/>
        </w:rPr>
        <w:t>Table 2:</w:t>
      </w:r>
      <w:r>
        <w:t xml:space="preserve"> Model definitions, specifying if the adjustment has a fixed or random effect. The mod</w:t>
      </w:r>
      <w:r>
        <w:t>els are ordered by complexity.</w:t>
      </w:r>
    </w:p>
    <w:tbl>
      <w:tblPr>
        <w:tblW w:w="4791" w:type="pct"/>
        <w:tblLook w:val="07E0" w:firstRow="1" w:lastRow="1" w:firstColumn="1" w:lastColumn="1" w:noHBand="1" w:noVBand="1"/>
        <w:tblCaption w:val="Table 2: Model definitions, specifying if the adjustment has a fixed or random effect. The models are ordered by complexity."/>
      </w:tblPr>
      <w:tblGrid>
        <w:gridCol w:w="907"/>
        <w:gridCol w:w="8269"/>
      </w:tblGrid>
      <w:tr w:rsidR="00F74486" w14:paraId="693A85F3" w14:textId="77777777">
        <w:tc>
          <w:tcPr>
            <w:tcW w:w="0" w:type="auto"/>
            <w:tcBorders>
              <w:bottom w:val="single" w:sz="0" w:space="0" w:color="auto"/>
            </w:tcBorders>
            <w:vAlign w:val="bottom"/>
          </w:tcPr>
          <w:p w14:paraId="0FCB68F2" w14:textId="77777777" w:rsidR="00F74486" w:rsidRDefault="008964ED">
            <w:pPr>
              <w:pStyle w:val="Compact"/>
            </w:pPr>
            <w:r>
              <w:t>Model</w:t>
            </w:r>
          </w:p>
        </w:tc>
        <w:tc>
          <w:tcPr>
            <w:tcW w:w="0" w:type="auto"/>
            <w:tcBorders>
              <w:bottom w:val="single" w:sz="0" w:space="0" w:color="auto"/>
            </w:tcBorders>
            <w:vAlign w:val="bottom"/>
          </w:tcPr>
          <w:p w14:paraId="0985B341" w14:textId="77777777" w:rsidR="00F74486" w:rsidRDefault="008964ED">
            <w:pPr>
              <w:pStyle w:val="Compact"/>
            </w:pPr>
            <w:r>
              <w:t>Description</w:t>
            </w:r>
          </w:p>
        </w:tc>
      </w:tr>
      <w:tr w:rsidR="00F74486" w14:paraId="033E8191" w14:textId="77777777">
        <w:tc>
          <w:tcPr>
            <w:tcW w:w="0" w:type="auto"/>
          </w:tcPr>
          <w:p w14:paraId="0531A41B" w14:textId="77777777" w:rsidR="00F74486" w:rsidRDefault="008964ED">
            <w:pPr>
              <w:pStyle w:val="Compact"/>
            </w:pPr>
            <w:r>
              <w:lastRenderedPageBreak/>
              <w:t>Model 1</w:t>
            </w:r>
          </w:p>
        </w:tc>
        <w:tc>
          <w:tcPr>
            <w:tcW w:w="0" w:type="auto"/>
          </w:tcPr>
          <w:p w14:paraId="5C7157B4" w14:textId="77777777" w:rsidR="00F74486" w:rsidRDefault="008964ED">
            <w:pPr>
              <w:pStyle w:val="Compact"/>
            </w:pPr>
            <w:r>
              <w:t>Poisson framework; Adjusting with fixed effects for policy change.</w:t>
            </w:r>
          </w:p>
        </w:tc>
      </w:tr>
      <w:tr w:rsidR="00F74486" w14:paraId="1E0D6612" w14:textId="77777777">
        <w:tc>
          <w:tcPr>
            <w:tcW w:w="0" w:type="auto"/>
          </w:tcPr>
          <w:p w14:paraId="0FFD3DBE" w14:textId="77777777" w:rsidR="00F74486" w:rsidRDefault="008964ED">
            <w:pPr>
              <w:pStyle w:val="Compact"/>
            </w:pPr>
            <w:r>
              <w:t>Model 2</w:t>
            </w:r>
          </w:p>
        </w:tc>
        <w:tc>
          <w:tcPr>
            <w:tcW w:w="0" w:type="auto"/>
          </w:tcPr>
          <w:p w14:paraId="01365FFF" w14:textId="77777777" w:rsidR="00F74486" w:rsidRDefault="008964ED">
            <w:pPr>
              <w:pStyle w:val="Compact"/>
            </w:pPr>
            <w:r>
              <w:t>Poisson framework; Adjusting with fixed effects for policy change, and years of follow up.</w:t>
            </w:r>
          </w:p>
        </w:tc>
      </w:tr>
      <w:tr w:rsidR="00F74486" w14:paraId="0049CE43" w14:textId="77777777">
        <w:tc>
          <w:tcPr>
            <w:tcW w:w="0" w:type="auto"/>
          </w:tcPr>
          <w:p w14:paraId="03118F5E" w14:textId="77777777" w:rsidR="00F74486" w:rsidRDefault="008964ED">
            <w:pPr>
              <w:pStyle w:val="Compact"/>
            </w:pPr>
            <w:r>
              <w:t>Model 3</w:t>
            </w:r>
          </w:p>
        </w:tc>
        <w:tc>
          <w:tcPr>
            <w:tcW w:w="0" w:type="auto"/>
          </w:tcPr>
          <w:p w14:paraId="53B5CB6C" w14:textId="77777777" w:rsidR="00F74486" w:rsidRDefault="008964ED">
            <w:pPr>
              <w:pStyle w:val="Compact"/>
            </w:pPr>
            <w:r>
              <w:t>Poisson framework; Adj</w:t>
            </w:r>
            <w:r>
              <w:t>usting with fixed effects for policy change, years of follow up, background cases, and background population.</w:t>
            </w:r>
          </w:p>
        </w:tc>
      </w:tr>
      <w:tr w:rsidR="00F74486" w14:paraId="1EFBAA94" w14:textId="77777777">
        <w:tc>
          <w:tcPr>
            <w:tcW w:w="0" w:type="auto"/>
          </w:tcPr>
          <w:p w14:paraId="2A7A8EDF" w14:textId="77777777" w:rsidR="00F74486" w:rsidRDefault="008964ED">
            <w:pPr>
              <w:pStyle w:val="Compact"/>
            </w:pPr>
            <w:r>
              <w:t>Model 4</w:t>
            </w:r>
          </w:p>
        </w:tc>
        <w:tc>
          <w:tcPr>
            <w:tcW w:w="0" w:type="auto"/>
          </w:tcPr>
          <w:p w14:paraId="3AC7D323" w14:textId="77777777" w:rsidR="00F74486" w:rsidRDefault="008964ED">
            <w:pPr>
              <w:pStyle w:val="Compact"/>
            </w:pPr>
            <w:r>
              <w:t xml:space="preserve">Poisson framework; Adjusting with fixed effects for policy change, years of follow up, background cases, and background </w:t>
            </w:r>
            <w:r>
              <w:t>population with background cases:population as interaction terms.</w:t>
            </w:r>
          </w:p>
        </w:tc>
      </w:tr>
      <w:tr w:rsidR="00F74486" w14:paraId="0D51309A" w14:textId="77777777">
        <w:tc>
          <w:tcPr>
            <w:tcW w:w="0" w:type="auto"/>
          </w:tcPr>
          <w:p w14:paraId="37CBA078" w14:textId="77777777" w:rsidR="00F74486" w:rsidRDefault="008964ED">
            <w:pPr>
              <w:pStyle w:val="Compact"/>
            </w:pPr>
            <w:r>
              <w:t>Model 5</w:t>
            </w:r>
          </w:p>
        </w:tc>
        <w:tc>
          <w:tcPr>
            <w:tcW w:w="0" w:type="auto"/>
          </w:tcPr>
          <w:p w14:paraId="19D7F7FC" w14:textId="77777777" w:rsidR="00F74486" w:rsidRDefault="008964ED">
            <w:pPr>
              <w:pStyle w:val="Compact"/>
            </w:pPr>
            <w:r>
              <w:t>Poisson framework; Adjusting with fixed effects for policy change, years of follow up, UK born-UK born cases, and UK born-UK born populations.</w:t>
            </w:r>
          </w:p>
        </w:tc>
      </w:tr>
      <w:tr w:rsidR="00F74486" w14:paraId="4C1FF204" w14:textId="77777777">
        <w:tc>
          <w:tcPr>
            <w:tcW w:w="0" w:type="auto"/>
          </w:tcPr>
          <w:p w14:paraId="7EC2444E" w14:textId="77777777" w:rsidR="00F74486" w:rsidRDefault="008964ED">
            <w:pPr>
              <w:pStyle w:val="Compact"/>
            </w:pPr>
            <w:r>
              <w:t>Model 6</w:t>
            </w:r>
          </w:p>
        </w:tc>
        <w:tc>
          <w:tcPr>
            <w:tcW w:w="0" w:type="auto"/>
          </w:tcPr>
          <w:p w14:paraId="7DC365A9" w14:textId="77777777" w:rsidR="00F74486" w:rsidRDefault="008964ED">
            <w:pPr>
              <w:pStyle w:val="Compact"/>
            </w:pPr>
            <w:r>
              <w:t xml:space="preserve">Poisson framework; Adjusting </w:t>
            </w:r>
            <w:r>
              <w:t>with fixed effects for policy change, years of follow up, UK born-UK born cases, and UK born-UK born populations with UK born cases:population, and non-UK born cases:population as interaction terms.</w:t>
            </w:r>
          </w:p>
        </w:tc>
      </w:tr>
      <w:tr w:rsidR="00F74486" w14:paraId="08D89233" w14:textId="77777777">
        <w:tc>
          <w:tcPr>
            <w:tcW w:w="0" w:type="auto"/>
          </w:tcPr>
          <w:p w14:paraId="00945368" w14:textId="77777777" w:rsidR="00F74486" w:rsidRDefault="008964ED">
            <w:pPr>
              <w:pStyle w:val="Compact"/>
            </w:pPr>
            <w:r>
              <w:t>Model 7</w:t>
            </w:r>
          </w:p>
        </w:tc>
        <w:tc>
          <w:tcPr>
            <w:tcW w:w="0" w:type="auto"/>
          </w:tcPr>
          <w:p w14:paraId="555068FD" w14:textId="77777777" w:rsidR="00F74486" w:rsidRDefault="008964ED">
            <w:pPr>
              <w:pStyle w:val="Compact"/>
            </w:pPr>
            <w:r>
              <w:t xml:space="preserve">Poisson framework; Adjusting with fixed effects </w:t>
            </w:r>
            <w:r>
              <w:t>for policy change, years of follow up, UK born-UK born cases, and UK born-UK born populations with UK born cases:population, non-UK born cases:population, and UK born incidence:non-UK born incidence as interaction terms.</w:t>
            </w:r>
          </w:p>
        </w:tc>
      </w:tr>
      <w:tr w:rsidR="00F74486" w14:paraId="628E310F" w14:textId="77777777">
        <w:tc>
          <w:tcPr>
            <w:tcW w:w="0" w:type="auto"/>
          </w:tcPr>
          <w:p w14:paraId="776D56C3" w14:textId="77777777" w:rsidR="00F74486" w:rsidRDefault="008964ED">
            <w:pPr>
              <w:pStyle w:val="Compact"/>
            </w:pPr>
            <w:r>
              <w:t>Model 8</w:t>
            </w:r>
          </w:p>
        </w:tc>
        <w:tc>
          <w:tcPr>
            <w:tcW w:w="0" w:type="auto"/>
          </w:tcPr>
          <w:p w14:paraId="38A6656F" w14:textId="77777777" w:rsidR="00F74486" w:rsidRDefault="008964ED">
            <w:pPr>
              <w:pStyle w:val="Compact"/>
            </w:pPr>
            <w:r>
              <w:t>Negative binomial framewor</w:t>
            </w:r>
            <w:r>
              <w:t>k; Adjusting with fixed effects for policy change, years of follow up, UK born-UK born cases, and UK born-UK born populations with UK born cases:population, non-UK born cases:population, and UK born incidence:non-UK born incidence as interaction terms.</w:t>
            </w:r>
          </w:p>
        </w:tc>
      </w:tr>
      <w:tr w:rsidR="00F74486" w14:paraId="335B37F7" w14:textId="77777777">
        <w:tc>
          <w:tcPr>
            <w:tcW w:w="0" w:type="auto"/>
          </w:tcPr>
          <w:p w14:paraId="03FCEF35" w14:textId="77777777" w:rsidR="00F74486" w:rsidRDefault="008964ED">
            <w:pPr>
              <w:pStyle w:val="Compact"/>
            </w:pPr>
            <w:r>
              <w:t>Mo</w:t>
            </w:r>
            <w:r>
              <w:t>del 9</w:t>
            </w:r>
          </w:p>
        </w:tc>
        <w:tc>
          <w:tcPr>
            <w:tcW w:w="0" w:type="auto"/>
          </w:tcPr>
          <w:p w14:paraId="1971872B" w14:textId="77777777" w:rsidR="00F74486" w:rsidRDefault="008964ED">
            <w:pPr>
              <w:pStyle w:val="Compact"/>
            </w:pPr>
            <w:r>
              <w:t>Poisson framework; Random intercept for year of entry, adjusting with fixed effects for policy change.</w:t>
            </w:r>
          </w:p>
        </w:tc>
      </w:tr>
      <w:tr w:rsidR="00F74486" w14:paraId="3F709961" w14:textId="77777777">
        <w:tc>
          <w:tcPr>
            <w:tcW w:w="0" w:type="auto"/>
          </w:tcPr>
          <w:p w14:paraId="4D7ED32D" w14:textId="77777777" w:rsidR="00F74486" w:rsidRDefault="008964ED">
            <w:pPr>
              <w:pStyle w:val="Compact"/>
            </w:pPr>
            <w:r>
              <w:t>Model 10</w:t>
            </w:r>
          </w:p>
        </w:tc>
        <w:tc>
          <w:tcPr>
            <w:tcW w:w="0" w:type="auto"/>
          </w:tcPr>
          <w:p w14:paraId="15783406" w14:textId="77777777" w:rsidR="00F74486" w:rsidRDefault="008964ED">
            <w:pPr>
              <w:pStyle w:val="Compact"/>
            </w:pPr>
            <w:r>
              <w:t>Poisson framework; Random intercept for year of entry, adjusting with fixed effects for policy change, and years of follow up.</w:t>
            </w:r>
          </w:p>
        </w:tc>
      </w:tr>
      <w:tr w:rsidR="00F74486" w14:paraId="2B4EDAE8" w14:textId="77777777">
        <w:tc>
          <w:tcPr>
            <w:tcW w:w="0" w:type="auto"/>
          </w:tcPr>
          <w:p w14:paraId="5DB8F7DA" w14:textId="77777777" w:rsidR="00F74486" w:rsidRDefault="008964ED">
            <w:pPr>
              <w:pStyle w:val="Compact"/>
            </w:pPr>
            <w:r>
              <w:t>Model 11</w:t>
            </w:r>
          </w:p>
        </w:tc>
        <w:tc>
          <w:tcPr>
            <w:tcW w:w="0" w:type="auto"/>
          </w:tcPr>
          <w:p w14:paraId="1C094954" w14:textId="77777777" w:rsidR="00F74486" w:rsidRDefault="008964ED">
            <w:pPr>
              <w:pStyle w:val="Compact"/>
            </w:pPr>
            <w:r>
              <w:t>Poisson framework; Random intercept for year of entry, adjusting with fixed effects for policy change, years of follow up, background cases, and background population.</w:t>
            </w:r>
          </w:p>
        </w:tc>
      </w:tr>
      <w:tr w:rsidR="00F74486" w14:paraId="502D86CD" w14:textId="77777777">
        <w:tc>
          <w:tcPr>
            <w:tcW w:w="0" w:type="auto"/>
          </w:tcPr>
          <w:p w14:paraId="0B30C363" w14:textId="77777777" w:rsidR="00F74486" w:rsidRDefault="008964ED">
            <w:pPr>
              <w:pStyle w:val="Compact"/>
            </w:pPr>
            <w:r>
              <w:t>Model 12</w:t>
            </w:r>
          </w:p>
        </w:tc>
        <w:tc>
          <w:tcPr>
            <w:tcW w:w="0" w:type="auto"/>
          </w:tcPr>
          <w:p w14:paraId="68C45CEB" w14:textId="77777777" w:rsidR="00F74486" w:rsidRDefault="008964ED">
            <w:pPr>
              <w:pStyle w:val="Compact"/>
            </w:pPr>
            <w:r>
              <w:t xml:space="preserve">Poisson framework; Random intercept for year of entry, </w:t>
            </w:r>
            <w:r>
              <w:t>adjusting with fixed effects for policy change, years of follow up, background cases, and background population with background cases:population as interaction terms.</w:t>
            </w:r>
          </w:p>
        </w:tc>
      </w:tr>
      <w:tr w:rsidR="00F74486" w14:paraId="528CF7AF" w14:textId="77777777">
        <w:tc>
          <w:tcPr>
            <w:tcW w:w="0" w:type="auto"/>
          </w:tcPr>
          <w:p w14:paraId="7D9941BB" w14:textId="77777777" w:rsidR="00F74486" w:rsidRDefault="008964ED">
            <w:pPr>
              <w:pStyle w:val="Compact"/>
            </w:pPr>
            <w:r>
              <w:t>Model 13</w:t>
            </w:r>
          </w:p>
        </w:tc>
        <w:tc>
          <w:tcPr>
            <w:tcW w:w="0" w:type="auto"/>
          </w:tcPr>
          <w:p w14:paraId="7B7BAC46" w14:textId="77777777" w:rsidR="00F74486" w:rsidRDefault="008964ED">
            <w:pPr>
              <w:pStyle w:val="Compact"/>
            </w:pPr>
            <w:r>
              <w:t>Poisson framework; Random intercept for year of entry, adjusting with fixed eff</w:t>
            </w:r>
            <w:r>
              <w:t>ects for policy change, years of follow up, UK born-UK born cases, and UK born-UK born populations.</w:t>
            </w:r>
          </w:p>
        </w:tc>
      </w:tr>
      <w:tr w:rsidR="00F74486" w14:paraId="0700F063" w14:textId="77777777">
        <w:tc>
          <w:tcPr>
            <w:tcW w:w="0" w:type="auto"/>
          </w:tcPr>
          <w:p w14:paraId="0506D0F7" w14:textId="77777777" w:rsidR="00F74486" w:rsidRDefault="008964ED">
            <w:pPr>
              <w:pStyle w:val="Compact"/>
            </w:pPr>
            <w:r>
              <w:t>Model 14</w:t>
            </w:r>
          </w:p>
        </w:tc>
        <w:tc>
          <w:tcPr>
            <w:tcW w:w="0" w:type="auto"/>
          </w:tcPr>
          <w:p w14:paraId="718B45C8" w14:textId="77777777" w:rsidR="00F74486" w:rsidRDefault="008964ED">
            <w:pPr>
              <w:pStyle w:val="Compact"/>
            </w:pPr>
            <w:r>
              <w:t xml:space="preserve">Poisson framework; Random intercept for year of entry, adjusting with fixed effects for policy change, years of follow up, UK born-UK born cases, </w:t>
            </w:r>
            <w:r>
              <w:t>and UK born-UK born populations with UK born cases:population, and non-UK born cases:population as interaction terms.</w:t>
            </w:r>
          </w:p>
        </w:tc>
      </w:tr>
      <w:tr w:rsidR="00F74486" w14:paraId="462631D9" w14:textId="77777777">
        <w:tc>
          <w:tcPr>
            <w:tcW w:w="0" w:type="auto"/>
          </w:tcPr>
          <w:p w14:paraId="4A12BAA4" w14:textId="77777777" w:rsidR="00F74486" w:rsidRDefault="008964ED">
            <w:pPr>
              <w:pStyle w:val="Compact"/>
            </w:pPr>
            <w:r>
              <w:t>Model 15</w:t>
            </w:r>
          </w:p>
        </w:tc>
        <w:tc>
          <w:tcPr>
            <w:tcW w:w="0" w:type="auto"/>
          </w:tcPr>
          <w:p w14:paraId="4B8EF3A7" w14:textId="77777777" w:rsidR="00F74486" w:rsidRDefault="008964ED">
            <w:pPr>
              <w:pStyle w:val="Compact"/>
            </w:pPr>
            <w:r>
              <w:t>Poisson framework; Random intercept for year of entry, adjusting with fixed effects for policy change, years of follow up, UK bo</w:t>
            </w:r>
            <w:r>
              <w:t xml:space="preserve">rn-UK born cases, and UK born-UK born populations with UK born cases:population, non-UK born cases:population, and UK born incidence:non-UK born incidence as interaction </w:t>
            </w:r>
            <w:r>
              <w:lastRenderedPageBreak/>
              <w:t>terms.</w:t>
            </w:r>
          </w:p>
        </w:tc>
      </w:tr>
      <w:tr w:rsidR="00F74486" w14:paraId="7312CD1E" w14:textId="77777777">
        <w:tc>
          <w:tcPr>
            <w:tcW w:w="0" w:type="auto"/>
          </w:tcPr>
          <w:p w14:paraId="4253260D" w14:textId="77777777" w:rsidR="00F74486" w:rsidRDefault="008964ED">
            <w:pPr>
              <w:pStyle w:val="Compact"/>
            </w:pPr>
            <w:r>
              <w:lastRenderedPageBreak/>
              <w:t>Model 16</w:t>
            </w:r>
          </w:p>
        </w:tc>
        <w:tc>
          <w:tcPr>
            <w:tcW w:w="0" w:type="auto"/>
          </w:tcPr>
          <w:p w14:paraId="0AE7A0DC" w14:textId="77777777" w:rsidR="00F74486" w:rsidRDefault="008964ED">
            <w:pPr>
              <w:pStyle w:val="Compact"/>
            </w:pPr>
            <w:r>
              <w:t>Negative binomial framework; Random intercept for year of entry, adju</w:t>
            </w:r>
            <w:r>
              <w:t>sting with fixed effects for policy change, years of follow up, UK born-UK born cases, and UK born-UK born populations with UK born cases:population, non-UK born cases:population, and UK born incidence:non-UK born incidence as interaction terms.</w:t>
            </w:r>
          </w:p>
        </w:tc>
      </w:tr>
    </w:tbl>
    <w:p w14:paraId="3353F6C1" w14:textId="77777777" w:rsidR="00F74486" w:rsidRDefault="008964ED">
      <w:pPr>
        <w:pStyle w:val="BodyText"/>
      </w:pPr>
      <w:r>
        <w:rPr>
          <w:b/>
        </w:rPr>
        <w:t>Model ass</w:t>
      </w:r>
      <w:r>
        <w:rPr>
          <w:b/>
        </w:rPr>
        <w:t>umptions</w:t>
      </w:r>
    </w:p>
    <w:p w14:paraId="372E1185" w14:textId="77777777" w:rsidR="00F74486" w:rsidRDefault="008964ED">
      <w:pPr>
        <w:pStyle w:val="BodyText"/>
      </w:pPr>
      <w:r>
        <w:t>In order to model the estimated effect of the vaccination policy change, we have made several simplifying assumptions. Firstly we have assumed that the incidence of TB in the UK born and non-UK born adequately represents the exposure to TB for the</w:t>
      </w:r>
      <w:r>
        <w:t xml:space="preserve"> study population, this assumes that contact rates between age groups have not changed during the course of the study, and that heterogeneities in contact rates, given changing age specific incidence, do not bias the results. We have also assumed that ther</w:t>
      </w:r>
      <w:r>
        <w:t>e were no systematic changes in vaccination for the non-UK born population, that were comparable to those seen in the UK born population. Additionally, unmeasured confounding variables may cause bias as in any observational study, however this is mitigated</w:t>
      </w:r>
      <w:r>
        <w:t xml:space="preserve"> as it unlikely that these variables have changed systematically over time, and in accounting for multiple years of eligibility we are adjusting for random variation. Due to the complexity of the targeted neonatal vaccination program no data is available o</w:t>
      </w:r>
      <w:r>
        <w:t>n the number of individuals eligible under this scheme in each year, therefore we have made the simplifying assumption that the entire population of neonates was eligible for vaccination. Finally, we have assumed that the retrospective cohorts pre and post</w:t>
      </w:r>
      <w:r>
        <w:t xml:space="preserve"> policy changes are comparable, and that after adjustment for confounding any residual differences between cohorts are due to the effect of changing vaccination policy. This assumption limits the amount of within year of eligibility confounding that can be</w:t>
      </w:r>
      <w:r>
        <w:t xml:space="preserve"> accounted for, as each year of eligibility can only have data on either vaccination pre policy change or vaccination post policy change.</w:t>
      </w:r>
    </w:p>
    <w:p w14:paraId="7D62F920" w14:textId="77777777" w:rsidR="00F74486" w:rsidRDefault="008964ED">
      <w:pPr>
        <w:pStyle w:val="BodyText"/>
      </w:pPr>
      <w:r>
        <w:rPr>
          <w:b/>
        </w:rPr>
        <w:t>Statistical methods</w:t>
      </w:r>
    </w:p>
    <w:p w14:paraId="58FC2A59" w14:textId="77777777" w:rsidR="00F74486" w:rsidRDefault="008964ED">
      <w:pPr>
        <w:pStyle w:val="BodyText"/>
      </w:pPr>
      <w:r>
        <w:t>We estimated incidence rates (with 95% confidence intervals) stratified by UK birth status, year o</w:t>
      </w:r>
      <w:r>
        <w:t>f eligibility to either scheme, and years of follow up using estimates of TB notifications from the ETS, and population estimates from the LFS, with the epiR package.[7]. The brms package, with default weakly informative priors, was used to perform MCMC fi</w:t>
      </w:r>
      <w:r>
        <w:t>tting using STAN for all models.[8,9] Models were run until convergence (4 chains with a burn in of 50,000, and 50,000 sampled iterations each), with convergence being assessed using trace plots and the R hat diagnostic.[9] Model fit was assessed using the</w:t>
      </w:r>
      <w:r>
        <w:t xml:space="preserve"> leave one out cross validation information criterion (LOOIC).[10] Models were then ranked by LOOIC, with the best fitting models presented in full. All numeric confounders were centred and scaled by their standard deviation, therefore their coefficients c</w:t>
      </w:r>
      <w:r>
        <w:t>an be interpreted as the change per standard deviation. As there is little justification for assuming a linear association between years of follow up and incidence, each follow up year has been adjusted for independently.</w:t>
      </w:r>
    </w:p>
    <w:p w14:paraId="5CF17D8F" w14:textId="77777777" w:rsidR="00F74486" w:rsidRDefault="008964ED">
      <w:pPr>
        <w:pStyle w:val="Heading5"/>
      </w:pPr>
      <w:bookmarkStart w:id="3" w:name="pagebreak-3"/>
      <w:bookmarkEnd w:id="3"/>
      <w:r>
        <w:lastRenderedPageBreak/>
        <w:t>PAGEBREAK</w:t>
      </w:r>
    </w:p>
    <w:p w14:paraId="376AC000" w14:textId="77777777" w:rsidR="00F74486" w:rsidRDefault="008964ED">
      <w:pPr>
        <w:pStyle w:val="FirstParagraph"/>
      </w:pPr>
      <w:r>
        <w:rPr>
          <w:b/>
        </w:rPr>
        <w:t>RESULTS</w:t>
      </w:r>
    </w:p>
    <w:p w14:paraId="15548CCE" w14:textId="77777777" w:rsidR="00F74486" w:rsidRDefault="008964ED">
      <w:pPr>
        <w:pStyle w:val="BodyText"/>
      </w:pPr>
      <w:r>
        <w:t>Between Jan 1, 2</w:t>
      </w:r>
      <w:r>
        <w:t>000 and Dec 31, 2015 there were 117436 notifications of TB in England and Wales, of which 93% (109067/117436) had their birth status recorded. Of those with a known birth status 28% (30286/109067) were UK born, and of these 1659 cases were eligible for the</w:t>
      </w:r>
      <w:r>
        <w:t xml:space="preserve"> universal schools scheme, and 1380 were eligible for the targeted neonatal scheme during the study period. For those eligible for the universal schools scheme between 2000 and the end of the scheme in 2005 the incidence of TB was 3.71 (95% CI 3.45, to 3.9</w:t>
      </w:r>
      <w:r>
        <w:t>9), with incidence increasing after the ending of the scheme to 4.16 (95% CI 3.90, to 4.43). Prior to the introduction of the targeted neonatal vaccination program, the incidence rate of TB was 3.32 (95% CI 3.06, to 3.60), compared to 3.31 (95% CI 3.09, to</w:t>
      </w:r>
      <w:r>
        <w:t xml:space="preserve"> 3.55) after the introduction the scheme.</w:t>
      </w:r>
    </w:p>
    <w:p w14:paraId="67AA7547" w14:textId="77777777" w:rsidR="00F74486" w:rsidRDefault="008964ED">
      <w:pPr>
        <w:pStyle w:val="Compact"/>
        <w:numPr>
          <w:ilvl w:val="0"/>
          <w:numId w:val="28"/>
        </w:numPr>
      </w:pPr>
      <w:r>
        <w:t>discuss trends in incidence for UK born 14-19 year olds and 0-5 year olds and how this compares to general incidence</w:t>
      </w:r>
    </w:p>
    <w:p w14:paraId="116218B6" w14:textId="77777777" w:rsidR="00F74486" w:rsidRDefault="008964ED">
      <w:r>
        <w:rPr>
          <w:noProof/>
          <w:lang w:val="en-GB" w:eastAsia="en-GB"/>
        </w:rPr>
        <w:drawing>
          <wp:inline distT="0" distB="0" distL="0" distR="0" wp14:anchorId="65331FB4" wp14:editId="75542CC8">
            <wp:extent cx="5943600" cy="4457700"/>
            <wp:effectExtent l="0" t="0" r="0" b="0"/>
            <wp:docPr id="1" name="Picture" descr="Figure 1: Incidence rates for non-UK born/UK born population, those aged 0-5 and therefore directly effected by the targeted neonatal vaccination program, and those aged 14-19 and therefore directly effected by the universal school age scheme."/>
            <wp:cNvGraphicFramePr/>
            <a:graphic xmlns:a="http://schemas.openxmlformats.org/drawingml/2006/main">
              <a:graphicData uri="http://schemas.openxmlformats.org/drawingml/2006/picture">
                <pic:pic xmlns:pic="http://schemas.openxmlformats.org/drawingml/2006/picture">
                  <pic:nvPicPr>
                    <pic:cNvPr id="0" name="Picture" descr="Universal_Targeted_Impact_files/figure-docx/summary-plot-1.png"/>
                    <pic:cNvPicPr>
                      <a:picLocks noChangeAspect="1" noChangeArrowheads="1"/>
                    </pic:cNvPicPr>
                  </pic:nvPicPr>
                  <pic:blipFill>
                    <a:blip r:embed="rId8"/>
                    <a:stretch>
                      <a:fillRect/>
                    </a:stretch>
                  </pic:blipFill>
                  <pic:spPr bwMode="auto">
                    <a:xfrm>
                      <a:off x="0" y="0"/>
                      <a:ext cx="5943600" cy="4457700"/>
                    </a:xfrm>
                    <a:prstGeom prst="rect">
                      <a:avLst/>
                    </a:prstGeom>
                    <a:noFill/>
                    <a:ln w="9525">
                      <a:noFill/>
                      <a:headEnd/>
                      <a:tailEnd/>
                    </a:ln>
                  </pic:spPr>
                </pic:pic>
              </a:graphicData>
            </a:graphic>
          </wp:inline>
        </w:drawing>
      </w:r>
    </w:p>
    <w:p w14:paraId="7B5AB184" w14:textId="77777777" w:rsidR="00F74486" w:rsidRDefault="008964ED">
      <w:pPr>
        <w:pStyle w:val="ImageCaption"/>
      </w:pPr>
      <w:r>
        <w:rPr>
          <w:b/>
        </w:rPr>
        <w:t>Figure 1:</w:t>
      </w:r>
      <w:r>
        <w:t xml:space="preserve"> </w:t>
      </w:r>
      <w:r>
        <w:t>Incidence rates for non-UK born/UK born population, those aged 0-5 and therefore directly effected by the targeted neonatal vaccination program, and those aged 14-19 and therefore directly effected by the universal school age scheme.</w:t>
      </w:r>
    </w:p>
    <w:p w14:paraId="61590605" w14:textId="77777777" w:rsidR="00F74486" w:rsidRDefault="008964ED">
      <w:pPr>
        <w:pStyle w:val="BodyText"/>
      </w:pPr>
      <w:r>
        <w:rPr>
          <w:b/>
        </w:rPr>
        <w:t>UK born cohort eligibl</w:t>
      </w:r>
      <w:r>
        <w:rPr>
          <w:b/>
        </w:rPr>
        <w:t>e for universal school age vaccination</w:t>
      </w:r>
    </w:p>
    <w:p w14:paraId="2F48CB67" w14:textId="77777777" w:rsidR="00F74486" w:rsidRDefault="008964ED">
      <w:pPr>
        <w:pStyle w:val="BodyText"/>
      </w:pPr>
      <w:r>
        <w:lastRenderedPageBreak/>
        <w:t>In the UK born cohort eligible for universal vaccination, across all models fitted, there was evidence that ending the scheme was associated with an increase in TB rates (table 3). Across all models, the effect size o</w:t>
      </w:r>
      <w:r>
        <w:t>f the change in policy increased as confounding variables were adjusted for, although the width of the credible intervals also increased. In the univariable model (Model 1), the ending of the scheme was associated with an increased incidence rate of TB (0.</w:t>
      </w:r>
      <w:r>
        <w:t>11 (0.03, to 0.20)). Whilst in Model 15, which included adjustment for all hypothesised confounding, there was reduced evidence of an association but the estimated increase in incidence rates was larger (0.14 (-0.09, to 0.37)).</w:t>
      </w:r>
    </w:p>
    <w:p w14:paraId="16B0033D" w14:textId="77777777" w:rsidR="00F74486" w:rsidRDefault="008964ED">
      <w:pPr>
        <w:pStyle w:val="BodyText"/>
      </w:pPr>
      <w:r>
        <w:t>The LOOIC goodness of fit me</w:t>
      </w:r>
      <w:r>
        <w:t xml:space="preserve">tric suggested that models that did not adjust for years of follow up fitted the data best, with all other models having a comparable fit to the data. Adjusting for the incidence rate in the general UK born population increased the magnitude of the effect </w:t>
      </w:r>
      <w:r>
        <w:t>size across all models compared to models that did not adjust for this confounding. Negative binomial models (Models 8 and 16) estimated comparable effect sizes, with increased credible intervals, but there was no clear evidence that they provided a signif</w:t>
      </w:r>
      <w:r>
        <w:t>icantly improved fit to the data when compared to Poisson models.</w:t>
      </w:r>
    </w:p>
    <w:p w14:paraId="7979064F" w14:textId="77777777" w:rsidR="00F74486" w:rsidRDefault="008964ED">
      <w:pPr>
        <w:pStyle w:val="BodyText"/>
      </w:pPr>
      <w:r>
        <w:t>For the non-UK born cohorts there was little evidence of an effect of the policy change in all models that adjusted for incidence rate in the general non-UK born population, however in model</w:t>
      </w:r>
      <w:r>
        <w:t>s that did not adjust for this there was some evidence that the policy change was associated with reduced incidence rates (supplementary table S1. There was little evidence that the estimated effects of the policy change in the non-UK born cohorts were com</w:t>
      </w:r>
      <w:r>
        <w:t>parable to those in the UK born cohorts.</w:t>
      </w:r>
    </w:p>
    <w:p w14:paraId="32F40C05" w14:textId="77777777" w:rsidR="00F74486" w:rsidRDefault="008964ED">
      <w:pPr>
        <w:pStyle w:val="TableCaption"/>
      </w:pPr>
      <w:r>
        <w:rPr>
          <w:b/>
        </w:rPr>
        <w:t>Table 3:</w:t>
      </w:r>
      <w:r>
        <w:t xml:space="preserve"> Comparision of models fitted to incidence rates for the UK born population that was eligible for the universal vaccination program of those at school age (14). Models are ordered by the goodness of fit as a</w:t>
      </w:r>
      <w:r>
        <w:t>ssessed by LOOIC.</w:t>
      </w:r>
    </w:p>
    <w:tbl>
      <w:tblPr>
        <w:tblW w:w="4999" w:type="pct"/>
        <w:tblLook w:val="07E0" w:firstRow="1" w:lastRow="1" w:firstColumn="1" w:lastColumn="1" w:noHBand="1" w:noVBand="1"/>
        <w:tblCaption w:val="Table 3: Comparision of models fitted to incidence rates for the UK born population that was eligible for the universal vaccination program of those at school age (14). Models are ordered by the goodness of fit as assessed by LOOIC."/>
      </w:tblPr>
      <w:tblGrid>
        <w:gridCol w:w="947"/>
        <w:gridCol w:w="1266"/>
        <w:gridCol w:w="1251"/>
        <w:gridCol w:w="1454"/>
        <w:gridCol w:w="983"/>
        <w:gridCol w:w="1180"/>
        <w:gridCol w:w="1398"/>
        <w:gridCol w:w="1095"/>
      </w:tblGrid>
      <w:tr w:rsidR="00F74486" w14:paraId="43A58E3B" w14:textId="77777777">
        <w:tc>
          <w:tcPr>
            <w:tcW w:w="0" w:type="auto"/>
            <w:tcBorders>
              <w:bottom w:val="single" w:sz="0" w:space="0" w:color="auto"/>
            </w:tcBorders>
            <w:vAlign w:val="bottom"/>
          </w:tcPr>
          <w:p w14:paraId="577DF774" w14:textId="77777777" w:rsidR="00F74486" w:rsidRDefault="008964ED">
            <w:pPr>
              <w:pStyle w:val="Compact"/>
            </w:pPr>
            <w:r>
              <w:t>Model</w:t>
            </w:r>
          </w:p>
        </w:tc>
        <w:tc>
          <w:tcPr>
            <w:tcW w:w="0" w:type="auto"/>
            <w:tcBorders>
              <w:bottom w:val="single" w:sz="0" w:space="0" w:color="auto"/>
            </w:tcBorders>
            <w:vAlign w:val="bottom"/>
          </w:tcPr>
          <w:p w14:paraId="168AFC9A" w14:textId="77777777" w:rsidR="00F74486" w:rsidRDefault="008964ED">
            <w:pPr>
              <w:pStyle w:val="Compact"/>
              <w:jc w:val="center"/>
            </w:pPr>
            <w:r>
              <w:t>Effect (CI 95%)</w:t>
            </w:r>
          </w:p>
        </w:tc>
        <w:tc>
          <w:tcPr>
            <w:tcW w:w="0" w:type="auto"/>
            <w:tcBorders>
              <w:bottom w:val="single" w:sz="0" w:space="0" w:color="auto"/>
            </w:tcBorders>
            <w:vAlign w:val="bottom"/>
          </w:tcPr>
          <w:p w14:paraId="6D096327" w14:textId="77777777" w:rsidR="00F74486" w:rsidRDefault="008964ED">
            <w:pPr>
              <w:pStyle w:val="Compact"/>
              <w:jc w:val="center"/>
            </w:pPr>
            <w:r>
              <w:t>Years of follow up</w:t>
            </w:r>
          </w:p>
        </w:tc>
        <w:tc>
          <w:tcPr>
            <w:tcW w:w="0" w:type="auto"/>
            <w:tcBorders>
              <w:bottom w:val="single" w:sz="0" w:space="0" w:color="auto"/>
            </w:tcBorders>
            <w:vAlign w:val="bottom"/>
          </w:tcPr>
          <w:p w14:paraId="1C2DCCC0" w14:textId="77777777" w:rsidR="00F74486" w:rsidRDefault="008964ED">
            <w:pPr>
              <w:pStyle w:val="Compact"/>
              <w:jc w:val="center"/>
            </w:pPr>
            <w:r>
              <w:t>Years of eligibility</w:t>
            </w:r>
          </w:p>
        </w:tc>
        <w:tc>
          <w:tcPr>
            <w:tcW w:w="0" w:type="auto"/>
            <w:tcBorders>
              <w:bottom w:val="single" w:sz="0" w:space="0" w:color="auto"/>
            </w:tcBorders>
            <w:vAlign w:val="bottom"/>
          </w:tcPr>
          <w:p w14:paraId="2414A5B6" w14:textId="77777777" w:rsidR="00F74486" w:rsidRDefault="008964ED">
            <w:pPr>
              <w:pStyle w:val="Compact"/>
              <w:jc w:val="center"/>
            </w:pPr>
            <w:r>
              <w:t>UK born rates</w:t>
            </w:r>
          </w:p>
        </w:tc>
        <w:tc>
          <w:tcPr>
            <w:tcW w:w="0" w:type="auto"/>
            <w:tcBorders>
              <w:bottom w:val="single" w:sz="0" w:space="0" w:color="auto"/>
            </w:tcBorders>
            <w:vAlign w:val="bottom"/>
          </w:tcPr>
          <w:p w14:paraId="4726074A" w14:textId="77777777" w:rsidR="00F74486" w:rsidRDefault="008964ED">
            <w:pPr>
              <w:pStyle w:val="Compact"/>
              <w:jc w:val="center"/>
            </w:pPr>
            <w:r>
              <w:t>Non-UK born rates</w:t>
            </w:r>
          </w:p>
        </w:tc>
        <w:tc>
          <w:tcPr>
            <w:tcW w:w="0" w:type="auto"/>
            <w:tcBorders>
              <w:bottom w:val="single" w:sz="0" w:space="0" w:color="auto"/>
            </w:tcBorders>
            <w:vAlign w:val="bottom"/>
          </w:tcPr>
          <w:p w14:paraId="18F2895D" w14:textId="77777777" w:rsidR="00F74486" w:rsidRDefault="008964ED">
            <w:pPr>
              <w:pStyle w:val="Compact"/>
              <w:jc w:val="center"/>
            </w:pPr>
            <w:r>
              <w:t>Degrees of freedom</w:t>
            </w:r>
          </w:p>
        </w:tc>
        <w:tc>
          <w:tcPr>
            <w:tcW w:w="0" w:type="auto"/>
            <w:tcBorders>
              <w:bottom w:val="single" w:sz="0" w:space="0" w:color="auto"/>
            </w:tcBorders>
            <w:vAlign w:val="bottom"/>
          </w:tcPr>
          <w:p w14:paraId="2B8C6258" w14:textId="77777777" w:rsidR="00F74486" w:rsidRDefault="008964ED">
            <w:pPr>
              <w:pStyle w:val="Compact"/>
              <w:jc w:val="center"/>
            </w:pPr>
            <w:r>
              <w:t>LOOIC (se)</w:t>
            </w:r>
          </w:p>
        </w:tc>
      </w:tr>
      <w:tr w:rsidR="00F74486" w14:paraId="34212FD5" w14:textId="77777777">
        <w:tc>
          <w:tcPr>
            <w:tcW w:w="0" w:type="auto"/>
          </w:tcPr>
          <w:p w14:paraId="414E331E" w14:textId="77777777" w:rsidR="00F74486" w:rsidRDefault="008964ED">
            <w:pPr>
              <w:pStyle w:val="Compact"/>
            </w:pPr>
            <w:r>
              <w:t>Model 9</w:t>
            </w:r>
          </w:p>
        </w:tc>
        <w:tc>
          <w:tcPr>
            <w:tcW w:w="0" w:type="auto"/>
          </w:tcPr>
          <w:p w14:paraId="700BDCE3" w14:textId="77777777" w:rsidR="00F74486" w:rsidRDefault="008964ED">
            <w:pPr>
              <w:pStyle w:val="Compact"/>
              <w:jc w:val="center"/>
            </w:pPr>
            <w:r>
              <w:t>0.12 (0.00, to 0.23)</w:t>
            </w:r>
          </w:p>
        </w:tc>
        <w:tc>
          <w:tcPr>
            <w:tcW w:w="0" w:type="auto"/>
          </w:tcPr>
          <w:p w14:paraId="1225EC40" w14:textId="77777777" w:rsidR="00F74486" w:rsidRDefault="008964ED">
            <w:pPr>
              <w:pStyle w:val="Compact"/>
              <w:jc w:val="center"/>
            </w:pPr>
            <w:r>
              <w:t>No</w:t>
            </w:r>
          </w:p>
        </w:tc>
        <w:tc>
          <w:tcPr>
            <w:tcW w:w="0" w:type="auto"/>
          </w:tcPr>
          <w:p w14:paraId="53E5096C" w14:textId="77777777" w:rsidR="00F74486" w:rsidRDefault="008964ED">
            <w:pPr>
              <w:pStyle w:val="Compact"/>
              <w:jc w:val="center"/>
            </w:pPr>
            <w:r>
              <w:t>Yes</w:t>
            </w:r>
          </w:p>
        </w:tc>
        <w:tc>
          <w:tcPr>
            <w:tcW w:w="0" w:type="auto"/>
          </w:tcPr>
          <w:p w14:paraId="14A75A97" w14:textId="77777777" w:rsidR="00F74486" w:rsidRDefault="008964ED">
            <w:pPr>
              <w:pStyle w:val="Compact"/>
              <w:jc w:val="center"/>
            </w:pPr>
            <w:r>
              <w:t>No</w:t>
            </w:r>
          </w:p>
        </w:tc>
        <w:tc>
          <w:tcPr>
            <w:tcW w:w="0" w:type="auto"/>
          </w:tcPr>
          <w:p w14:paraId="734B0AF9" w14:textId="77777777" w:rsidR="00F74486" w:rsidRDefault="008964ED">
            <w:pPr>
              <w:pStyle w:val="Compact"/>
              <w:jc w:val="center"/>
            </w:pPr>
            <w:r>
              <w:t>No</w:t>
            </w:r>
          </w:p>
        </w:tc>
        <w:tc>
          <w:tcPr>
            <w:tcW w:w="0" w:type="auto"/>
          </w:tcPr>
          <w:p w14:paraId="20F0F489" w14:textId="77777777" w:rsidR="00F74486" w:rsidRDefault="008964ED">
            <w:pPr>
              <w:pStyle w:val="Compact"/>
              <w:jc w:val="center"/>
            </w:pPr>
            <w:r>
              <w:t>14</w:t>
            </w:r>
          </w:p>
        </w:tc>
        <w:tc>
          <w:tcPr>
            <w:tcW w:w="0" w:type="auto"/>
          </w:tcPr>
          <w:p w14:paraId="56E1EBD5" w14:textId="77777777" w:rsidR="00F74486" w:rsidRDefault="008964ED">
            <w:pPr>
              <w:pStyle w:val="Compact"/>
              <w:jc w:val="center"/>
            </w:pPr>
            <w:r>
              <w:t>-260 (16)</w:t>
            </w:r>
          </w:p>
        </w:tc>
      </w:tr>
      <w:tr w:rsidR="00F74486" w14:paraId="399761E9" w14:textId="77777777">
        <w:tc>
          <w:tcPr>
            <w:tcW w:w="0" w:type="auto"/>
          </w:tcPr>
          <w:p w14:paraId="7834D5F8" w14:textId="77777777" w:rsidR="00F74486" w:rsidRDefault="008964ED">
            <w:pPr>
              <w:pStyle w:val="Compact"/>
            </w:pPr>
            <w:r>
              <w:t>Model 1</w:t>
            </w:r>
          </w:p>
        </w:tc>
        <w:tc>
          <w:tcPr>
            <w:tcW w:w="0" w:type="auto"/>
          </w:tcPr>
          <w:p w14:paraId="1E0171E6" w14:textId="77777777" w:rsidR="00F74486" w:rsidRDefault="008964ED">
            <w:pPr>
              <w:pStyle w:val="Compact"/>
              <w:jc w:val="center"/>
            </w:pPr>
            <w:r>
              <w:t>0.11 (0.03, to 0.20)</w:t>
            </w:r>
          </w:p>
        </w:tc>
        <w:tc>
          <w:tcPr>
            <w:tcW w:w="0" w:type="auto"/>
          </w:tcPr>
          <w:p w14:paraId="387B4020" w14:textId="77777777" w:rsidR="00F74486" w:rsidRDefault="008964ED">
            <w:pPr>
              <w:pStyle w:val="Compact"/>
              <w:jc w:val="center"/>
            </w:pPr>
            <w:r>
              <w:t>No</w:t>
            </w:r>
          </w:p>
        </w:tc>
        <w:tc>
          <w:tcPr>
            <w:tcW w:w="0" w:type="auto"/>
          </w:tcPr>
          <w:p w14:paraId="6B57CE9C" w14:textId="77777777" w:rsidR="00F74486" w:rsidRDefault="008964ED">
            <w:pPr>
              <w:pStyle w:val="Compact"/>
              <w:jc w:val="center"/>
            </w:pPr>
            <w:r>
              <w:t>No</w:t>
            </w:r>
          </w:p>
        </w:tc>
        <w:tc>
          <w:tcPr>
            <w:tcW w:w="0" w:type="auto"/>
          </w:tcPr>
          <w:p w14:paraId="229E1F59" w14:textId="77777777" w:rsidR="00F74486" w:rsidRDefault="008964ED">
            <w:pPr>
              <w:pStyle w:val="Compact"/>
              <w:jc w:val="center"/>
            </w:pPr>
            <w:r>
              <w:t>No</w:t>
            </w:r>
          </w:p>
        </w:tc>
        <w:tc>
          <w:tcPr>
            <w:tcW w:w="0" w:type="auto"/>
          </w:tcPr>
          <w:p w14:paraId="272569BB" w14:textId="77777777" w:rsidR="00F74486" w:rsidRDefault="008964ED">
            <w:pPr>
              <w:pStyle w:val="Compact"/>
              <w:jc w:val="center"/>
            </w:pPr>
            <w:r>
              <w:t>No</w:t>
            </w:r>
          </w:p>
        </w:tc>
        <w:tc>
          <w:tcPr>
            <w:tcW w:w="0" w:type="auto"/>
          </w:tcPr>
          <w:p w14:paraId="615600F3" w14:textId="77777777" w:rsidR="00F74486" w:rsidRDefault="008964ED">
            <w:pPr>
              <w:pStyle w:val="Compact"/>
              <w:jc w:val="center"/>
            </w:pPr>
            <w:r>
              <w:t>2</w:t>
            </w:r>
          </w:p>
        </w:tc>
        <w:tc>
          <w:tcPr>
            <w:tcW w:w="0" w:type="auto"/>
          </w:tcPr>
          <w:p w14:paraId="3B6F5833" w14:textId="77777777" w:rsidR="00F74486" w:rsidRDefault="008964ED">
            <w:pPr>
              <w:pStyle w:val="Compact"/>
              <w:jc w:val="center"/>
            </w:pPr>
            <w:r>
              <w:t>-256 (5.18)</w:t>
            </w:r>
          </w:p>
        </w:tc>
      </w:tr>
      <w:tr w:rsidR="00F74486" w14:paraId="10E625B2" w14:textId="77777777">
        <w:tc>
          <w:tcPr>
            <w:tcW w:w="0" w:type="auto"/>
          </w:tcPr>
          <w:p w14:paraId="7F94091F" w14:textId="77777777" w:rsidR="00F74486" w:rsidRDefault="008964ED">
            <w:pPr>
              <w:pStyle w:val="Compact"/>
            </w:pPr>
            <w:r>
              <w:t>Model 10</w:t>
            </w:r>
          </w:p>
        </w:tc>
        <w:tc>
          <w:tcPr>
            <w:tcW w:w="0" w:type="auto"/>
          </w:tcPr>
          <w:p w14:paraId="6D2EF686" w14:textId="77777777" w:rsidR="00F74486" w:rsidRDefault="008964ED">
            <w:pPr>
              <w:pStyle w:val="Compact"/>
              <w:jc w:val="center"/>
            </w:pPr>
            <w:r>
              <w:t>0.11 (0.00, to 0.23)</w:t>
            </w:r>
          </w:p>
        </w:tc>
        <w:tc>
          <w:tcPr>
            <w:tcW w:w="0" w:type="auto"/>
          </w:tcPr>
          <w:p w14:paraId="3DB47415" w14:textId="77777777" w:rsidR="00F74486" w:rsidRDefault="008964ED">
            <w:pPr>
              <w:pStyle w:val="Compact"/>
              <w:jc w:val="center"/>
            </w:pPr>
            <w:r>
              <w:t>Yes</w:t>
            </w:r>
          </w:p>
        </w:tc>
        <w:tc>
          <w:tcPr>
            <w:tcW w:w="0" w:type="auto"/>
          </w:tcPr>
          <w:p w14:paraId="4ED617C7" w14:textId="77777777" w:rsidR="00F74486" w:rsidRDefault="008964ED">
            <w:pPr>
              <w:pStyle w:val="Compact"/>
              <w:jc w:val="center"/>
            </w:pPr>
            <w:r>
              <w:t>Yes</w:t>
            </w:r>
          </w:p>
        </w:tc>
        <w:tc>
          <w:tcPr>
            <w:tcW w:w="0" w:type="auto"/>
          </w:tcPr>
          <w:p w14:paraId="065B1872" w14:textId="77777777" w:rsidR="00F74486" w:rsidRDefault="008964ED">
            <w:pPr>
              <w:pStyle w:val="Compact"/>
              <w:jc w:val="center"/>
            </w:pPr>
            <w:r>
              <w:t>No</w:t>
            </w:r>
          </w:p>
        </w:tc>
        <w:tc>
          <w:tcPr>
            <w:tcW w:w="0" w:type="auto"/>
          </w:tcPr>
          <w:p w14:paraId="6FC57726" w14:textId="77777777" w:rsidR="00F74486" w:rsidRDefault="008964ED">
            <w:pPr>
              <w:pStyle w:val="Compact"/>
              <w:jc w:val="center"/>
            </w:pPr>
            <w:r>
              <w:t>No</w:t>
            </w:r>
          </w:p>
        </w:tc>
        <w:tc>
          <w:tcPr>
            <w:tcW w:w="0" w:type="auto"/>
          </w:tcPr>
          <w:p w14:paraId="0578CD51" w14:textId="77777777" w:rsidR="00F74486" w:rsidRDefault="008964ED">
            <w:pPr>
              <w:pStyle w:val="Compact"/>
              <w:jc w:val="center"/>
            </w:pPr>
            <w:r>
              <w:t>19</w:t>
            </w:r>
          </w:p>
        </w:tc>
        <w:tc>
          <w:tcPr>
            <w:tcW w:w="0" w:type="auto"/>
          </w:tcPr>
          <w:p w14:paraId="06694E1B" w14:textId="77777777" w:rsidR="00F74486" w:rsidRDefault="008964ED">
            <w:pPr>
              <w:pStyle w:val="Compact"/>
              <w:jc w:val="center"/>
            </w:pPr>
            <w:r>
              <w:t>-223 (16)</w:t>
            </w:r>
          </w:p>
        </w:tc>
      </w:tr>
      <w:tr w:rsidR="00F74486" w14:paraId="5A04FD6F" w14:textId="77777777">
        <w:tc>
          <w:tcPr>
            <w:tcW w:w="0" w:type="auto"/>
          </w:tcPr>
          <w:p w14:paraId="6840E6DE" w14:textId="77777777" w:rsidR="00F74486" w:rsidRDefault="008964ED">
            <w:pPr>
              <w:pStyle w:val="Compact"/>
            </w:pPr>
            <w:r>
              <w:t>Model 2</w:t>
            </w:r>
          </w:p>
        </w:tc>
        <w:tc>
          <w:tcPr>
            <w:tcW w:w="0" w:type="auto"/>
          </w:tcPr>
          <w:p w14:paraId="1CE5BE3F" w14:textId="77777777" w:rsidR="00F74486" w:rsidRDefault="008964ED">
            <w:pPr>
              <w:pStyle w:val="Compact"/>
              <w:jc w:val="center"/>
            </w:pPr>
            <w:r>
              <w:t>0.11 (0.03, to 0.20)</w:t>
            </w:r>
          </w:p>
        </w:tc>
        <w:tc>
          <w:tcPr>
            <w:tcW w:w="0" w:type="auto"/>
          </w:tcPr>
          <w:p w14:paraId="34C04A6F" w14:textId="77777777" w:rsidR="00F74486" w:rsidRDefault="008964ED">
            <w:pPr>
              <w:pStyle w:val="Compact"/>
              <w:jc w:val="center"/>
            </w:pPr>
            <w:r>
              <w:t>Yes</w:t>
            </w:r>
          </w:p>
        </w:tc>
        <w:tc>
          <w:tcPr>
            <w:tcW w:w="0" w:type="auto"/>
          </w:tcPr>
          <w:p w14:paraId="4FF44C1B" w14:textId="77777777" w:rsidR="00F74486" w:rsidRDefault="008964ED">
            <w:pPr>
              <w:pStyle w:val="Compact"/>
              <w:jc w:val="center"/>
            </w:pPr>
            <w:r>
              <w:t>No</w:t>
            </w:r>
          </w:p>
        </w:tc>
        <w:tc>
          <w:tcPr>
            <w:tcW w:w="0" w:type="auto"/>
          </w:tcPr>
          <w:p w14:paraId="6A188218" w14:textId="77777777" w:rsidR="00F74486" w:rsidRDefault="008964ED">
            <w:pPr>
              <w:pStyle w:val="Compact"/>
              <w:jc w:val="center"/>
            </w:pPr>
            <w:r>
              <w:t>No</w:t>
            </w:r>
          </w:p>
        </w:tc>
        <w:tc>
          <w:tcPr>
            <w:tcW w:w="0" w:type="auto"/>
          </w:tcPr>
          <w:p w14:paraId="4943CE33" w14:textId="77777777" w:rsidR="00F74486" w:rsidRDefault="008964ED">
            <w:pPr>
              <w:pStyle w:val="Compact"/>
              <w:jc w:val="center"/>
            </w:pPr>
            <w:r>
              <w:t>No</w:t>
            </w:r>
          </w:p>
        </w:tc>
        <w:tc>
          <w:tcPr>
            <w:tcW w:w="0" w:type="auto"/>
          </w:tcPr>
          <w:p w14:paraId="494A618E" w14:textId="77777777" w:rsidR="00F74486" w:rsidRDefault="008964ED">
            <w:pPr>
              <w:pStyle w:val="Compact"/>
              <w:jc w:val="center"/>
            </w:pPr>
            <w:r>
              <w:t>7</w:t>
            </w:r>
          </w:p>
        </w:tc>
        <w:tc>
          <w:tcPr>
            <w:tcW w:w="0" w:type="auto"/>
          </w:tcPr>
          <w:p w14:paraId="458D550F" w14:textId="77777777" w:rsidR="00F74486" w:rsidRDefault="008964ED">
            <w:pPr>
              <w:pStyle w:val="Compact"/>
              <w:jc w:val="center"/>
            </w:pPr>
            <w:r>
              <w:t>-222 (10.6)</w:t>
            </w:r>
          </w:p>
        </w:tc>
      </w:tr>
      <w:tr w:rsidR="00F74486" w14:paraId="7CB28C96" w14:textId="77777777">
        <w:tc>
          <w:tcPr>
            <w:tcW w:w="0" w:type="auto"/>
          </w:tcPr>
          <w:p w14:paraId="0C7B7520" w14:textId="77777777" w:rsidR="00F74486" w:rsidRDefault="008964ED">
            <w:pPr>
              <w:pStyle w:val="Compact"/>
            </w:pPr>
            <w:r>
              <w:t>Model 15</w:t>
            </w:r>
          </w:p>
        </w:tc>
        <w:tc>
          <w:tcPr>
            <w:tcW w:w="0" w:type="auto"/>
          </w:tcPr>
          <w:p w14:paraId="77491261" w14:textId="77777777" w:rsidR="00F74486" w:rsidRDefault="008964ED">
            <w:pPr>
              <w:pStyle w:val="Compact"/>
              <w:jc w:val="center"/>
            </w:pPr>
            <w:r>
              <w:t>0.14 (-0.09, to 0.37)</w:t>
            </w:r>
          </w:p>
        </w:tc>
        <w:tc>
          <w:tcPr>
            <w:tcW w:w="0" w:type="auto"/>
          </w:tcPr>
          <w:p w14:paraId="49531790" w14:textId="77777777" w:rsidR="00F74486" w:rsidRDefault="008964ED">
            <w:pPr>
              <w:pStyle w:val="Compact"/>
              <w:jc w:val="center"/>
            </w:pPr>
            <w:r>
              <w:t>Yes</w:t>
            </w:r>
          </w:p>
        </w:tc>
        <w:tc>
          <w:tcPr>
            <w:tcW w:w="0" w:type="auto"/>
          </w:tcPr>
          <w:p w14:paraId="13BBC0C3" w14:textId="77777777" w:rsidR="00F74486" w:rsidRDefault="008964ED">
            <w:pPr>
              <w:pStyle w:val="Compact"/>
              <w:jc w:val="center"/>
            </w:pPr>
            <w:r>
              <w:t>Yes</w:t>
            </w:r>
          </w:p>
        </w:tc>
        <w:tc>
          <w:tcPr>
            <w:tcW w:w="0" w:type="auto"/>
          </w:tcPr>
          <w:p w14:paraId="24DEBD54" w14:textId="77777777" w:rsidR="00F74486" w:rsidRDefault="008964ED">
            <w:pPr>
              <w:pStyle w:val="Compact"/>
              <w:jc w:val="center"/>
            </w:pPr>
            <w:r>
              <w:t>Yes</w:t>
            </w:r>
          </w:p>
        </w:tc>
        <w:tc>
          <w:tcPr>
            <w:tcW w:w="0" w:type="auto"/>
          </w:tcPr>
          <w:p w14:paraId="1011F3BE" w14:textId="77777777" w:rsidR="00F74486" w:rsidRDefault="008964ED">
            <w:pPr>
              <w:pStyle w:val="Compact"/>
              <w:jc w:val="center"/>
            </w:pPr>
            <w:r>
              <w:t>Yes</w:t>
            </w:r>
          </w:p>
        </w:tc>
        <w:tc>
          <w:tcPr>
            <w:tcW w:w="0" w:type="auto"/>
          </w:tcPr>
          <w:p w14:paraId="1BC08AA8" w14:textId="77777777" w:rsidR="00F74486" w:rsidRDefault="008964ED">
            <w:pPr>
              <w:pStyle w:val="Compact"/>
              <w:jc w:val="center"/>
            </w:pPr>
            <w:r>
              <w:t>26</w:t>
            </w:r>
          </w:p>
        </w:tc>
        <w:tc>
          <w:tcPr>
            <w:tcW w:w="0" w:type="auto"/>
          </w:tcPr>
          <w:p w14:paraId="4493FF36" w14:textId="77777777" w:rsidR="00F74486" w:rsidRDefault="008964ED">
            <w:pPr>
              <w:pStyle w:val="Compact"/>
              <w:jc w:val="center"/>
            </w:pPr>
            <w:r>
              <w:t>-219 (19.1)</w:t>
            </w:r>
          </w:p>
        </w:tc>
      </w:tr>
      <w:tr w:rsidR="00F74486" w14:paraId="752618CF" w14:textId="77777777">
        <w:tc>
          <w:tcPr>
            <w:tcW w:w="0" w:type="auto"/>
          </w:tcPr>
          <w:p w14:paraId="68C84BC1" w14:textId="77777777" w:rsidR="00F74486" w:rsidRDefault="008964ED">
            <w:pPr>
              <w:pStyle w:val="Compact"/>
            </w:pPr>
            <w:r>
              <w:t>Model 16</w:t>
            </w:r>
          </w:p>
        </w:tc>
        <w:tc>
          <w:tcPr>
            <w:tcW w:w="0" w:type="auto"/>
          </w:tcPr>
          <w:p w14:paraId="670F0F4A" w14:textId="77777777" w:rsidR="00F74486" w:rsidRDefault="008964ED">
            <w:pPr>
              <w:pStyle w:val="Compact"/>
              <w:jc w:val="center"/>
            </w:pPr>
            <w:r>
              <w:t>0.14 (-0.12, to 0.38)</w:t>
            </w:r>
          </w:p>
        </w:tc>
        <w:tc>
          <w:tcPr>
            <w:tcW w:w="0" w:type="auto"/>
          </w:tcPr>
          <w:p w14:paraId="47CA8477" w14:textId="77777777" w:rsidR="00F74486" w:rsidRDefault="008964ED">
            <w:pPr>
              <w:pStyle w:val="Compact"/>
              <w:jc w:val="center"/>
            </w:pPr>
            <w:r>
              <w:t>Yes</w:t>
            </w:r>
          </w:p>
        </w:tc>
        <w:tc>
          <w:tcPr>
            <w:tcW w:w="0" w:type="auto"/>
          </w:tcPr>
          <w:p w14:paraId="3F48A95D" w14:textId="77777777" w:rsidR="00F74486" w:rsidRDefault="008964ED">
            <w:pPr>
              <w:pStyle w:val="Compact"/>
              <w:jc w:val="center"/>
            </w:pPr>
            <w:r>
              <w:t>Yes</w:t>
            </w:r>
          </w:p>
        </w:tc>
        <w:tc>
          <w:tcPr>
            <w:tcW w:w="0" w:type="auto"/>
          </w:tcPr>
          <w:p w14:paraId="61963059" w14:textId="77777777" w:rsidR="00F74486" w:rsidRDefault="008964ED">
            <w:pPr>
              <w:pStyle w:val="Compact"/>
              <w:jc w:val="center"/>
            </w:pPr>
            <w:r>
              <w:t>Yes</w:t>
            </w:r>
          </w:p>
        </w:tc>
        <w:tc>
          <w:tcPr>
            <w:tcW w:w="0" w:type="auto"/>
          </w:tcPr>
          <w:p w14:paraId="59C99ED2" w14:textId="77777777" w:rsidR="00F74486" w:rsidRDefault="008964ED">
            <w:pPr>
              <w:pStyle w:val="Compact"/>
              <w:jc w:val="center"/>
            </w:pPr>
            <w:r>
              <w:t>Yes</w:t>
            </w:r>
          </w:p>
        </w:tc>
        <w:tc>
          <w:tcPr>
            <w:tcW w:w="0" w:type="auto"/>
          </w:tcPr>
          <w:p w14:paraId="26DECBFC" w14:textId="77777777" w:rsidR="00F74486" w:rsidRDefault="008964ED">
            <w:pPr>
              <w:pStyle w:val="Compact"/>
              <w:jc w:val="center"/>
            </w:pPr>
            <w:r>
              <w:t>27</w:t>
            </w:r>
          </w:p>
        </w:tc>
        <w:tc>
          <w:tcPr>
            <w:tcW w:w="0" w:type="auto"/>
          </w:tcPr>
          <w:p w14:paraId="4C445963" w14:textId="77777777" w:rsidR="00F74486" w:rsidRDefault="008964ED">
            <w:pPr>
              <w:pStyle w:val="Compact"/>
              <w:jc w:val="center"/>
            </w:pPr>
            <w:r>
              <w:t>-218 (14.5)</w:t>
            </w:r>
          </w:p>
        </w:tc>
      </w:tr>
      <w:tr w:rsidR="00F74486" w14:paraId="4951A493" w14:textId="77777777">
        <w:tc>
          <w:tcPr>
            <w:tcW w:w="0" w:type="auto"/>
          </w:tcPr>
          <w:p w14:paraId="5192A1FA" w14:textId="77777777" w:rsidR="00F74486" w:rsidRDefault="008964ED">
            <w:pPr>
              <w:pStyle w:val="Compact"/>
            </w:pPr>
            <w:r>
              <w:t xml:space="preserve">Model </w:t>
            </w:r>
            <w:r>
              <w:lastRenderedPageBreak/>
              <w:t>13</w:t>
            </w:r>
          </w:p>
        </w:tc>
        <w:tc>
          <w:tcPr>
            <w:tcW w:w="0" w:type="auto"/>
          </w:tcPr>
          <w:p w14:paraId="015CD981" w14:textId="77777777" w:rsidR="00F74486" w:rsidRDefault="008964ED">
            <w:pPr>
              <w:pStyle w:val="Compact"/>
              <w:jc w:val="center"/>
            </w:pPr>
            <w:r>
              <w:lastRenderedPageBreak/>
              <w:t xml:space="preserve">0.15 </w:t>
            </w:r>
            <w:r>
              <w:t>(-</w:t>
            </w:r>
            <w:r>
              <w:lastRenderedPageBreak/>
              <w:t>0.08, to 0.38)</w:t>
            </w:r>
          </w:p>
        </w:tc>
        <w:tc>
          <w:tcPr>
            <w:tcW w:w="0" w:type="auto"/>
          </w:tcPr>
          <w:p w14:paraId="6210C9A2" w14:textId="77777777" w:rsidR="00F74486" w:rsidRDefault="008964ED">
            <w:pPr>
              <w:pStyle w:val="Compact"/>
              <w:jc w:val="center"/>
            </w:pPr>
            <w:r>
              <w:lastRenderedPageBreak/>
              <w:t>Yes</w:t>
            </w:r>
          </w:p>
        </w:tc>
        <w:tc>
          <w:tcPr>
            <w:tcW w:w="0" w:type="auto"/>
          </w:tcPr>
          <w:p w14:paraId="3914264B" w14:textId="77777777" w:rsidR="00F74486" w:rsidRDefault="008964ED">
            <w:pPr>
              <w:pStyle w:val="Compact"/>
              <w:jc w:val="center"/>
            </w:pPr>
            <w:r>
              <w:t>Yes</w:t>
            </w:r>
          </w:p>
        </w:tc>
        <w:tc>
          <w:tcPr>
            <w:tcW w:w="0" w:type="auto"/>
          </w:tcPr>
          <w:p w14:paraId="550DD367" w14:textId="77777777" w:rsidR="00F74486" w:rsidRDefault="008964ED">
            <w:pPr>
              <w:pStyle w:val="Compact"/>
              <w:jc w:val="center"/>
            </w:pPr>
            <w:r>
              <w:t>Yes</w:t>
            </w:r>
          </w:p>
        </w:tc>
        <w:tc>
          <w:tcPr>
            <w:tcW w:w="0" w:type="auto"/>
          </w:tcPr>
          <w:p w14:paraId="0E73ED30" w14:textId="77777777" w:rsidR="00F74486" w:rsidRDefault="008964ED">
            <w:pPr>
              <w:pStyle w:val="Compact"/>
              <w:jc w:val="center"/>
            </w:pPr>
            <w:r>
              <w:t>Yes</w:t>
            </w:r>
          </w:p>
        </w:tc>
        <w:tc>
          <w:tcPr>
            <w:tcW w:w="0" w:type="auto"/>
          </w:tcPr>
          <w:p w14:paraId="105F0AF4" w14:textId="77777777" w:rsidR="00F74486" w:rsidRDefault="008964ED">
            <w:pPr>
              <w:pStyle w:val="Compact"/>
              <w:jc w:val="center"/>
            </w:pPr>
            <w:r>
              <w:t>23</w:t>
            </w:r>
          </w:p>
        </w:tc>
        <w:tc>
          <w:tcPr>
            <w:tcW w:w="0" w:type="auto"/>
          </w:tcPr>
          <w:p w14:paraId="2933F52E" w14:textId="77777777" w:rsidR="00F74486" w:rsidRDefault="008964ED">
            <w:pPr>
              <w:pStyle w:val="Compact"/>
              <w:jc w:val="center"/>
            </w:pPr>
            <w:r>
              <w:t xml:space="preserve">-218 </w:t>
            </w:r>
            <w:r>
              <w:lastRenderedPageBreak/>
              <w:t>(17)</w:t>
            </w:r>
          </w:p>
        </w:tc>
      </w:tr>
      <w:tr w:rsidR="00F74486" w14:paraId="59AF9AD6" w14:textId="77777777">
        <w:tc>
          <w:tcPr>
            <w:tcW w:w="0" w:type="auto"/>
          </w:tcPr>
          <w:p w14:paraId="5C238473" w14:textId="77777777" w:rsidR="00F74486" w:rsidRDefault="008964ED">
            <w:pPr>
              <w:pStyle w:val="Compact"/>
            </w:pPr>
            <w:r>
              <w:lastRenderedPageBreak/>
              <w:t>Model 7</w:t>
            </w:r>
          </w:p>
        </w:tc>
        <w:tc>
          <w:tcPr>
            <w:tcW w:w="0" w:type="auto"/>
          </w:tcPr>
          <w:p w14:paraId="599D22F1" w14:textId="77777777" w:rsidR="00F74486" w:rsidRDefault="008964ED">
            <w:pPr>
              <w:pStyle w:val="Compact"/>
              <w:jc w:val="center"/>
            </w:pPr>
            <w:r>
              <w:t>0.15 (-0.01, to 0.32)</w:t>
            </w:r>
          </w:p>
        </w:tc>
        <w:tc>
          <w:tcPr>
            <w:tcW w:w="0" w:type="auto"/>
          </w:tcPr>
          <w:p w14:paraId="7C52585B" w14:textId="77777777" w:rsidR="00F74486" w:rsidRDefault="008964ED">
            <w:pPr>
              <w:pStyle w:val="Compact"/>
              <w:jc w:val="center"/>
            </w:pPr>
            <w:r>
              <w:t>Yes</w:t>
            </w:r>
          </w:p>
        </w:tc>
        <w:tc>
          <w:tcPr>
            <w:tcW w:w="0" w:type="auto"/>
          </w:tcPr>
          <w:p w14:paraId="7E148EF8" w14:textId="77777777" w:rsidR="00F74486" w:rsidRDefault="008964ED">
            <w:pPr>
              <w:pStyle w:val="Compact"/>
              <w:jc w:val="center"/>
            </w:pPr>
            <w:r>
              <w:t>No</w:t>
            </w:r>
          </w:p>
        </w:tc>
        <w:tc>
          <w:tcPr>
            <w:tcW w:w="0" w:type="auto"/>
          </w:tcPr>
          <w:p w14:paraId="75BDC04B" w14:textId="77777777" w:rsidR="00F74486" w:rsidRDefault="008964ED">
            <w:pPr>
              <w:pStyle w:val="Compact"/>
              <w:jc w:val="center"/>
            </w:pPr>
            <w:r>
              <w:t>Yes</w:t>
            </w:r>
          </w:p>
        </w:tc>
        <w:tc>
          <w:tcPr>
            <w:tcW w:w="0" w:type="auto"/>
          </w:tcPr>
          <w:p w14:paraId="0B86F55C" w14:textId="77777777" w:rsidR="00F74486" w:rsidRDefault="008964ED">
            <w:pPr>
              <w:pStyle w:val="Compact"/>
              <w:jc w:val="center"/>
            </w:pPr>
            <w:r>
              <w:t>Yes</w:t>
            </w:r>
          </w:p>
        </w:tc>
        <w:tc>
          <w:tcPr>
            <w:tcW w:w="0" w:type="auto"/>
          </w:tcPr>
          <w:p w14:paraId="537F847E" w14:textId="77777777" w:rsidR="00F74486" w:rsidRDefault="008964ED">
            <w:pPr>
              <w:pStyle w:val="Compact"/>
              <w:jc w:val="center"/>
            </w:pPr>
            <w:r>
              <w:t>14</w:t>
            </w:r>
          </w:p>
        </w:tc>
        <w:tc>
          <w:tcPr>
            <w:tcW w:w="0" w:type="auto"/>
          </w:tcPr>
          <w:p w14:paraId="5E0AA6D8" w14:textId="77777777" w:rsidR="00F74486" w:rsidRDefault="008964ED">
            <w:pPr>
              <w:pStyle w:val="Compact"/>
              <w:jc w:val="center"/>
            </w:pPr>
            <w:r>
              <w:t>-218 (15.5)</w:t>
            </w:r>
          </w:p>
        </w:tc>
      </w:tr>
      <w:tr w:rsidR="00F74486" w14:paraId="2977C282" w14:textId="77777777">
        <w:tc>
          <w:tcPr>
            <w:tcW w:w="0" w:type="auto"/>
          </w:tcPr>
          <w:p w14:paraId="40D3F2F0" w14:textId="77777777" w:rsidR="00F74486" w:rsidRDefault="008964ED">
            <w:pPr>
              <w:pStyle w:val="Compact"/>
            </w:pPr>
            <w:r>
              <w:t>Model 8</w:t>
            </w:r>
          </w:p>
        </w:tc>
        <w:tc>
          <w:tcPr>
            <w:tcW w:w="0" w:type="auto"/>
          </w:tcPr>
          <w:p w14:paraId="1E1BA9F2" w14:textId="77777777" w:rsidR="00F74486" w:rsidRDefault="008964ED">
            <w:pPr>
              <w:pStyle w:val="Compact"/>
              <w:jc w:val="center"/>
            </w:pPr>
            <w:r>
              <w:t>0.14 (-0.07, to 0.34)</w:t>
            </w:r>
          </w:p>
        </w:tc>
        <w:tc>
          <w:tcPr>
            <w:tcW w:w="0" w:type="auto"/>
          </w:tcPr>
          <w:p w14:paraId="26536AB4" w14:textId="77777777" w:rsidR="00F74486" w:rsidRDefault="008964ED">
            <w:pPr>
              <w:pStyle w:val="Compact"/>
              <w:jc w:val="center"/>
            </w:pPr>
            <w:r>
              <w:t>Yes</w:t>
            </w:r>
          </w:p>
        </w:tc>
        <w:tc>
          <w:tcPr>
            <w:tcW w:w="0" w:type="auto"/>
          </w:tcPr>
          <w:p w14:paraId="6931414C" w14:textId="77777777" w:rsidR="00F74486" w:rsidRDefault="008964ED">
            <w:pPr>
              <w:pStyle w:val="Compact"/>
              <w:jc w:val="center"/>
            </w:pPr>
            <w:r>
              <w:t>No</w:t>
            </w:r>
          </w:p>
        </w:tc>
        <w:tc>
          <w:tcPr>
            <w:tcW w:w="0" w:type="auto"/>
          </w:tcPr>
          <w:p w14:paraId="21A2EC82" w14:textId="77777777" w:rsidR="00F74486" w:rsidRDefault="008964ED">
            <w:pPr>
              <w:pStyle w:val="Compact"/>
              <w:jc w:val="center"/>
            </w:pPr>
            <w:r>
              <w:t>Yes</w:t>
            </w:r>
          </w:p>
        </w:tc>
        <w:tc>
          <w:tcPr>
            <w:tcW w:w="0" w:type="auto"/>
          </w:tcPr>
          <w:p w14:paraId="02580049" w14:textId="77777777" w:rsidR="00F74486" w:rsidRDefault="008964ED">
            <w:pPr>
              <w:pStyle w:val="Compact"/>
              <w:jc w:val="center"/>
            </w:pPr>
            <w:r>
              <w:t>Yes</w:t>
            </w:r>
          </w:p>
        </w:tc>
        <w:tc>
          <w:tcPr>
            <w:tcW w:w="0" w:type="auto"/>
          </w:tcPr>
          <w:p w14:paraId="050FA7D2" w14:textId="77777777" w:rsidR="00F74486" w:rsidRDefault="008964ED">
            <w:pPr>
              <w:pStyle w:val="Compact"/>
              <w:jc w:val="center"/>
            </w:pPr>
            <w:r>
              <w:t>15</w:t>
            </w:r>
          </w:p>
        </w:tc>
        <w:tc>
          <w:tcPr>
            <w:tcW w:w="0" w:type="auto"/>
          </w:tcPr>
          <w:p w14:paraId="44A5D8B7" w14:textId="77777777" w:rsidR="00F74486" w:rsidRDefault="008964ED">
            <w:pPr>
              <w:pStyle w:val="Compact"/>
              <w:jc w:val="center"/>
            </w:pPr>
            <w:r>
              <w:t>-218 (12.2)</w:t>
            </w:r>
          </w:p>
        </w:tc>
      </w:tr>
      <w:tr w:rsidR="00F74486" w14:paraId="718E60AA" w14:textId="77777777">
        <w:tc>
          <w:tcPr>
            <w:tcW w:w="0" w:type="auto"/>
          </w:tcPr>
          <w:p w14:paraId="726DBE34" w14:textId="77777777" w:rsidR="00F74486" w:rsidRDefault="008964ED">
            <w:pPr>
              <w:pStyle w:val="Compact"/>
            </w:pPr>
            <w:r>
              <w:t>Model 14</w:t>
            </w:r>
          </w:p>
        </w:tc>
        <w:tc>
          <w:tcPr>
            <w:tcW w:w="0" w:type="auto"/>
          </w:tcPr>
          <w:p w14:paraId="7726CDF1" w14:textId="77777777" w:rsidR="00F74486" w:rsidRDefault="008964ED">
            <w:pPr>
              <w:pStyle w:val="Compact"/>
              <w:jc w:val="center"/>
            </w:pPr>
            <w:r>
              <w:t>0.14 (-0.09, to 0.36)</w:t>
            </w:r>
          </w:p>
        </w:tc>
        <w:tc>
          <w:tcPr>
            <w:tcW w:w="0" w:type="auto"/>
          </w:tcPr>
          <w:p w14:paraId="26B79CE6" w14:textId="77777777" w:rsidR="00F74486" w:rsidRDefault="008964ED">
            <w:pPr>
              <w:pStyle w:val="Compact"/>
              <w:jc w:val="center"/>
            </w:pPr>
            <w:r>
              <w:t>Yes</w:t>
            </w:r>
          </w:p>
        </w:tc>
        <w:tc>
          <w:tcPr>
            <w:tcW w:w="0" w:type="auto"/>
          </w:tcPr>
          <w:p w14:paraId="6D0AF141" w14:textId="77777777" w:rsidR="00F74486" w:rsidRDefault="008964ED">
            <w:pPr>
              <w:pStyle w:val="Compact"/>
              <w:jc w:val="center"/>
            </w:pPr>
            <w:r>
              <w:t>Yes</w:t>
            </w:r>
          </w:p>
        </w:tc>
        <w:tc>
          <w:tcPr>
            <w:tcW w:w="0" w:type="auto"/>
          </w:tcPr>
          <w:p w14:paraId="57D63250" w14:textId="77777777" w:rsidR="00F74486" w:rsidRDefault="008964ED">
            <w:pPr>
              <w:pStyle w:val="Compact"/>
              <w:jc w:val="center"/>
            </w:pPr>
            <w:r>
              <w:t>Yes</w:t>
            </w:r>
          </w:p>
        </w:tc>
        <w:tc>
          <w:tcPr>
            <w:tcW w:w="0" w:type="auto"/>
          </w:tcPr>
          <w:p w14:paraId="4F550FE3" w14:textId="77777777" w:rsidR="00F74486" w:rsidRDefault="008964ED">
            <w:pPr>
              <w:pStyle w:val="Compact"/>
              <w:jc w:val="center"/>
            </w:pPr>
            <w:r>
              <w:t>Yes</w:t>
            </w:r>
          </w:p>
        </w:tc>
        <w:tc>
          <w:tcPr>
            <w:tcW w:w="0" w:type="auto"/>
          </w:tcPr>
          <w:p w14:paraId="0D4F55BA" w14:textId="77777777" w:rsidR="00F74486" w:rsidRDefault="008964ED">
            <w:pPr>
              <w:pStyle w:val="Compact"/>
              <w:jc w:val="center"/>
            </w:pPr>
            <w:r>
              <w:t>25</w:t>
            </w:r>
          </w:p>
        </w:tc>
        <w:tc>
          <w:tcPr>
            <w:tcW w:w="0" w:type="auto"/>
          </w:tcPr>
          <w:p w14:paraId="37988761" w14:textId="77777777" w:rsidR="00F74486" w:rsidRDefault="008964ED">
            <w:pPr>
              <w:pStyle w:val="Compact"/>
              <w:jc w:val="center"/>
            </w:pPr>
            <w:r>
              <w:t>-217 (17.8)</w:t>
            </w:r>
          </w:p>
        </w:tc>
      </w:tr>
      <w:tr w:rsidR="00F74486" w14:paraId="2356686C" w14:textId="77777777">
        <w:tc>
          <w:tcPr>
            <w:tcW w:w="0" w:type="auto"/>
          </w:tcPr>
          <w:p w14:paraId="7E1F3E15" w14:textId="77777777" w:rsidR="00F74486" w:rsidRDefault="008964ED">
            <w:pPr>
              <w:pStyle w:val="Compact"/>
            </w:pPr>
            <w:r>
              <w:t>Model 5</w:t>
            </w:r>
          </w:p>
        </w:tc>
        <w:tc>
          <w:tcPr>
            <w:tcW w:w="0" w:type="auto"/>
          </w:tcPr>
          <w:p w14:paraId="0F9DB43A" w14:textId="77777777" w:rsidR="00F74486" w:rsidRDefault="008964ED">
            <w:pPr>
              <w:pStyle w:val="Compact"/>
              <w:jc w:val="center"/>
            </w:pPr>
            <w:r>
              <w:t xml:space="preserve">0.14 (-0.03, to </w:t>
            </w:r>
            <w:r>
              <w:t>0.31)</w:t>
            </w:r>
          </w:p>
        </w:tc>
        <w:tc>
          <w:tcPr>
            <w:tcW w:w="0" w:type="auto"/>
          </w:tcPr>
          <w:p w14:paraId="3017CDA4" w14:textId="77777777" w:rsidR="00F74486" w:rsidRDefault="008964ED">
            <w:pPr>
              <w:pStyle w:val="Compact"/>
              <w:jc w:val="center"/>
            </w:pPr>
            <w:r>
              <w:t>Yes</w:t>
            </w:r>
          </w:p>
        </w:tc>
        <w:tc>
          <w:tcPr>
            <w:tcW w:w="0" w:type="auto"/>
          </w:tcPr>
          <w:p w14:paraId="1C38EBBD" w14:textId="77777777" w:rsidR="00F74486" w:rsidRDefault="008964ED">
            <w:pPr>
              <w:pStyle w:val="Compact"/>
              <w:jc w:val="center"/>
            </w:pPr>
            <w:r>
              <w:t>No</w:t>
            </w:r>
          </w:p>
        </w:tc>
        <w:tc>
          <w:tcPr>
            <w:tcW w:w="0" w:type="auto"/>
          </w:tcPr>
          <w:p w14:paraId="4EB87F5C" w14:textId="77777777" w:rsidR="00F74486" w:rsidRDefault="008964ED">
            <w:pPr>
              <w:pStyle w:val="Compact"/>
              <w:jc w:val="center"/>
            </w:pPr>
            <w:r>
              <w:t>Yes</w:t>
            </w:r>
          </w:p>
        </w:tc>
        <w:tc>
          <w:tcPr>
            <w:tcW w:w="0" w:type="auto"/>
          </w:tcPr>
          <w:p w14:paraId="16FAD420" w14:textId="77777777" w:rsidR="00F74486" w:rsidRDefault="008964ED">
            <w:pPr>
              <w:pStyle w:val="Compact"/>
              <w:jc w:val="center"/>
            </w:pPr>
            <w:r>
              <w:t>Yes</w:t>
            </w:r>
          </w:p>
        </w:tc>
        <w:tc>
          <w:tcPr>
            <w:tcW w:w="0" w:type="auto"/>
          </w:tcPr>
          <w:p w14:paraId="2FA89216" w14:textId="77777777" w:rsidR="00F74486" w:rsidRDefault="008964ED">
            <w:pPr>
              <w:pStyle w:val="Compact"/>
              <w:jc w:val="center"/>
            </w:pPr>
            <w:r>
              <w:t>11</w:t>
            </w:r>
          </w:p>
        </w:tc>
        <w:tc>
          <w:tcPr>
            <w:tcW w:w="0" w:type="auto"/>
          </w:tcPr>
          <w:p w14:paraId="70F93440" w14:textId="77777777" w:rsidR="00F74486" w:rsidRDefault="008964ED">
            <w:pPr>
              <w:pStyle w:val="Compact"/>
              <w:jc w:val="center"/>
            </w:pPr>
            <w:r>
              <w:t>-217 (13.3)</w:t>
            </w:r>
          </w:p>
        </w:tc>
      </w:tr>
      <w:tr w:rsidR="00F74486" w14:paraId="132B301A" w14:textId="77777777">
        <w:tc>
          <w:tcPr>
            <w:tcW w:w="0" w:type="auto"/>
          </w:tcPr>
          <w:p w14:paraId="44F0C3BC" w14:textId="77777777" w:rsidR="00F74486" w:rsidRDefault="008964ED">
            <w:pPr>
              <w:pStyle w:val="Compact"/>
            </w:pPr>
            <w:r>
              <w:t>Model 11</w:t>
            </w:r>
          </w:p>
        </w:tc>
        <w:tc>
          <w:tcPr>
            <w:tcW w:w="0" w:type="auto"/>
          </w:tcPr>
          <w:p w14:paraId="6391EE98" w14:textId="77777777" w:rsidR="00F74486" w:rsidRDefault="008964ED">
            <w:pPr>
              <w:pStyle w:val="Compact"/>
              <w:jc w:val="center"/>
            </w:pPr>
            <w:r>
              <w:t>0.15 (0.00, to 0.30)</w:t>
            </w:r>
          </w:p>
        </w:tc>
        <w:tc>
          <w:tcPr>
            <w:tcW w:w="0" w:type="auto"/>
          </w:tcPr>
          <w:p w14:paraId="707B1B40" w14:textId="77777777" w:rsidR="00F74486" w:rsidRDefault="008964ED">
            <w:pPr>
              <w:pStyle w:val="Compact"/>
              <w:jc w:val="center"/>
            </w:pPr>
            <w:r>
              <w:t>Yes</w:t>
            </w:r>
          </w:p>
        </w:tc>
        <w:tc>
          <w:tcPr>
            <w:tcW w:w="0" w:type="auto"/>
          </w:tcPr>
          <w:p w14:paraId="3DD164E1" w14:textId="77777777" w:rsidR="00F74486" w:rsidRDefault="008964ED">
            <w:pPr>
              <w:pStyle w:val="Compact"/>
              <w:jc w:val="center"/>
            </w:pPr>
            <w:r>
              <w:t>Yes</w:t>
            </w:r>
          </w:p>
        </w:tc>
        <w:tc>
          <w:tcPr>
            <w:tcW w:w="0" w:type="auto"/>
          </w:tcPr>
          <w:p w14:paraId="2517E4AE" w14:textId="77777777" w:rsidR="00F74486" w:rsidRDefault="008964ED">
            <w:pPr>
              <w:pStyle w:val="Compact"/>
              <w:jc w:val="center"/>
            </w:pPr>
            <w:r>
              <w:t>Yes</w:t>
            </w:r>
          </w:p>
        </w:tc>
        <w:tc>
          <w:tcPr>
            <w:tcW w:w="0" w:type="auto"/>
          </w:tcPr>
          <w:p w14:paraId="20ACB1FE" w14:textId="77777777" w:rsidR="00F74486" w:rsidRDefault="008964ED">
            <w:pPr>
              <w:pStyle w:val="Compact"/>
              <w:jc w:val="center"/>
            </w:pPr>
            <w:r>
              <w:t>No</w:t>
            </w:r>
          </w:p>
        </w:tc>
        <w:tc>
          <w:tcPr>
            <w:tcW w:w="0" w:type="auto"/>
          </w:tcPr>
          <w:p w14:paraId="1C351B64" w14:textId="77777777" w:rsidR="00F74486" w:rsidRDefault="008964ED">
            <w:pPr>
              <w:pStyle w:val="Compact"/>
              <w:jc w:val="center"/>
            </w:pPr>
            <w:r>
              <w:t>21</w:t>
            </w:r>
          </w:p>
        </w:tc>
        <w:tc>
          <w:tcPr>
            <w:tcW w:w="0" w:type="auto"/>
          </w:tcPr>
          <w:p w14:paraId="3C68950F" w14:textId="77777777" w:rsidR="00F74486" w:rsidRDefault="008964ED">
            <w:pPr>
              <w:pStyle w:val="Compact"/>
              <w:jc w:val="center"/>
            </w:pPr>
            <w:r>
              <w:t>-217 (15.1)</w:t>
            </w:r>
          </w:p>
        </w:tc>
      </w:tr>
      <w:tr w:rsidR="00F74486" w14:paraId="55D3DA4E" w14:textId="77777777">
        <w:tc>
          <w:tcPr>
            <w:tcW w:w="0" w:type="auto"/>
          </w:tcPr>
          <w:p w14:paraId="7AE10C24" w14:textId="77777777" w:rsidR="00F74486" w:rsidRDefault="008964ED">
            <w:pPr>
              <w:pStyle w:val="Compact"/>
            </w:pPr>
            <w:r>
              <w:t>Model 6</w:t>
            </w:r>
          </w:p>
        </w:tc>
        <w:tc>
          <w:tcPr>
            <w:tcW w:w="0" w:type="auto"/>
          </w:tcPr>
          <w:p w14:paraId="269BB1D9" w14:textId="77777777" w:rsidR="00F74486" w:rsidRDefault="008964ED">
            <w:pPr>
              <w:pStyle w:val="Compact"/>
              <w:jc w:val="center"/>
            </w:pPr>
            <w:r>
              <w:t>0.15 (-0.02, to 0.32)</w:t>
            </w:r>
          </w:p>
        </w:tc>
        <w:tc>
          <w:tcPr>
            <w:tcW w:w="0" w:type="auto"/>
          </w:tcPr>
          <w:p w14:paraId="3E02938B" w14:textId="77777777" w:rsidR="00F74486" w:rsidRDefault="008964ED">
            <w:pPr>
              <w:pStyle w:val="Compact"/>
              <w:jc w:val="center"/>
            </w:pPr>
            <w:r>
              <w:t>Yes</w:t>
            </w:r>
          </w:p>
        </w:tc>
        <w:tc>
          <w:tcPr>
            <w:tcW w:w="0" w:type="auto"/>
          </w:tcPr>
          <w:p w14:paraId="03E320CE" w14:textId="77777777" w:rsidR="00F74486" w:rsidRDefault="008964ED">
            <w:pPr>
              <w:pStyle w:val="Compact"/>
              <w:jc w:val="center"/>
            </w:pPr>
            <w:r>
              <w:t>No</w:t>
            </w:r>
          </w:p>
        </w:tc>
        <w:tc>
          <w:tcPr>
            <w:tcW w:w="0" w:type="auto"/>
          </w:tcPr>
          <w:p w14:paraId="3B6E2221" w14:textId="77777777" w:rsidR="00F74486" w:rsidRDefault="008964ED">
            <w:pPr>
              <w:pStyle w:val="Compact"/>
              <w:jc w:val="center"/>
            </w:pPr>
            <w:r>
              <w:t>Yes</w:t>
            </w:r>
          </w:p>
        </w:tc>
        <w:tc>
          <w:tcPr>
            <w:tcW w:w="0" w:type="auto"/>
          </w:tcPr>
          <w:p w14:paraId="0B2014AC" w14:textId="77777777" w:rsidR="00F74486" w:rsidRDefault="008964ED">
            <w:pPr>
              <w:pStyle w:val="Compact"/>
              <w:jc w:val="center"/>
            </w:pPr>
            <w:r>
              <w:t>Yes</w:t>
            </w:r>
          </w:p>
        </w:tc>
        <w:tc>
          <w:tcPr>
            <w:tcW w:w="0" w:type="auto"/>
          </w:tcPr>
          <w:p w14:paraId="68C5C54D" w14:textId="77777777" w:rsidR="00F74486" w:rsidRDefault="008964ED">
            <w:pPr>
              <w:pStyle w:val="Compact"/>
              <w:jc w:val="center"/>
            </w:pPr>
            <w:r>
              <w:t>13</w:t>
            </w:r>
          </w:p>
        </w:tc>
        <w:tc>
          <w:tcPr>
            <w:tcW w:w="0" w:type="auto"/>
          </w:tcPr>
          <w:p w14:paraId="062F0B5E" w14:textId="77777777" w:rsidR="00F74486" w:rsidRDefault="008964ED">
            <w:pPr>
              <w:pStyle w:val="Compact"/>
              <w:jc w:val="center"/>
            </w:pPr>
            <w:r>
              <w:t>-216 (14.3)</w:t>
            </w:r>
          </w:p>
        </w:tc>
      </w:tr>
      <w:tr w:rsidR="00F74486" w14:paraId="1B26CB00" w14:textId="77777777">
        <w:tc>
          <w:tcPr>
            <w:tcW w:w="0" w:type="auto"/>
          </w:tcPr>
          <w:p w14:paraId="3B6AD547" w14:textId="77777777" w:rsidR="00F74486" w:rsidRDefault="008964ED">
            <w:pPr>
              <w:pStyle w:val="Compact"/>
            </w:pPr>
            <w:r>
              <w:t>Model 3</w:t>
            </w:r>
          </w:p>
        </w:tc>
        <w:tc>
          <w:tcPr>
            <w:tcW w:w="0" w:type="auto"/>
          </w:tcPr>
          <w:p w14:paraId="0C84D0B3" w14:textId="77777777" w:rsidR="00F74486" w:rsidRDefault="008964ED">
            <w:pPr>
              <w:pStyle w:val="Compact"/>
              <w:jc w:val="center"/>
            </w:pPr>
            <w:r>
              <w:t>0.15 (0.03, to 0.27)</w:t>
            </w:r>
          </w:p>
        </w:tc>
        <w:tc>
          <w:tcPr>
            <w:tcW w:w="0" w:type="auto"/>
          </w:tcPr>
          <w:p w14:paraId="5E471694" w14:textId="77777777" w:rsidR="00F74486" w:rsidRDefault="008964ED">
            <w:pPr>
              <w:pStyle w:val="Compact"/>
              <w:jc w:val="center"/>
            </w:pPr>
            <w:r>
              <w:t>Yes</w:t>
            </w:r>
          </w:p>
        </w:tc>
        <w:tc>
          <w:tcPr>
            <w:tcW w:w="0" w:type="auto"/>
          </w:tcPr>
          <w:p w14:paraId="683A0467" w14:textId="77777777" w:rsidR="00F74486" w:rsidRDefault="008964ED">
            <w:pPr>
              <w:pStyle w:val="Compact"/>
              <w:jc w:val="center"/>
            </w:pPr>
            <w:r>
              <w:t>No</w:t>
            </w:r>
          </w:p>
        </w:tc>
        <w:tc>
          <w:tcPr>
            <w:tcW w:w="0" w:type="auto"/>
          </w:tcPr>
          <w:p w14:paraId="14C7DF0D" w14:textId="77777777" w:rsidR="00F74486" w:rsidRDefault="008964ED">
            <w:pPr>
              <w:pStyle w:val="Compact"/>
              <w:jc w:val="center"/>
            </w:pPr>
            <w:r>
              <w:t>Yes</w:t>
            </w:r>
          </w:p>
        </w:tc>
        <w:tc>
          <w:tcPr>
            <w:tcW w:w="0" w:type="auto"/>
          </w:tcPr>
          <w:p w14:paraId="52C4C452" w14:textId="77777777" w:rsidR="00F74486" w:rsidRDefault="008964ED">
            <w:pPr>
              <w:pStyle w:val="Compact"/>
              <w:jc w:val="center"/>
            </w:pPr>
            <w:r>
              <w:t>No</w:t>
            </w:r>
          </w:p>
        </w:tc>
        <w:tc>
          <w:tcPr>
            <w:tcW w:w="0" w:type="auto"/>
          </w:tcPr>
          <w:p w14:paraId="61AC6C62" w14:textId="77777777" w:rsidR="00F74486" w:rsidRDefault="008964ED">
            <w:pPr>
              <w:pStyle w:val="Compact"/>
              <w:jc w:val="center"/>
            </w:pPr>
            <w:r>
              <w:t>9</w:t>
            </w:r>
          </w:p>
        </w:tc>
        <w:tc>
          <w:tcPr>
            <w:tcW w:w="0" w:type="auto"/>
          </w:tcPr>
          <w:p w14:paraId="2EC6C957" w14:textId="77777777" w:rsidR="00F74486" w:rsidRDefault="008964ED">
            <w:pPr>
              <w:pStyle w:val="Compact"/>
              <w:jc w:val="center"/>
            </w:pPr>
            <w:r>
              <w:t>-216 (11.4)</w:t>
            </w:r>
          </w:p>
        </w:tc>
      </w:tr>
      <w:tr w:rsidR="00F74486" w14:paraId="321A9D81" w14:textId="77777777">
        <w:tc>
          <w:tcPr>
            <w:tcW w:w="0" w:type="auto"/>
          </w:tcPr>
          <w:p w14:paraId="3A4681E9" w14:textId="77777777" w:rsidR="00F74486" w:rsidRDefault="008964ED">
            <w:pPr>
              <w:pStyle w:val="Compact"/>
            </w:pPr>
            <w:r>
              <w:t>Model 12</w:t>
            </w:r>
          </w:p>
        </w:tc>
        <w:tc>
          <w:tcPr>
            <w:tcW w:w="0" w:type="auto"/>
          </w:tcPr>
          <w:p w14:paraId="3DF2A95A" w14:textId="77777777" w:rsidR="00F74486" w:rsidRDefault="008964ED">
            <w:pPr>
              <w:pStyle w:val="Compact"/>
              <w:jc w:val="center"/>
            </w:pPr>
            <w:r>
              <w:t>0.13 (-0.01, to 0.28)</w:t>
            </w:r>
          </w:p>
        </w:tc>
        <w:tc>
          <w:tcPr>
            <w:tcW w:w="0" w:type="auto"/>
          </w:tcPr>
          <w:p w14:paraId="2157B624" w14:textId="77777777" w:rsidR="00F74486" w:rsidRDefault="008964ED">
            <w:pPr>
              <w:pStyle w:val="Compact"/>
              <w:jc w:val="center"/>
            </w:pPr>
            <w:r>
              <w:t>Yes</w:t>
            </w:r>
          </w:p>
        </w:tc>
        <w:tc>
          <w:tcPr>
            <w:tcW w:w="0" w:type="auto"/>
          </w:tcPr>
          <w:p w14:paraId="3CF351C1" w14:textId="77777777" w:rsidR="00F74486" w:rsidRDefault="008964ED">
            <w:pPr>
              <w:pStyle w:val="Compact"/>
              <w:jc w:val="center"/>
            </w:pPr>
            <w:r>
              <w:t>Yes</w:t>
            </w:r>
          </w:p>
        </w:tc>
        <w:tc>
          <w:tcPr>
            <w:tcW w:w="0" w:type="auto"/>
          </w:tcPr>
          <w:p w14:paraId="5D942850" w14:textId="77777777" w:rsidR="00F74486" w:rsidRDefault="008964ED">
            <w:pPr>
              <w:pStyle w:val="Compact"/>
              <w:jc w:val="center"/>
            </w:pPr>
            <w:r>
              <w:t>Yes</w:t>
            </w:r>
          </w:p>
        </w:tc>
        <w:tc>
          <w:tcPr>
            <w:tcW w:w="0" w:type="auto"/>
          </w:tcPr>
          <w:p w14:paraId="17DB5EAE" w14:textId="77777777" w:rsidR="00F74486" w:rsidRDefault="008964ED">
            <w:pPr>
              <w:pStyle w:val="Compact"/>
              <w:jc w:val="center"/>
            </w:pPr>
            <w:r>
              <w:t>No</w:t>
            </w:r>
          </w:p>
        </w:tc>
        <w:tc>
          <w:tcPr>
            <w:tcW w:w="0" w:type="auto"/>
          </w:tcPr>
          <w:p w14:paraId="55CBF5FA" w14:textId="77777777" w:rsidR="00F74486" w:rsidRDefault="008964ED">
            <w:pPr>
              <w:pStyle w:val="Compact"/>
              <w:jc w:val="center"/>
            </w:pPr>
            <w:r>
              <w:t>22</w:t>
            </w:r>
          </w:p>
        </w:tc>
        <w:tc>
          <w:tcPr>
            <w:tcW w:w="0" w:type="auto"/>
          </w:tcPr>
          <w:p w14:paraId="0CA85D94" w14:textId="77777777" w:rsidR="00F74486" w:rsidRDefault="008964ED">
            <w:pPr>
              <w:pStyle w:val="Compact"/>
              <w:jc w:val="center"/>
            </w:pPr>
            <w:r>
              <w:t>-216 (15.1)</w:t>
            </w:r>
          </w:p>
        </w:tc>
      </w:tr>
      <w:tr w:rsidR="00F74486" w14:paraId="776C7C20" w14:textId="77777777">
        <w:tc>
          <w:tcPr>
            <w:tcW w:w="0" w:type="auto"/>
          </w:tcPr>
          <w:p w14:paraId="4219342E" w14:textId="77777777" w:rsidR="00F74486" w:rsidRDefault="008964ED">
            <w:pPr>
              <w:pStyle w:val="Compact"/>
            </w:pPr>
            <w:r>
              <w:t>Model 4</w:t>
            </w:r>
          </w:p>
        </w:tc>
        <w:tc>
          <w:tcPr>
            <w:tcW w:w="0" w:type="auto"/>
          </w:tcPr>
          <w:p w14:paraId="5BF3AC24" w14:textId="77777777" w:rsidR="00F74486" w:rsidRDefault="008964ED">
            <w:pPr>
              <w:pStyle w:val="Compact"/>
              <w:jc w:val="center"/>
            </w:pPr>
            <w:r>
              <w:t>0.13 (0.01, to 0.25)</w:t>
            </w:r>
          </w:p>
        </w:tc>
        <w:tc>
          <w:tcPr>
            <w:tcW w:w="0" w:type="auto"/>
          </w:tcPr>
          <w:p w14:paraId="2E1FBC58" w14:textId="77777777" w:rsidR="00F74486" w:rsidRDefault="008964ED">
            <w:pPr>
              <w:pStyle w:val="Compact"/>
              <w:jc w:val="center"/>
            </w:pPr>
            <w:r>
              <w:t>Yes</w:t>
            </w:r>
          </w:p>
        </w:tc>
        <w:tc>
          <w:tcPr>
            <w:tcW w:w="0" w:type="auto"/>
          </w:tcPr>
          <w:p w14:paraId="12893897" w14:textId="77777777" w:rsidR="00F74486" w:rsidRDefault="008964ED">
            <w:pPr>
              <w:pStyle w:val="Compact"/>
              <w:jc w:val="center"/>
            </w:pPr>
            <w:r>
              <w:t>No</w:t>
            </w:r>
          </w:p>
        </w:tc>
        <w:tc>
          <w:tcPr>
            <w:tcW w:w="0" w:type="auto"/>
          </w:tcPr>
          <w:p w14:paraId="354CAA4F" w14:textId="77777777" w:rsidR="00F74486" w:rsidRDefault="008964ED">
            <w:pPr>
              <w:pStyle w:val="Compact"/>
              <w:jc w:val="center"/>
            </w:pPr>
            <w:r>
              <w:t>Yes</w:t>
            </w:r>
          </w:p>
        </w:tc>
        <w:tc>
          <w:tcPr>
            <w:tcW w:w="0" w:type="auto"/>
          </w:tcPr>
          <w:p w14:paraId="592E6E0B" w14:textId="77777777" w:rsidR="00F74486" w:rsidRDefault="008964ED">
            <w:pPr>
              <w:pStyle w:val="Compact"/>
              <w:jc w:val="center"/>
            </w:pPr>
            <w:r>
              <w:t>No</w:t>
            </w:r>
          </w:p>
        </w:tc>
        <w:tc>
          <w:tcPr>
            <w:tcW w:w="0" w:type="auto"/>
          </w:tcPr>
          <w:p w14:paraId="65407190" w14:textId="77777777" w:rsidR="00F74486" w:rsidRDefault="008964ED">
            <w:pPr>
              <w:pStyle w:val="Compact"/>
              <w:jc w:val="center"/>
            </w:pPr>
            <w:r>
              <w:t>10</w:t>
            </w:r>
          </w:p>
        </w:tc>
        <w:tc>
          <w:tcPr>
            <w:tcW w:w="0" w:type="auto"/>
          </w:tcPr>
          <w:p w14:paraId="74518BC8" w14:textId="77777777" w:rsidR="00F74486" w:rsidRDefault="008964ED">
            <w:pPr>
              <w:pStyle w:val="Compact"/>
              <w:jc w:val="center"/>
            </w:pPr>
            <w:r>
              <w:t>-214 (11.7)</w:t>
            </w:r>
          </w:p>
        </w:tc>
      </w:tr>
    </w:tbl>
    <w:p w14:paraId="17E2DD3A" w14:textId="77777777" w:rsidR="00F74486" w:rsidRDefault="008964ED">
      <w:pPr>
        <w:pStyle w:val="BodyText"/>
      </w:pPr>
      <w:r>
        <w:rPr>
          <w:b/>
        </w:rPr>
        <w:t>UK born cohort eligible for targeted neonatal vaccination</w:t>
      </w:r>
    </w:p>
    <w:p w14:paraId="754DA873" w14:textId="77777777" w:rsidR="00F74486" w:rsidRDefault="008964ED">
      <w:pPr>
        <w:pStyle w:val="BodyText"/>
      </w:pPr>
      <w:r>
        <w:t>In the UK born cohort eligible for targeted vaccination the evidence for, and direction of, an effect of the vaccina</w:t>
      </w:r>
      <w:r>
        <w:t>tion policy was variable across the models assessed (table 4). For the univariable model (Model 1), there was little evidence that the introduction of targeted neonatal vaccination was associated with any change in incidence rates for the directly effected</w:t>
      </w:r>
      <w:r>
        <w:t xml:space="preserve"> population (0.00 (-0.09, to 0.09)). However, after adjusting for all hypothesised confounding (Model 15), there was some evidence to suggest that the introduction of the policy was associated with reduced incidence rates (-0.17 (-0.40, to 0.06)).</w:t>
      </w:r>
    </w:p>
    <w:p w14:paraId="3F442E53" w14:textId="77777777" w:rsidR="00F74486" w:rsidRDefault="008964ED">
      <w:pPr>
        <w:pStyle w:val="BodyText"/>
      </w:pPr>
      <w:r>
        <w:t>As for t</w:t>
      </w:r>
      <w:r>
        <w:t>he cohort eligible for universal vaccination, the LOOIC goodness of fit metric suggested that models that did not adjust for years of follow up fitted the data best, that models that did not adjust for population incidence rates fitted better than those th</w:t>
      </w:r>
      <w:r>
        <w:t>at did, and that all other models had a comparable fit. For models that did not adjust for population incidence rates there was little evidence of any association between incidence rates and the introduction of the neonatal vaccination program. When only t</w:t>
      </w:r>
      <w:r>
        <w:t xml:space="preserve">he incidence rates in the general UK born population were adjusted for there was some evidence that the introduction of the policy was associated with an increase in incidence rates. However, </w:t>
      </w:r>
      <w:r>
        <w:lastRenderedPageBreak/>
        <w:t>for models that also adjusted for the incidence rates in the non</w:t>
      </w:r>
      <w:r>
        <w:t>-UK born population, the direction of the effect was reversed and there was some evidence that the introduction of the policy was associated with a reduction of incidence rates in the directly effected population. Negative binomial models (Models 8 and 16)</w:t>
      </w:r>
      <w:r>
        <w:t xml:space="preserve"> estimated comparable effect sizes, with increased credible intervals, but there was no clear evidence that they provided a significantly improved fit to the data when compared to Poisson models.</w:t>
      </w:r>
    </w:p>
    <w:p w14:paraId="35B20B62" w14:textId="77777777" w:rsidR="00F74486" w:rsidRDefault="008964ED">
      <w:pPr>
        <w:pStyle w:val="BodyText"/>
      </w:pPr>
      <w:r>
        <w:t>For the non-UK born cohorts, there was some evidence that th</w:t>
      </w:r>
      <w:r>
        <w:t>e introduction of the neonatal vaccination campaign was associated with a decrease in incidence rates across all models assessed. After adjusting for both incidence rates in the UK born, and non-UK born population there remained some evidence that the chan</w:t>
      </w:r>
      <w:r>
        <w:t>ge in policy decreased incidence rates in non-UK born neonates with a greater effect size than in the UK born population, although the credible intervals were large (supplementary table S1. Whilst there was some evidence that the effect of the policy chang</w:t>
      </w:r>
      <w:r>
        <w:t>e was comparable in the UK born and non-UK born populations, the large degree of uncertainty in the effect size estimates for the non-UK born cohorts makes drawing inferences difficult.</w:t>
      </w:r>
    </w:p>
    <w:p w14:paraId="0A6B714B" w14:textId="77777777" w:rsidR="00F74486" w:rsidRDefault="008964ED">
      <w:pPr>
        <w:pStyle w:val="TableCaption"/>
      </w:pPr>
      <w:r>
        <w:rPr>
          <w:b/>
        </w:rPr>
        <w:t>Table 4:</w:t>
      </w:r>
      <w:r>
        <w:t xml:space="preserve"> </w:t>
      </w:r>
      <w:r>
        <w:t>Comparision of models fitted to incidence rates for the UK born population that was eligible for the targeted vaccination program of neonates. Models are ordered by the goodness of fit as assessed by LOOIC.</w:t>
      </w:r>
    </w:p>
    <w:tbl>
      <w:tblPr>
        <w:tblW w:w="4999" w:type="pct"/>
        <w:tblLook w:val="07E0" w:firstRow="1" w:lastRow="1" w:firstColumn="1" w:lastColumn="1" w:noHBand="1" w:noVBand="1"/>
        <w:tblCaption w:val="Table 4: Comparision of models fitted to incidence rates for the UK born population that was eligible for the targeted vaccination program of neonates. Models are ordered by the goodness of fit as assessed by LOOIC."/>
      </w:tblPr>
      <w:tblGrid>
        <w:gridCol w:w="945"/>
        <w:gridCol w:w="1288"/>
        <w:gridCol w:w="1247"/>
        <w:gridCol w:w="1451"/>
        <w:gridCol w:w="980"/>
        <w:gridCol w:w="1175"/>
        <w:gridCol w:w="1394"/>
        <w:gridCol w:w="1094"/>
      </w:tblGrid>
      <w:tr w:rsidR="00F74486" w14:paraId="2FF31CD2" w14:textId="77777777">
        <w:tc>
          <w:tcPr>
            <w:tcW w:w="0" w:type="auto"/>
            <w:tcBorders>
              <w:bottom w:val="single" w:sz="0" w:space="0" w:color="auto"/>
            </w:tcBorders>
            <w:vAlign w:val="bottom"/>
          </w:tcPr>
          <w:p w14:paraId="56E5F0AF" w14:textId="77777777" w:rsidR="00F74486" w:rsidRDefault="008964ED">
            <w:pPr>
              <w:pStyle w:val="Compact"/>
            </w:pPr>
            <w:r>
              <w:t>Model</w:t>
            </w:r>
          </w:p>
        </w:tc>
        <w:tc>
          <w:tcPr>
            <w:tcW w:w="0" w:type="auto"/>
            <w:tcBorders>
              <w:bottom w:val="single" w:sz="0" w:space="0" w:color="auto"/>
            </w:tcBorders>
            <w:vAlign w:val="bottom"/>
          </w:tcPr>
          <w:p w14:paraId="4E4F4A62" w14:textId="77777777" w:rsidR="00F74486" w:rsidRDefault="008964ED">
            <w:pPr>
              <w:pStyle w:val="Compact"/>
              <w:jc w:val="center"/>
            </w:pPr>
            <w:r>
              <w:t>Effect (CI 95%)</w:t>
            </w:r>
          </w:p>
        </w:tc>
        <w:tc>
          <w:tcPr>
            <w:tcW w:w="0" w:type="auto"/>
            <w:tcBorders>
              <w:bottom w:val="single" w:sz="0" w:space="0" w:color="auto"/>
            </w:tcBorders>
            <w:vAlign w:val="bottom"/>
          </w:tcPr>
          <w:p w14:paraId="52E55F27" w14:textId="77777777" w:rsidR="00F74486" w:rsidRDefault="008964ED">
            <w:pPr>
              <w:pStyle w:val="Compact"/>
              <w:jc w:val="center"/>
            </w:pPr>
            <w:r>
              <w:t>Years of follow up</w:t>
            </w:r>
          </w:p>
        </w:tc>
        <w:tc>
          <w:tcPr>
            <w:tcW w:w="0" w:type="auto"/>
            <w:tcBorders>
              <w:bottom w:val="single" w:sz="0" w:space="0" w:color="auto"/>
            </w:tcBorders>
            <w:vAlign w:val="bottom"/>
          </w:tcPr>
          <w:p w14:paraId="448034EF" w14:textId="77777777" w:rsidR="00F74486" w:rsidRDefault="008964ED">
            <w:pPr>
              <w:pStyle w:val="Compact"/>
              <w:jc w:val="center"/>
            </w:pPr>
            <w:r>
              <w:t>Years of</w:t>
            </w:r>
            <w:r>
              <w:t xml:space="preserve"> eligibility</w:t>
            </w:r>
          </w:p>
        </w:tc>
        <w:tc>
          <w:tcPr>
            <w:tcW w:w="0" w:type="auto"/>
            <w:tcBorders>
              <w:bottom w:val="single" w:sz="0" w:space="0" w:color="auto"/>
            </w:tcBorders>
            <w:vAlign w:val="bottom"/>
          </w:tcPr>
          <w:p w14:paraId="057B7F88" w14:textId="77777777" w:rsidR="00F74486" w:rsidRDefault="008964ED">
            <w:pPr>
              <w:pStyle w:val="Compact"/>
              <w:jc w:val="center"/>
            </w:pPr>
            <w:r>
              <w:t>UK born rates</w:t>
            </w:r>
          </w:p>
        </w:tc>
        <w:tc>
          <w:tcPr>
            <w:tcW w:w="0" w:type="auto"/>
            <w:tcBorders>
              <w:bottom w:val="single" w:sz="0" w:space="0" w:color="auto"/>
            </w:tcBorders>
            <w:vAlign w:val="bottom"/>
          </w:tcPr>
          <w:p w14:paraId="6DD83B8D" w14:textId="77777777" w:rsidR="00F74486" w:rsidRDefault="008964ED">
            <w:pPr>
              <w:pStyle w:val="Compact"/>
              <w:jc w:val="center"/>
            </w:pPr>
            <w:r>
              <w:t>Non-UK born rates</w:t>
            </w:r>
          </w:p>
        </w:tc>
        <w:tc>
          <w:tcPr>
            <w:tcW w:w="0" w:type="auto"/>
            <w:tcBorders>
              <w:bottom w:val="single" w:sz="0" w:space="0" w:color="auto"/>
            </w:tcBorders>
            <w:vAlign w:val="bottom"/>
          </w:tcPr>
          <w:p w14:paraId="1B718470" w14:textId="77777777" w:rsidR="00F74486" w:rsidRDefault="008964ED">
            <w:pPr>
              <w:pStyle w:val="Compact"/>
              <w:jc w:val="center"/>
            </w:pPr>
            <w:r>
              <w:t>Degrees of freedom</w:t>
            </w:r>
          </w:p>
        </w:tc>
        <w:tc>
          <w:tcPr>
            <w:tcW w:w="0" w:type="auto"/>
            <w:tcBorders>
              <w:bottom w:val="single" w:sz="0" w:space="0" w:color="auto"/>
            </w:tcBorders>
            <w:vAlign w:val="bottom"/>
          </w:tcPr>
          <w:p w14:paraId="6CF28C09" w14:textId="77777777" w:rsidR="00F74486" w:rsidRDefault="008964ED">
            <w:pPr>
              <w:pStyle w:val="Compact"/>
              <w:jc w:val="center"/>
            </w:pPr>
            <w:r>
              <w:t>LOOIC (se)</w:t>
            </w:r>
          </w:p>
        </w:tc>
      </w:tr>
      <w:tr w:rsidR="00F74486" w14:paraId="4F5F1FE0" w14:textId="77777777">
        <w:tc>
          <w:tcPr>
            <w:tcW w:w="0" w:type="auto"/>
          </w:tcPr>
          <w:p w14:paraId="1CA57F54" w14:textId="77777777" w:rsidR="00F74486" w:rsidRDefault="008964ED">
            <w:pPr>
              <w:pStyle w:val="Compact"/>
            </w:pPr>
            <w:r>
              <w:t>Model 1</w:t>
            </w:r>
          </w:p>
        </w:tc>
        <w:tc>
          <w:tcPr>
            <w:tcW w:w="0" w:type="auto"/>
          </w:tcPr>
          <w:p w14:paraId="14128798" w14:textId="77777777" w:rsidR="00F74486" w:rsidRDefault="008964ED">
            <w:pPr>
              <w:pStyle w:val="Compact"/>
              <w:jc w:val="center"/>
            </w:pPr>
            <w:r>
              <w:t>0.00 (-0.09, to 0.09)</w:t>
            </w:r>
          </w:p>
        </w:tc>
        <w:tc>
          <w:tcPr>
            <w:tcW w:w="0" w:type="auto"/>
          </w:tcPr>
          <w:p w14:paraId="25E89009" w14:textId="77777777" w:rsidR="00F74486" w:rsidRDefault="008964ED">
            <w:pPr>
              <w:pStyle w:val="Compact"/>
              <w:jc w:val="center"/>
            </w:pPr>
            <w:r>
              <w:t>No</w:t>
            </w:r>
          </w:p>
        </w:tc>
        <w:tc>
          <w:tcPr>
            <w:tcW w:w="0" w:type="auto"/>
          </w:tcPr>
          <w:p w14:paraId="65EA7D7D" w14:textId="77777777" w:rsidR="00F74486" w:rsidRDefault="008964ED">
            <w:pPr>
              <w:pStyle w:val="Compact"/>
              <w:jc w:val="center"/>
            </w:pPr>
            <w:r>
              <w:t>No</w:t>
            </w:r>
          </w:p>
        </w:tc>
        <w:tc>
          <w:tcPr>
            <w:tcW w:w="0" w:type="auto"/>
          </w:tcPr>
          <w:p w14:paraId="6FDD048A" w14:textId="77777777" w:rsidR="00F74486" w:rsidRDefault="008964ED">
            <w:pPr>
              <w:pStyle w:val="Compact"/>
              <w:jc w:val="center"/>
            </w:pPr>
            <w:r>
              <w:t>No</w:t>
            </w:r>
          </w:p>
        </w:tc>
        <w:tc>
          <w:tcPr>
            <w:tcW w:w="0" w:type="auto"/>
          </w:tcPr>
          <w:p w14:paraId="0D042410" w14:textId="77777777" w:rsidR="00F74486" w:rsidRDefault="008964ED">
            <w:pPr>
              <w:pStyle w:val="Compact"/>
              <w:jc w:val="center"/>
            </w:pPr>
            <w:r>
              <w:t>No</w:t>
            </w:r>
          </w:p>
        </w:tc>
        <w:tc>
          <w:tcPr>
            <w:tcW w:w="0" w:type="auto"/>
          </w:tcPr>
          <w:p w14:paraId="72E82C16" w14:textId="77777777" w:rsidR="00F74486" w:rsidRDefault="008964ED">
            <w:pPr>
              <w:pStyle w:val="Compact"/>
              <w:jc w:val="center"/>
            </w:pPr>
            <w:r>
              <w:t>2</w:t>
            </w:r>
          </w:p>
        </w:tc>
        <w:tc>
          <w:tcPr>
            <w:tcW w:w="0" w:type="auto"/>
          </w:tcPr>
          <w:p w14:paraId="4FF043A0" w14:textId="77777777" w:rsidR="00F74486" w:rsidRDefault="008964ED">
            <w:pPr>
              <w:pStyle w:val="Compact"/>
              <w:jc w:val="center"/>
            </w:pPr>
            <w:r>
              <w:t>-242 (4.93)</w:t>
            </w:r>
          </w:p>
        </w:tc>
      </w:tr>
      <w:tr w:rsidR="00F74486" w14:paraId="46E3C0EC" w14:textId="77777777">
        <w:tc>
          <w:tcPr>
            <w:tcW w:w="0" w:type="auto"/>
          </w:tcPr>
          <w:p w14:paraId="0F56AA8C" w14:textId="77777777" w:rsidR="00F74486" w:rsidRDefault="008964ED">
            <w:pPr>
              <w:pStyle w:val="Compact"/>
            </w:pPr>
            <w:r>
              <w:t>Model 9</w:t>
            </w:r>
          </w:p>
        </w:tc>
        <w:tc>
          <w:tcPr>
            <w:tcW w:w="0" w:type="auto"/>
          </w:tcPr>
          <w:p w14:paraId="0AD96BFE" w14:textId="77777777" w:rsidR="00F74486" w:rsidRDefault="008964ED">
            <w:pPr>
              <w:pStyle w:val="Compact"/>
              <w:jc w:val="center"/>
            </w:pPr>
            <w:r>
              <w:t>0.01 (-0.17, to 0.19)</w:t>
            </w:r>
          </w:p>
        </w:tc>
        <w:tc>
          <w:tcPr>
            <w:tcW w:w="0" w:type="auto"/>
          </w:tcPr>
          <w:p w14:paraId="5210AC6A" w14:textId="77777777" w:rsidR="00F74486" w:rsidRDefault="008964ED">
            <w:pPr>
              <w:pStyle w:val="Compact"/>
              <w:jc w:val="center"/>
            </w:pPr>
            <w:r>
              <w:t>No</w:t>
            </w:r>
          </w:p>
        </w:tc>
        <w:tc>
          <w:tcPr>
            <w:tcW w:w="0" w:type="auto"/>
          </w:tcPr>
          <w:p w14:paraId="64B340BD" w14:textId="77777777" w:rsidR="00F74486" w:rsidRDefault="008964ED">
            <w:pPr>
              <w:pStyle w:val="Compact"/>
              <w:jc w:val="center"/>
            </w:pPr>
            <w:r>
              <w:t>Yes</w:t>
            </w:r>
          </w:p>
        </w:tc>
        <w:tc>
          <w:tcPr>
            <w:tcW w:w="0" w:type="auto"/>
          </w:tcPr>
          <w:p w14:paraId="4BC77185" w14:textId="77777777" w:rsidR="00F74486" w:rsidRDefault="008964ED">
            <w:pPr>
              <w:pStyle w:val="Compact"/>
              <w:jc w:val="center"/>
            </w:pPr>
            <w:r>
              <w:t>No</w:t>
            </w:r>
          </w:p>
        </w:tc>
        <w:tc>
          <w:tcPr>
            <w:tcW w:w="0" w:type="auto"/>
          </w:tcPr>
          <w:p w14:paraId="3D5AD382" w14:textId="77777777" w:rsidR="00F74486" w:rsidRDefault="008964ED">
            <w:pPr>
              <w:pStyle w:val="Compact"/>
              <w:jc w:val="center"/>
            </w:pPr>
            <w:r>
              <w:t>No</w:t>
            </w:r>
          </w:p>
        </w:tc>
        <w:tc>
          <w:tcPr>
            <w:tcW w:w="0" w:type="auto"/>
          </w:tcPr>
          <w:p w14:paraId="6070F40C" w14:textId="77777777" w:rsidR="00F74486" w:rsidRDefault="008964ED">
            <w:pPr>
              <w:pStyle w:val="Compact"/>
              <w:jc w:val="center"/>
            </w:pPr>
            <w:r>
              <w:t>14</w:t>
            </w:r>
          </w:p>
        </w:tc>
        <w:tc>
          <w:tcPr>
            <w:tcW w:w="0" w:type="auto"/>
          </w:tcPr>
          <w:p w14:paraId="684F57AF" w14:textId="77777777" w:rsidR="00F74486" w:rsidRDefault="008964ED">
            <w:pPr>
              <w:pStyle w:val="Compact"/>
              <w:jc w:val="center"/>
            </w:pPr>
            <w:r>
              <w:t>-242 (19.2)</w:t>
            </w:r>
          </w:p>
        </w:tc>
      </w:tr>
      <w:tr w:rsidR="00F74486" w14:paraId="7EA39F74" w14:textId="77777777">
        <w:tc>
          <w:tcPr>
            <w:tcW w:w="0" w:type="auto"/>
          </w:tcPr>
          <w:p w14:paraId="2A6CEA3D" w14:textId="77777777" w:rsidR="00F74486" w:rsidRDefault="008964ED">
            <w:pPr>
              <w:pStyle w:val="Compact"/>
            </w:pPr>
            <w:r>
              <w:t>Model 2</w:t>
            </w:r>
          </w:p>
        </w:tc>
        <w:tc>
          <w:tcPr>
            <w:tcW w:w="0" w:type="auto"/>
          </w:tcPr>
          <w:p w14:paraId="2F62EB18" w14:textId="77777777" w:rsidR="00F74486" w:rsidRDefault="008964ED">
            <w:pPr>
              <w:pStyle w:val="Compact"/>
              <w:jc w:val="center"/>
            </w:pPr>
            <w:r>
              <w:t>0.00 (-0.09, to 0.09)</w:t>
            </w:r>
          </w:p>
        </w:tc>
        <w:tc>
          <w:tcPr>
            <w:tcW w:w="0" w:type="auto"/>
          </w:tcPr>
          <w:p w14:paraId="00E1D5C2" w14:textId="77777777" w:rsidR="00F74486" w:rsidRDefault="008964ED">
            <w:pPr>
              <w:pStyle w:val="Compact"/>
              <w:jc w:val="center"/>
            </w:pPr>
            <w:r>
              <w:t>Yes</w:t>
            </w:r>
          </w:p>
        </w:tc>
        <w:tc>
          <w:tcPr>
            <w:tcW w:w="0" w:type="auto"/>
          </w:tcPr>
          <w:p w14:paraId="72D22560" w14:textId="77777777" w:rsidR="00F74486" w:rsidRDefault="008964ED">
            <w:pPr>
              <w:pStyle w:val="Compact"/>
              <w:jc w:val="center"/>
            </w:pPr>
            <w:r>
              <w:t>No</w:t>
            </w:r>
          </w:p>
        </w:tc>
        <w:tc>
          <w:tcPr>
            <w:tcW w:w="0" w:type="auto"/>
          </w:tcPr>
          <w:p w14:paraId="02F0D309" w14:textId="77777777" w:rsidR="00F74486" w:rsidRDefault="008964ED">
            <w:pPr>
              <w:pStyle w:val="Compact"/>
              <w:jc w:val="center"/>
            </w:pPr>
            <w:r>
              <w:t>No</w:t>
            </w:r>
          </w:p>
        </w:tc>
        <w:tc>
          <w:tcPr>
            <w:tcW w:w="0" w:type="auto"/>
          </w:tcPr>
          <w:p w14:paraId="6BDCA25C" w14:textId="77777777" w:rsidR="00F74486" w:rsidRDefault="008964ED">
            <w:pPr>
              <w:pStyle w:val="Compact"/>
              <w:jc w:val="center"/>
            </w:pPr>
            <w:r>
              <w:t>No</w:t>
            </w:r>
          </w:p>
        </w:tc>
        <w:tc>
          <w:tcPr>
            <w:tcW w:w="0" w:type="auto"/>
          </w:tcPr>
          <w:p w14:paraId="0A4D9611" w14:textId="77777777" w:rsidR="00F74486" w:rsidRDefault="008964ED">
            <w:pPr>
              <w:pStyle w:val="Compact"/>
              <w:jc w:val="center"/>
            </w:pPr>
            <w:r>
              <w:t>7</w:t>
            </w:r>
          </w:p>
        </w:tc>
        <w:tc>
          <w:tcPr>
            <w:tcW w:w="0" w:type="auto"/>
          </w:tcPr>
          <w:p w14:paraId="5D82D148" w14:textId="77777777" w:rsidR="00F74486" w:rsidRDefault="008964ED">
            <w:pPr>
              <w:pStyle w:val="Compact"/>
              <w:jc w:val="center"/>
            </w:pPr>
            <w:r>
              <w:t>-223 (11.9)</w:t>
            </w:r>
          </w:p>
        </w:tc>
      </w:tr>
      <w:tr w:rsidR="00F74486" w14:paraId="370D5DF1" w14:textId="77777777">
        <w:tc>
          <w:tcPr>
            <w:tcW w:w="0" w:type="auto"/>
          </w:tcPr>
          <w:p w14:paraId="66291F59" w14:textId="77777777" w:rsidR="00F74486" w:rsidRDefault="008964ED">
            <w:pPr>
              <w:pStyle w:val="Compact"/>
            </w:pPr>
            <w:r>
              <w:t>Model 10</w:t>
            </w:r>
          </w:p>
        </w:tc>
        <w:tc>
          <w:tcPr>
            <w:tcW w:w="0" w:type="auto"/>
          </w:tcPr>
          <w:p w14:paraId="52A47D10" w14:textId="77777777" w:rsidR="00F74486" w:rsidRDefault="008964ED">
            <w:pPr>
              <w:pStyle w:val="Compact"/>
              <w:jc w:val="center"/>
            </w:pPr>
            <w:r>
              <w:t>0.01 (-0.17, to 0.18)</w:t>
            </w:r>
          </w:p>
        </w:tc>
        <w:tc>
          <w:tcPr>
            <w:tcW w:w="0" w:type="auto"/>
          </w:tcPr>
          <w:p w14:paraId="0B5E9F97" w14:textId="77777777" w:rsidR="00F74486" w:rsidRDefault="008964ED">
            <w:pPr>
              <w:pStyle w:val="Compact"/>
              <w:jc w:val="center"/>
            </w:pPr>
            <w:r>
              <w:t>Yes</w:t>
            </w:r>
          </w:p>
        </w:tc>
        <w:tc>
          <w:tcPr>
            <w:tcW w:w="0" w:type="auto"/>
          </w:tcPr>
          <w:p w14:paraId="481D0FFD" w14:textId="77777777" w:rsidR="00F74486" w:rsidRDefault="008964ED">
            <w:pPr>
              <w:pStyle w:val="Compact"/>
              <w:jc w:val="center"/>
            </w:pPr>
            <w:r>
              <w:t>Yes</w:t>
            </w:r>
          </w:p>
        </w:tc>
        <w:tc>
          <w:tcPr>
            <w:tcW w:w="0" w:type="auto"/>
          </w:tcPr>
          <w:p w14:paraId="1DFB363A" w14:textId="77777777" w:rsidR="00F74486" w:rsidRDefault="008964ED">
            <w:pPr>
              <w:pStyle w:val="Compact"/>
              <w:jc w:val="center"/>
            </w:pPr>
            <w:r>
              <w:t>No</w:t>
            </w:r>
          </w:p>
        </w:tc>
        <w:tc>
          <w:tcPr>
            <w:tcW w:w="0" w:type="auto"/>
          </w:tcPr>
          <w:p w14:paraId="495C1654" w14:textId="77777777" w:rsidR="00F74486" w:rsidRDefault="008964ED">
            <w:pPr>
              <w:pStyle w:val="Compact"/>
              <w:jc w:val="center"/>
            </w:pPr>
            <w:r>
              <w:t>No</w:t>
            </w:r>
          </w:p>
        </w:tc>
        <w:tc>
          <w:tcPr>
            <w:tcW w:w="0" w:type="auto"/>
          </w:tcPr>
          <w:p w14:paraId="6CD16463" w14:textId="77777777" w:rsidR="00F74486" w:rsidRDefault="008964ED">
            <w:pPr>
              <w:pStyle w:val="Compact"/>
              <w:jc w:val="center"/>
            </w:pPr>
            <w:r>
              <w:t>19</w:t>
            </w:r>
          </w:p>
        </w:tc>
        <w:tc>
          <w:tcPr>
            <w:tcW w:w="0" w:type="auto"/>
          </w:tcPr>
          <w:p w14:paraId="38051BEE" w14:textId="77777777" w:rsidR="00F74486" w:rsidRDefault="008964ED">
            <w:pPr>
              <w:pStyle w:val="Compact"/>
              <w:jc w:val="center"/>
            </w:pPr>
            <w:r>
              <w:t>-220 (20)</w:t>
            </w:r>
          </w:p>
        </w:tc>
      </w:tr>
      <w:tr w:rsidR="00F74486" w14:paraId="16B0FC27" w14:textId="77777777">
        <w:tc>
          <w:tcPr>
            <w:tcW w:w="0" w:type="auto"/>
          </w:tcPr>
          <w:p w14:paraId="16D9B048" w14:textId="77777777" w:rsidR="00F74486" w:rsidRDefault="008964ED">
            <w:pPr>
              <w:pStyle w:val="Compact"/>
            </w:pPr>
            <w:r>
              <w:t>Model 4</w:t>
            </w:r>
          </w:p>
        </w:tc>
        <w:tc>
          <w:tcPr>
            <w:tcW w:w="0" w:type="auto"/>
          </w:tcPr>
          <w:p w14:paraId="384C89CE" w14:textId="77777777" w:rsidR="00F74486" w:rsidRDefault="008964ED">
            <w:pPr>
              <w:pStyle w:val="Compact"/>
              <w:jc w:val="center"/>
            </w:pPr>
            <w:r>
              <w:t>0.12 (-0.01, to 0.25)</w:t>
            </w:r>
          </w:p>
        </w:tc>
        <w:tc>
          <w:tcPr>
            <w:tcW w:w="0" w:type="auto"/>
          </w:tcPr>
          <w:p w14:paraId="6B4F80E5" w14:textId="77777777" w:rsidR="00F74486" w:rsidRDefault="008964ED">
            <w:pPr>
              <w:pStyle w:val="Compact"/>
              <w:jc w:val="center"/>
            </w:pPr>
            <w:r>
              <w:t>Yes</w:t>
            </w:r>
          </w:p>
        </w:tc>
        <w:tc>
          <w:tcPr>
            <w:tcW w:w="0" w:type="auto"/>
          </w:tcPr>
          <w:p w14:paraId="6410C1F5" w14:textId="77777777" w:rsidR="00F74486" w:rsidRDefault="008964ED">
            <w:pPr>
              <w:pStyle w:val="Compact"/>
              <w:jc w:val="center"/>
            </w:pPr>
            <w:r>
              <w:t>No</w:t>
            </w:r>
          </w:p>
        </w:tc>
        <w:tc>
          <w:tcPr>
            <w:tcW w:w="0" w:type="auto"/>
          </w:tcPr>
          <w:p w14:paraId="71EDBC14" w14:textId="77777777" w:rsidR="00F74486" w:rsidRDefault="008964ED">
            <w:pPr>
              <w:pStyle w:val="Compact"/>
              <w:jc w:val="center"/>
            </w:pPr>
            <w:r>
              <w:t>Yes</w:t>
            </w:r>
          </w:p>
        </w:tc>
        <w:tc>
          <w:tcPr>
            <w:tcW w:w="0" w:type="auto"/>
          </w:tcPr>
          <w:p w14:paraId="48553092" w14:textId="77777777" w:rsidR="00F74486" w:rsidRDefault="008964ED">
            <w:pPr>
              <w:pStyle w:val="Compact"/>
              <w:jc w:val="center"/>
            </w:pPr>
            <w:r>
              <w:t>No</w:t>
            </w:r>
          </w:p>
        </w:tc>
        <w:tc>
          <w:tcPr>
            <w:tcW w:w="0" w:type="auto"/>
          </w:tcPr>
          <w:p w14:paraId="07351AB3" w14:textId="77777777" w:rsidR="00F74486" w:rsidRDefault="008964ED">
            <w:pPr>
              <w:pStyle w:val="Compact"/>
              <w:jc w:val="center"/>
            </w:pPr>
            <w:r>
              <w:t>10</w:t>
            </w:r>
          </w:p>
        </w:tc>
        <w:tc>
          <w:tcPr>
            <w:tcW w:w="0" w:type="auto"/>
          </w:tcPr>
          <w:p w14:paraId="1B4DE759" w14:textId="77777777" w:rsidR="00F74486" w:rsidRDefault="008964ED">
            <w:pPr>
              <w:pStyle w:val="Compact"/>
              <w:jc w:val="center"/>
            </w:pPr>
            <w:r>
              <w:t>-210 (12.3)</w:t>
            </w:r>
          </w:p>
        </w:tc>
      </w:tr>
      <w:tr w:rsidR="00F74486" w14:paraId="3373561A" w14:textId="77777777">
        <w:tc>
          <w:tcPr>
            <w:tcW w:w="0" w:type="auto"/>
          </w:tcPr>
          <w:p w14:paraId="1EC62E33" w14:textId="77777777" w:rsidR="00F74486" w:rsidRDefault="008964ED">
            <w:pPr>
              <w:pStyle w:val="Compact"/>
            </w:pPr>
            <w:r>
              <w:t>Model 3</w:t>
            </w:r>
          </w:p>
        </w:tc>
        <w:tc>
          <w:tcPr>
            <w:tcW w:w="0" w:type="auto"/>
          </w:tcPr>
          <w:p w14:paraId="33E71FB0" w14:textId="77777777" w:rsidR="00F74486" w:rsidRDefault="008964ED">
            <w:pPr>
              <w:pStyle w:val="Compact"/>
              <w:jc w:val="center"/>
            </w:pPr>
            <w:r>
              <w:t>0.12 (0.00, to 0.25)</w:t>
            </w:r>
          </w:p>
        </w:tc>
        <w:tc>
          <w:tcPr>
            <w:tcW w:w="0" w:type="auto"/>
          </w:tcPr>
          <w:p w14:paraId="44B76F84" w14:textId="77777777" w:rsidR="00F74486" w:rsidRDefault="008964ED">
            <w:pPr>
              <w:pStyle w:val="Compact"/>
              <w:jc w:val="center"/>
            </w:pPr>
            <w:r>
              <w:t>Yes</w:t>
            </w:r>
          </w:p>
        </w:tc>
        <w:tc>
          <w:tcPr>
            <w:tcW w:w="0" w:type="auto"/>
          </w:tcPr>
          <w:p w14:paraId="4C3DE6DB" w14:textId="77777777" w:rsidR="00F74486" w:rsidRDefault="008964ED">
            <w:pPr>
              <w:pStyle w:val="Compact"/>
              <w:jc w:val="center"/>
            </w:pPr>
            <w:r>
              <w:t>No</w:t>
            </w:r>
          </w:p>
        </w:tc>
        <w:tc>
          <w:tcPr>
            <w:tcW w:w="0" w:type="auto"/>
          </w:tcPr>
          <w:p w14:paraId="7DCE3978" w14:textId="77777777" w:rsidR="00F74486" w:rsidRDefault="008964ED">
            <w:pPr>
              <w:pStyle w:val="Compact"/>
              <w:jc w:val="center"/>
            </w:pPr>
            <w:r>
              <w:t>Yes</w:t>
            </w:r>
          </w:p>
        </w:tc>
        <w:tc>
          <w:tcPr>
            <w:tcW w:w="0" w:type="auto"/>
          </w:tcPr>
          <w:p w14:paraId="6B7FAF98" w14:textId="77777777" w:rsidR="00F74486" w:rsidRDefault="008964ED">
            <w:pPr>
              <w:pStyle w:val="Compact"/>
              <w:jc w:val="center"/>
            </w:pPr>
            <w:r>
              <w:t>No</w:t>
            </w:r>
          </w:p>
        </w:tc>
        <w:tc>
          <w:tcPr>
            <w:tcW w:w="0" w:type="auto"/>
          </w:tcPr>
          <w:p w14:paraId="1C8055EE" w14:textId="77777777" w:rsidR="00F74486" w:rsidRDefault="008964ED">
            <w:pPr>
              <w:pStyle w:val="Compact"/>
              <w:jc w:val="center"/>
            </w:pPr>
            <w:r>
              <w:t>9</w:t>
            </w:r>
          </w:p>
        </w:tc>
        <w:tc>
          <w:tcPr>
            <w:tcW w:w="0" w:type="auto"/>
          </w:tcPr>
          <w:p w14:paraId="026D3ABF" w14:textId="77777777" w:rsidR="00F74486" w:rsidRDefault="008964ED">
            <w:pPr>
              <w:pStyle w:val="Compact"/>
              <w:jc w:val="center"/>
            </w:pPr>
            <w:r>
              <w:t>-209 (11.3)</w:t>
            </w:r>
          </w:p>
        </w:tc>
      </w:tr>
      <w:tr w:rsidR="00F74486" w14:paraId="772DF9F7" w14:textId="77777777">
        <w:tc>
          <w:tcPr>
            <w:tcW w:w="0" w:type="auto"/>
          </w:tcPr>
          <w:p w14:paraId="6ABAFD6F" w14:textId="77777777" w:rsidR="00F74486" w:rsidRDefault="008964ED">
            <w:pPr>
              <w:pStyle w:val="Compact"/>
            </w:pPr>
            <w:r>
              <w:t>Model 13</w:t>
            </w:r>
          </w:p>
        </w:tc>
        <w:tc>
          <w:tcPr>
            <w:tcW w:w="0" w:type="auto"/>
          </w:tcPr>
          <w:p w14:paraId="229981F0" w14:textId="77777777" w:rsidR="00F74486" w:rsidRDefault="008964ED">
            <w:pPr>
              <w:pStyle w:val="Compact"/>
              <w:jc w:val="center"/>
            </w:pPr>
            <w:r>
              <w:t>-0.15 (-0.40, to 0.14)</w:t>
            </w:r>
          </w:p>
        </w:tc>
        <w:tc>
          <w:tcPr>
            <w:tcW w:w="0" w:type="auto"/>
          </w:tcPr>
          <w:p w14:paraId="761A9C44" w14:textId="77777777" w:rsidR="00F74486" w:rsidRDefault="008964ED">
            <w:pPr>
              <w:pStyle w:val="Compact"/>
              <w:jc w:val="center"/>
            </w:pPr>
            <w:r>
              <w:t>Yes</w:t>
            </w:r>
          </w:p>
        </w:tc>
        <w:tc>
          <w:tcPr>
            <w:tcW w:w="0" w:type="auto"/>
          </w:tcPr>
          <w:p w14:paraId="75E9D2DD" w14:textId="77777777" w:rsidR="00F74486" w:rsidRDefault="008964ED">
            <w:pPr>
              <w:pStyle w:val="Compact"/>
              <w:jc w:val="center"/>
            </w:pPr>
            <w:r>
              <w:t>Yes</w:t>
            </w:r>
          </w:p>
        </w:tc>
        <w:tc>
          <w:tcPr>
            <w:tcW w:w="0" w:type="auto"/>
          </w:tcPr>
          <w:p w14:paraId="264B535C" w14:textId="77777777" w:rsidR="00F74486" w:rsidRDefault="008964ED">
            <w:pPr>
              <w:pStyle w:val="Compact"/>
              <w:jc w:val="center"/>
            </w:pPr>
            <w:r>
              <w:t>Yes</w:t>
            </w:r>
          </w:p>
        </w:tc>
        <w:tc>
          <w:tcPr>
            <w:tcW w:w="0" w:type="auto"/>
          </w:tcPr>
          <w:p w14:paraId="32C9B9A1" w14:textId="77777777" w:rsidR="00F74486" w:rsidRDefault="008964ED">
            <w:pPr>
              <w:pStyle w:val="Compact"/>
              <w:jc w:val="center"/>
            </w:pPr>
            <w:r>
              <w:t>Yes</w:t>
            </w:r>
          </w:p>
        </w:tc>
        <w:tc>
          <w:tcPr>
            <w:tcW w:w="0" w:type="auto"/>
          </w:tcPr>
          <w:p w14:paraId="7FE31AB8" w14:textId="77777777" w:rsidR="00F74486" w:rsidRDefault="008964ED">
            <w:pPr>
              <w:pStyle w:val="Compact"/>
              <w:jc w:val="center"/>
            </w:pPr>
            <w:r>
              <w:t>23</w:t>
            </w:r>
          </w:p>
        </w:tc>
        <w:tc>
          <w:tcPr>
            <w:tcW w:w="0" w:type="auto"/>
          </w:tcPr>
          <w:p w14:paraId="4684FEC1" w14:textId="77777777" w:rsidR="00F74486" w:rsidRDefault="008964ED">
            <w:pPr>
              <w:pStyle w:val="Compact"/>
              <w:jc w:val="center"/>
            </w:pPr>
            <w:r>
              <w:t>-203 (14.2)</w:t>
            </w:r>
          </w:p>
        </w:tc>
      </w:tr>
      <w:tr w:rsidR="00F74486" w14:paraId="7D3EB290" w14:textId="77777777">
        <w:tc>
          <w:tcPr>
            <w:tcW w:w="0" w:type="auto"/>
          </w:tcPr>
          <w:p w14:paraId="39DB805A" w14:textId="77777777" w:rsidR="00F74486" w:rsidRDefault="008964ED">
            <w:pPr>
              <w:pStyle w:val="Compact"/>
            </w:pPr>
            <w:r>
              <w:t xml:space="preserve">Model </w:t>
            </w:r>
            <w:r>
              <w:lastRenderedPageBreak/>
              <w:t>12</w:t>
            </w:r>
          </w:p>
        </w:tc>
        <w:tc>
          <w:tcPr>
            <w:tcW w:w="0" w:type="auto"/>
          </w:tcPr>
          <w:p w14:paraId="34D7CDD8" w14:textId="77777777" w:rsidR="00F74486" w:rsidRDefault="008964ED">
            <w:pPr>
              <w:pStyle w:val="Compact"/>
              <w:jc w:val="center"/>
            </w:pPr>
            <w:r>
              <w:lastRenderedPageBreak/>
              <w:t xml:space="preserve">0.18 </w:t>
            </w:r>
            <w:r>
              <w:t>(-</w:t>
            </w:r>
            <w:r>
              <w:lastRenderedPageBreak/>
              <w:t>0.05, to 0.44)</w:t>
            </w:r>
          </w:p>
        </w:tc>
        <w:tc>
          <w:tcPr>
            <w:tcW w:w="0" w:type="auto"/>
          </w:tcPr>
          <w:p w14:paraId="5600A671" w14:textId="77777777" w:rsidR="00F74486" w:rsidRDefault="008964ED">
            <w:pPr>
              <w:pStyle w:val="Compact"/>
              <w:jc w:val="center"/>
            </w:pPr>
            <w:r>
              <w:lastRenderedPageBreak/>
              <w:t>Yes</w:t>
            </w:r>
          </w:p>
        </w:tc>
        <w:tc>
          <w:tcPr>
            <w:tcW w:w="0" w:type="auto"/>
          </w:tcPr>
          <w:p w14:paraId="71FE281F" w14:textId="77777777" w:rsidR="00F74486" w:rsidRDefault="008964ED">
            <w:pPr>
              <w:pStyle w:val="Compact"/>
              <w:jc w:val="center"/>
            </w:pPr>
            <w:r>
              <w:t>Yes</w:t>
            </w:r>
          </w:p>
        </w:tc>
        <w:tc>
          <w:tcPr>
            <w:tcW w:w="0" w:type="auto"/>
          </w:tcPr>
          <w:p w14:paraId="3E561CC1" w14:textId="77777777" w:rsidR="00F74486" w:rsidRDefault="008964ED">
            <w:pPr>
              <w:pStyle w:val="Compact"/>
              <w:jc w:val="center"/>
            </w:pPr>
            <w:r>
              <w:t>Yes</w:t>
            </w:r>
          </w:p>
        </w:tc>
        <w:tc>
          <w:tcPr>
            <w:tcW w:w="0" w:type="auto"/>
          </w:tcPr>
          <w:p w14:paraId="0899FCBF" w14:textId="77777777" w:rsidR="00F74486" w:rsidRDefault="008964ED">
            <w:pPr>
              <w:pStyle w:val="Compact"/>
              <w:jc w:val="center"/>
            </w:pPr>
            <w:r>
              <w:t>No</w:t>
            </w:r>
          </w:p>
        </w:tc>
        <w:tc>
          <w:tcPr>
            <w:tcW w:w="0" w:type="auto"/>
          </w:tcPr>
          <w:p w14:paraId="1681DCB1" w14:textId="77777777" w:rsidR="00F74486" w:rsidRDefault="008964ED">
            <w:pPr>
              <w:pStyle w:val="Compact"/>
              <w:jc w:val="center"/>
            </w:pPr>
            <w:r>
              <w:t>22</w:t>
            </w:r>
          </w:p>
        </w:tc>
        <w:tc>
          <w:tcPr>
            <w:tcW w:w="0" w:type="auto"/>
          </w:tcPr>
          <w:p w14:paraId="0EFC39B6" w14:textId="77777777" w:rsidR="00F74486" w:rsidRDefault="008964ED">
            <w:pPr>
              <w:pStyle w:val="Compact"/>
              <w:jc w:val="center"/>
            </w:pPr>
            <w:r>
              <w:t xml:space="preserve">-203 </w:t>
            </w:r>
            <w:r>
              <w:lastRenderedPageBreak/>
              <w:t>(15.9)</w:t>
            </w:r>
          </w:p>
        </w:tc>
      </w:tr>
      <w:tr w:rsidR="00F74486" w14:paraId="025F1D4D" w14:textId="77777777">
        <w:tc>
          <w:tcPr>
            <w:tcW w:w="0" w:type="auto"/>
          </w:tcPr>
          <w:p w14:paraId="69552809" w14:textId="77777777" w:rsidR="00F74486" w:rsidRDefault="008964ED">
            <w:pPr>
              <w:pStyle w:val="Compact"/>
            </w:pPr>
            <w:r>
              <w:lastRenderedPageBreak/>
              <w:t>Model 11</w:t>
            </w:r>
          </w:p>
        </w:tc>
        <w:tc>
          <w:tcPr>
            <w:tcW w:w="0" w:type="auto"/>
          </w:tcPr>
          <w:p w14:paraId="02EDC680" w14:textId="77777777" w:rsidR="00F74486" w:rsidRDefault="008964ED">
            <w:pPr>
              <w:pStyle w:val="Compact"/>
              <w:jc w:val="center"/>
            </w:pPr>
            <w:r>
              <w:t>0.19 (-0.04, to 0.45)</w:t>
            </w:r>
          </w:p>
        </w:tc>
        <w:tc>
          <w:tcPr>
            <w:tcW w:w="0" w:type="auto"/>
          </w:tcPr>
          <w:p w14:paraId="76E4DF2F" w14:textId="77777777" w:rsidR="00F74486" w:rsidRDefault="008964ED">
            <w:pPr>
              <w:pStyle w:val="Compact"/>
              <w:jc w:val="center"/>
            </w:pPr>
            <w:r>
              <w:t>Yes</w:t>
            </w:r>
          </w:p>
        </w:tc>
        <w:tc>
          <w:tcPr>
            <w:tcW w:w="0" w:type="auto"/>
          </w:tcPr>
          <w:p w14:paraId="4553013E" w14:textId="77777777" w:rsidR="00F74486" w:rsidRDefault="008964ED">
            <w:pPr>
              <w:pStyle w:val="Compact"/>
              <w:jc w:val="center"/>
            </w:pPr>
            <w:r>
              <w:t>Yes</w:t>
            </w:r>
          </w:p>
        </w:tc>
        <w:tc>
          <w:tcPr>
            <w:tcW w:w="0" w:type="auto"/>
          </w:tcPr>
          <w:p w14:paraId="1C6378F9" w14:textId="77777777" w:rsidR="00F74486" w:rsidRDefault="008964ED">
            <w:pPr>
              <w:pStyle w:val="Compact"/>
              <w:jc w:val="center"/>
            </w:pPr>
            <w:r>
              <w:t>Yes</w:t>
            </w:r>
          </w:p>
        </w:tc>
        <w:tc>
          <w:tcPr>
            <w:tcW w:w="0" w:type="auto"/>
          </w:tcPr>
          <w:p w14:paraId="2F24ACF1" w14:textId="77777777" w:rsidR="00F74486" w:rsidRDefault="008964ED">
            <w:pPr>
              <w:pStyle w:val="Compact"/>
              <w:jc w:val="center"/>
            </w:pPr>
            <w:r>
              <w:t>No</w:t>
            </w:r>
          </w:p>
        </w:tc>
        <w:tc>
          <w:tcPr>
            <w:tcW w:w="0" w:type="auto"/>
          </w:tcPr>
          <w:p w14:paraId="2D0B7424" w14:textId="77777777" w:rsidR="00F74486" w:rsidRDefault="008964ED">
            <w:pPr>
              <w:pStyle w:val="Compact"/>
              <w:jc w:val="center"/>
            </w:pPr>
            <w:r>
              <w:t>21</w:t>
            </w:r>
          </w:p>
        </w:tc>
        <w:tc>
          <w:tcPr>
            <w:tcW w:w="0" w:type="auto"/>
          </w:tcPr>
          <w:p w14:paraId="2B7353B5" w14:textId="77777777" w:rsidR="00F74486" w:rsidRDefault="008964ED">
            <w:pPr>
              <w:pStyle w:val="Compact"/>
              <w:jc w:val="center"/>
            </w:pPr>
            <w:r>
              <w:t>-202 (15.4)</w:t>
            </w:r>
          </w:p>
        </w:tc>
      </w:tr>
      <w:tr w:rsidR="00F74486" w14:paraId="728EC964" w14:textId="77777777">
        <w:tc>
          <w:tcPr>
            <w:tcW w:w="0" w:type="auto"/>
          </w:tcPr>
          <w:p w14:paraId="15F3BE95" w14:textId="77777777" w:rsidR="00F74486" w:rsidRDefault="008964ED">
            <w:pPr>
              <w:pStyle w:val="Compact"/>
            </w:pPr>
            <w:r>
              <w:t>Model 5</w:t>
            </w:r>
          </w:p>
        </w:tc>
        <w:tc>
          <w:tcPr>
            <w:tcW w:w="0" w:type="auto"/>
          </w:tcPr>
          <w:p w14:paraId="42E32908" w14:textId="77777777" w:rsidR="00F74486" w:rsidRDefault="008964ED">
            <w:pPr>
              <w:pStyle w:val="Compact"/>
              <w:jc w:val="center"/>
            </w:pPr>
            <w:r>
              <w:t>-0.19 (-0.37, to 0.00)</w:t>
            </w:r>
          </w:p>
        </w:tc>
        <w:tc>
          <w:tcPr>
            <w:tcW w:w="0" w:type="auto"/>
          </w:tcPr>
          <w:p w14:paraId="1FA9ECA7" w14:textId="77777777" w:rsidR="00F74486" w:rsidRDefault="008964ED">
            <w:pPr>
              <w:pStyle w:val="Compact"/>
              <w:jc w:val="center"/>
            </w:pPr>
            <w:r>
              <w:t>Yes</w:t>
            </w:r>
          </w:p>
        </w:tc>
        <w:tc>
          <w:tcPr>
            <w:tcW w:w="0" w:type="auto"/>
          </w:tcPr>
          <w:p w14:paraId="54E886DA" w14:textId="77777777" w:rsidR="00F74486" w:rsidRDefault="008964ED">
            <w:pPr>
              <w:pStyle w:val="Compact"/>
              <w:jc w:val="center"/>
            </w:pPr>
            <w:r>
              <w:t>No</w:t>
            </w:r>
          </w:p>
        </w:tc>
        <w:tc>
          <w:tcPr>
            <w:tcW w:w="0" w:type="auto"/>
          </w:tcPr>
          <w:p w14:paraId="778A3E45" w14:textId="77777777" w:rsidR="00F74486" w:rsidRDefault="008964ED">
            <w:pPr>
              <w:pStyle w:val="Compact"/>
              <w:jc w:val="center"/>
            </w:pPr>
            <w:r>
              <w:t>Yes</w:t>
            </w:r>
          </w:p>
        </w:tc>
        <w:tc>
          <w:tcPr>
            <w:tcW w:w="0" w:type="auto"/>
          </w:tcPr>
          <w:p w14:paraId="0D83DE8C" w14:textId="77777777" w:rsidR="00F74486" w:rsidRDefault="008964ED">
            <w:pPr>
              <w:pStyle w:val="Compact"/>
              <w:jc w:val="center"/>
            </w:pPr>
            <w:r>
              <w:t>Yes</w:t>
            </w:r>
          </w:p>
        </w:tc>
        <w:tc>
          <w:tcPr>
            <w:tcW w:w="0" w:type="auto"/>
          </w:tcPr>
          <w:p w14:paraId="16FD4F8B" w14:textId="77777777" w:rsidR="00F74486" w:rsidRDefault="008964ED">
            <w:pPr>
              <w:pStyle w:val="Compact"/>
              <w:jc w:val="center"/>
            </w:pPr>
            <w:r>
              <w:t>11</w:t>
            </w:r>
          </w:p>
        </w:tc>
        <w:tc>
          <w:tcPr>
            <w:tcW w:w="0" w:type="auto"/>
          </w:tcPr>
          <w:p w14:paraId="0EE14132" w14:textId="77777777" w:rsidR="00F74486" w:rsidRDefault="008964ED">
            <w:pPr>
              <w:pStyle w:val="Compact"/>
              <w:jc w:val="center"/>
            </w:pPr>
            <w:r>
              <w:t>-202 (11.1)</w:t>
            </w:r>
          </w:p>
        </w:tc>
      </w:tr>
      <w:tr w:rsidR="00F74486" w14:paraId="3DF7B49D" w14:textId="77777777">
        <w:tc>
          <w:tcPr>
            <w:tcW w:w="0" w:type="auto"/>
          </w:tcPr>
          <w:p w14:paraId="6AD1044D" w14:textId="77777777" w:rsidR="00F74486" w:rsidRDefault="008964ED">
            <w:pPr>
              <w:pStyle w:val="Compact"/>
            </w:pPr>
            <w:r>
              <w:t>Model 16</w:t>
            </w:r>
          </w:p>
        </w:tc>
        <w:tc>
          <w:tcPr>
            <w:tcW w:w="0" w:type="auto"/>
          </w:tcPr>
          <w:p w14:paraId="6F9EEB4A" w14:textId="77777777" w:rsidR="00F74486" w:rsidRDefault="008964ED">
            <w:pPr>
              <w:pStyle w:val="Compact"/>
              <w:jc w:val="center"/>
            </w:pPr>
            <w:r>
              <w:t>-0.17 (-0.42, to 0.08)</w:t>
            </w:r>
          </w:p>
        </w:tc>
        <w:tc>
          <w:tcPr>
            <w:tcW w:w="0" w:type="auto"/>
          </w:tcPr>
          <w:p w14:paraId="3EB576AF" w14:textId="77777777" w:rsidR="00F74486" w:rsidRDefault="008964ED">
            <w:pPr>
              <w:pStyle w:val="Compact"/>
              <w:jc w:val="center"/>
            </w:pPr>
            <w:r>
              <w:t>Yes</w:t>
            </w:r>
          </w:p>
        </w:tc>
        <w:tc>
          <w:tcPr>
            <w:tcW w:w="0" w:type="auto"/>
          </w:tcPr>
          <w:p w14:paraId="5296FAB4" w14:textId="77777777" w:rsidR="00F74486" w:rsidRDefault="008964ED">
            <w:pPr>
              <w:pStyle w:val="Compact"/>
              <w:jc w:val="center"/>
            </w:pPr>
            <w:r>
              <w:t>Yes</w:t>
            </w:r>
          </w:p>
        </w:tc>
        <w:tc>
          <w:tcPr>
            <w:tcW w:w="0" w:type="auto"/>
          </w:tcPr>
          <w:p w14:paraId="051CB126" w14:textId="77777777" w:rsidR="00F74486" w:rsidRDefault="008964ED">
            <w:pPr>
              <w:pStyle w:val="Compact"/>
              <w:jc w:val="center"/>
            </w:pPr>
            <w:r>
              <w:t>Yes</w:t>
            </w:r>
          </w:p>
        </w:tc>
        <w:tc>
          <w:tcPr>
            <w:tcW w:w="0" w:type="auto"/>
          </w:tcPr>
          <w:p w14:paraId="38C4A58B" w14:textId="77777777" w:rsidR="00F74486" w:rsidRDefault="008964ED">
            <w:pPr>
              <w:pStyle w:val="Compact"/>
              <w:jc w:val="center"/>
            </w:pPr>
            <w:r>
              <w:t>Yes</w:t>
            </w:r>
          </w:p>
        </w:tc>
        <w:tc>
          <w:tcPr>
            <w:tcW w:w="0" w:type="auto"/>
          </w:tcPr>
          <w:p w14:paraId="6B0F9BD0" w14:textId="77777777" w:rsidR="00F74486" w:rsidRDefault="008964ED">
            <w:pPr>
              <w:pStyle w:val="Compact"/>
              <w:jc w:val="center"/>
            </w:pPr>
            <w:r>
              <w:t>27</w:t>
            </w:r>
          </w:p>
        </w:tc>
        <w:tc>
          <w:tcPr>
            <w:tcW w:w="0" w:type="auto"/>
          </w:tcPr>
          <w:p w14:paraId="50D95DFE" w14:textId="77777777" w:rsidR="00F74486" w:rsidRDefault="008964ED">
            <w:pPr>
              <w:pStyle w:val="Compact"/>
              <w:jc w:val="center"/>
            </w:pPr>
            <w:r>
              <w:t>-201 (12.3)</w:t>
            </w:r>
          </w:p>
        </w:tc>
      </w:tr>
      <w:tr w:rsidR="00F74486" w14:paraId="4C94FB6B" w14:textId="77777777">
        <w:tc>
          <w:tcPr>
            <w:tcW w:w="0" w:type="auto"/>
          </w:tcPr>
          <w:p w14:paraId="62D8AE9E" w14:textId="77777777" w:rsidR="00F74486" w:rsidRDefault="008964ED">
            <w:pPr>
              <w:pStyle w:val="Compact"/>
            </w:pPr>
            <w:r>
              <w:t>Model 8</w:t>
            </w:r>
          </w:p>
        </w:tc>
        <w:tc>
          <w:tcPr>
            <w:tcW w:w="0" w:type="auto"/>
          </w:tcPr>
          <w:p w14:paraId="2DAFDD75" w14:textId="77777777" w:rsidR="00F74486" w:rsidRDefault="008964ED">
            <w:pPr>
              <w:pStyle w:val="Compact"/>
              <w:jc w:val="center"/>
            </w:pPr>
            <w:r>
              <w:t xml:space="preserve">-0.18 </w:t>
            </w:r>
            <w:r>
              <w:t>(-0.38, to 0.03)</w:t>
            </w:r>
          </w:p>
        </w:tc>
        <w:tc>
          <w:tcPr>
            <w:tcW w:w="0" w:type="auto"/>
          </w:tcPr>
          <w:p w14:paraId="4ECFA739" w14:textId="77777777" w:rsidR="00F74486" w:rsidRDefault="008964ED">
            <w:pPr>
              <w:pStyle w:val="Compact"/>
              <w:jc w:val="center"/>
            </w:pPr>
            <w:r>
              <w:t>Yes</w:t>
            </w:r>
          </w:p>
        </w:tc>
        <w:tc>
          <w:tcPr>
            <w:tcW w:w="0" w:type="auto"/>
          </w:tcPr>
          <w:p w14:paraId="0F4F07C2" w14:textId="77777777" w:rsidR="00F74486" w:rsidRDefault="008964ED">
            <w:pPr>
              <w:pStyle w:val="Compact"/>
              <w:jc w:val="center"/>
            </w:pPr>
            <w:r>
              <w:t>No</w:t>
            </w:r>
          </w:p>
        </w:tc>
        <w:tc>
          <w:tcPr>
            <w:tcW w:w="0" w:type="auto"/>
          </w:tcPr>
          <w:p w14:paraId="65E94CFB" w14:textId="77777777" w:rsidR="00F74486" w:rsidRDefault="008964ED">
            <w:pPr>
              <w:pStyle w:val="Compact"/>
              <w:jc w:val="center"/>
            </w:pPr>
            <w:r>
              <w:t>Yes</w:t>
            </w:r>
          </w:p>
        </w:tc>
        <w:tc>
          <w:tcPr>
            <w:tcW w:w="0" w:type="auto"/>
          </w:tcPr>
          <w:p w14:paraId="423B192B" w14:textId="77777777" w:rsidR="00F74486" w:rsidRDefault="008964ED">
            <w:pPr>
              <w:pStyle w:val="Compact"/>
              <w:jc w:val="center"/>
            </w:pPr>
            <w:r>
              <w:t>Yes</w:t>
            </w:r>
          </w:p>
        </w:tc>
        <w:tc>
          <w:tcPr>
            <w:tcW w:w="0" w:type="auto"/>
          </w:tcPr>
          <w:p w14:paraId="7041543F" w14:textId="77777777" w:rsidR="00F74486" w:rsidRDefault="008964ED">
            <w:pPr>
              <w:pStyle w:val="Compact"/>
              <w:jc w:val="center"/>
            </w:pPr>
            <w:r>
              <w:t>15</w:t>
            </w:r>
          </w:p>
        </w:tc>
        <w:tc>
          <w:tcPr>
            <w:tcW w:w="0" w:type="auto"/>
          </w:tcPr>
          <w:p w14:paraId="1549D59F" w14:textId="77777777" w:rsidR="00F74486" w:rsidRDefault="008964ED">
            <w:pPr>
              <w:pStyle w:val="Compact"/>
              <w:jc w:val="center"/>
            </w:pPr>
            <w:r>
              <w:t>-201 (11)</w:t>
            </w:r>
          </w:p>
        </w:tc>
      </w:tr>
      <w:tr w:rsidR="00F74486" w14:paraId="15E36C2B" w14:textId="77777777">
        <w:tc>
          <w:tcPr>
            <w:tcW w:w="0" w:type="auto"/>
          </w:tcPr>
          <w:p w14:paraId="0A7E1CBA" w14:textId="77777777" w:rsidR="00F74486" w:rsidRDefault="008964ED">
            <w:pPr>
              <w:pStyle w:val="Compact"/>
            </w:pPr>
            <w:r>
              <w:t>Model 15</w:t>
            </w:r>
          </w:p>
        </w:tc>
        <w:tc>
          <w:tcPr>
            <w:tcW w:w="0" w:type="auto"/>
          </w:tcPr>
          <w:p w14:paraId="2320D1C8" w14:textId="77777777" w:rsidR="00F74486" w:rsidRDefault="008964ED">
            <w:pPr>
              <w:pStyle w:val="Compact"/>
              <w:jc w:val="center"/>
            </w:pPr>
            <w:r>
              <w:t>-0.17 (-0.40, to 0.06)</w:t>
            </w:r>
          </w:p>
        </w:tc>
        <w:tc>
          <w:tcPr>
            <w:tcW w:w="0" w:type="auto"/>
          </w:tcPr>
          <w:p w14:paraId="3D1CA0B3" w14:textId="77777777" w:rsidR="00F74486" w:rsidRDefault="008964ED">
            <w:pPr>
              <w:pStyle w:val="Compact"/>
              <w:jc w:val="center"/>
            </w:pPr>
            <w:r>
              <w:t>Yes</w:t>
            </w:r>
          </w:p>
        </w:tc>
        <w:tc>
          <w:tcPr>
            <w:tcW w:w="0" w:type="auto"/>
          </w:tcPr>
          <w:p w14:paraId="0E4DD1F7" w14:textId="77777777" w:rsidR="00F74486" w:rsidRDefault="008964ED">
            <w:pPr>
              <w:pStyle w:val="Compact"/>
              <w:jc w:val="center"/>
            </w:pPr>
            <w:r>
              <w:t>Yes</w:t>
            </w:r>
          </w:p>
        </w:tc>
        <w:tc>
          <w:tcPr>
            <w:tcW w:w="0" w:type="auto"/>
          </w:tcPr>
          <w:p w14:paraId="5A7CA986" w14:textId="77777777" w:rsidR="00F74486" w:rsidRDefault="008964ED">
            <w:pPr>
              <w:pStyle w:val="Compact"/>
              <w:jc w:val="center"/>
            </w:pPr>
            <w:r>
              <w:t>Yes</w:t>
            </w:r>
          </w:p>
        </w:tc>
        <w:tc>
          <w:tcPr>
            <w:tcW w:w="0" w:type="auto"/>
          </w:tcPr>
          <w:p w14:paraId="7B806DBE" w14:textId="77777777" w:rsidR="00F74486" w:rsidRDefault="008964ED">
            <w:pPr>
              <w:pStyle w:val="Compact"/>
              <w:jc w:val="center"/>
            </w:pPr>
            <w:r>
              <w:t>Yes</w:t>
            </w:r>
          </w:p>
        </w:tc>
        <w:tc>
          <w:tcPr>
            <w:tcW w:w="0" w:type="auto"/>
          </w:tcPr>
          <w:p w14:paraId="08FEF9BA" w14:textId="77777777" w:rsidR="00F74486" w:rsidRDefault="008964ED">
            <w:pPr>
              <w:pStyle w:val="Compact"/>
              <w:jc w:val="center"/>
            </w:pPr>
            <w:r>
              <w:t>26</w:t>
            </w:r>
          </w:p>
        </w:tc>
        <w:tc>
          <w:tcPr>
            <w:tcW w:w="0" w:type="auto"/>
          </w:tcPr>
          <w:p w14:paraId="38BF1708" w14:textId="77777777" w:rsidR="00F74486" w:rsidRDefault="008964ED">
            <w:pPr>
              <w:pStyle w:val="Compact"/>
              <w:jc w:val="center"/>
            </w:pPr>
            <w:r>
              <w:t>-200 (14.8)</w:t>
            </w:r>
          </w:p>
        </w:tc>
      </w:tr>
      <w:tr w:rsidR="00F74486" w14:paraId="3B44C7E5" w14:textId="77777777">
        <w:tc>
          <w:tcPr>
            <w:tcW w:w="0" w:type="auto"/>
          </w:tcPr>
          <w:p w14:paraId="50B9746D" w14:textId="77777777" w:rsidR="00F74486" w:rsidRDefault="008964ED">
            <w:pPr>
              <w:pStyle w:val="Compact"/>
            </w:pPr>
            <w:r>
              <w:t>Model 7</w:t>
            </w:r>
          </w:p>
        </w:tc>
        <w:tc>
          <w:tcPr>
            <w:tcW w:w="0" w:type="auto"/>
          </w:tcPr>
          <w:p w14:paraId="75B46C63" w14:textId="77777777" w:rsidR="00F74486" w:rsidRDefault="008964ED">
            <w:pPr>
              <w:pStyle w:val="Compact"/>
              <w:jc w:val="center"/>
            </w:pPr>
            <w:r>
              <w:t>-0.18 (-0.37, to 0.00)</w:t>
            </w:r>
          </w:p>
        </w:tc>
        <w:tc>
          <w:tcPr>
            <w:tcW w:w="0" w:type="auto"/>
          </w:tcPr>
          <w:p w14:paraId="25AEF64C" w14:textId="77777777" w:rsidR="00F74486" w:rsidRDefault="008964ED">
            <w:pPr>
              <w:pStyle w:val="Compact"/>
              <w:jc w:val="center"/>
            </w:pPr>
            <w:r>
              <w:t>Yes</w:t>
            </w:r>
          </w:p>
        </w:tc>
        <w:tc>
          <w:tcPr>
            <w:tcW w:w="0" w:type="auto"/>
          </w:tcPr>
          <w:p w14:paraId="442B7D7A" w14:textId="77777777" w:rsidR="00F74486" w:rsidRDefault="008964ED">
            <w:pPr>
              <w:pStyle w:val="Compact"/>
              <w:jc w:val="center"/>
            </w:pPr>
            <w:r>
              <w:t>No</w:t>
            </w:r>
          </w:p>
        </w:tc>
        <w:tc>
          <w:tcPr>
            <w:tcW w:w="0" w:type="auto"/>
          </w:tcPr>
          <w:p w14:paraId="5379902E" w14:textId="77777777" w:rsidR="00F74486" w:rsidRDefault="008964ED">
            <w:pPr>
              <w:pStyle w:val="Compact"/>
              <w:jc w:val="center"/>
            </w:pPr>
            <w:r>
              <w:t>Yes</w:t>
            </w:r>
          </w:p>
        </w:tc>
        <w:tc>
          <w:tcPr>
            <w:tcW w:w="0" w:type="auto"/>
          </w:tcPr>
          <w:p w14:paraId="799D0CE6" w14:textId="77777777" w:rsidR="00F74486" w:rsidRDefault="008964ED">
            <w:pPr>
              <w:pStyle w:val="Compact"/>
              <w:jc w:val="center"/>
            </w:pPr>
            <w:r>
              <w:t>Yes</w:t>
            </w:r>
          </w:p>
        </w:tc>
        <w:tc>
          <w:tcPr>
            <w:tcW w:w="0" w:type="auto"/>
          </w:tcPr>
          <w:p w14:paraId="1904CBBE" w14:textId="77777777" w:rsidR="00F74486" w:rsidRDefault="008964ED">
            <w:pPr>
              <w:pStyle w:val="Compact"/>
              <w:jc w:val="center"/>
            </w:pPr>
            <w:r>
              <w:t>14</w:t>
            </w:r>
          </w:p>
        </w:tc>
        <w:tc>
          <w:tcPr>
            <w:tcW w:w="0" w:type="auto"/>
          </w:tcPr>
          <w:p w14:paraId="6808F8FC" w14:textId="77777777" w:rsidR="00F74486" w:rsidRDefault="008964ED">
            <w:pPr>
              <w:pStyle w:val="Compact"/>
              <w:jc w:val="center"/>
            </w:pPr>
            <w:r>
              <w:t>-199 (12.8)</w:t>
            </w:r>
          </w:p>
        </w:tc>
      </w:tr>
      <w:tr w:rsidR="00F74486" w14:paraId="4DBF79F6" w14:textId="77777777">
        <w:tc>
          <w:tcPr>
            <w:tcW w:w="0" w:type="auto"/>
          </w:tcPr>
          <w:p w14:paraId="58B568B1" w14:textId="77777777" w:rsidR="00F74486" w:rsidRDefault="008964ED">
            <w:pPr>
              <w:pStyle w:val="Compact"/>
            </w:pPr>
            <w:r>
              <w:t>Model 14</w:t>
            </w:r>
          </w:p>
        </w:tc>
        <w:tc>
          <w:tcPr>
            <w:tcW w:w="0" w:type="auto"/>
          </w:tcPr>
          <w:p w14:paraId="427E3999" w14:textId="77777777" w:rsidR="00F74486" w:rsidRDefault="008964ED">
            <w:pPr>
              <w:pStyle w:val="Compact"/>
              <w:jc w:val="center"/>
            </w:pPr>
            <w:r>
              <w:t>-0.16 (-0.39, to 0.07)</w:t>
            </w:r>
          </w:p>
        </w:tc>
        <w:tc>
          <w:tcPr>
            <w:tcW w:w="0" w:type="auto"/>
          </w:tcPr>
          <w:p w14:paraId="7F74809D" w14:textId="77777777" w:rsidR="00F74486" w:rsidRDefault="008964ED">
            <w:pPr>
              <w:pStyle w:val="Compact"/>
              <w:jc w:val="center"/>
            </w:pPr>
            <w:r>
              <w:t>Yes</w:t>
            </w:r>
          </w:p>
        </w:tc>
        <w:tc>
          <w:tcPr>
            <w:tcW w:w="0" w:type="auto"/>
          </w:tcPr>
          <w:p w14:paraId="337705AA" w14:textId="77777777" w:rsidR="00F74486" w:rsidRDefault="008964ED">
            <w:pPr>
              <w:pStyle w:val="Compact"/>
              <w:jc w:val="center"/>
            </w:pPr>
            <w:r>
              <w:t>Yes</w:t>
            </w:r>
          </w:p>
        </w:tc>
        <w:tc>
          <w:tcPr>
            <w:tcW w:w="0" w:type="auto"/>
          </w:tcPr>
          <w:p w14:paraId="782123B2" w14:textId="77777777" w:rsidR="00F74486" w:rsidRDefault="008964ED">
            <w:pPr>
              <w:pStyle w:val="Compact"/>
              <w:jc w:val="center"/>
            </w:pPr>
            <w:r>
              <w:t>Yes</w:t>
            </w:r>
          </w:p>
        </w:tc>
        <w:tc>
          <w:tcPr>
            <w:tcW w:w="0" w:type="auto"/>
          </w:tcPr>
          <w:p w14:paraId="2A6354CF" w14:textId="77777777" w:rsidR="00F74486" w:rsidRDefault="008964ED">
            <w:pPr>
              <w:pStyle w:val="Compact"/>
              <w:jc w:val="center"/>
            </w:pPr>
            <w:r>
              <w:t>Yes</w:t>
            </w:r>
          </w:p>
        </w:tc>
        <w:tc>
          <w:tcPr>
            <w:tcW w:w="0" w:type="auto"/>
          </w:tcPr>
          <w:p w14:paraId="3FB94777" w14:textId="77777777" w:rsidR="00F74486" w:rsidRDefault="008964ED">
            <w:pPr>
              <w:pStyle w:val="Compact"/>
              <w:jc w:val="center"/>
            </w:pPr>
            <w:r>
              <w:t>25</w:t>
            </w:r>
          </w:p>
        </w:tc>
        <w:tc>
          <w:tcPr>
            <w:tcW w:w="0" w:type="auto"/>
          </w:tcPr>
          <w:p w14:paraId="41F777E6" w14:textId="77777777" w:rsidR="00F74486" w:rsidRDefault="008964ED">
            <w:pPr>
              <w:pStyle w:val="Compact"/>
              <w:jc w:val="center"/>
            </w:pPr>
            <w:r>
              <w:t>-199 (13.4)</w:t>
            </w:r>
          </w:p>
        </w:tc>
      </w:tr>
      <w:tr w:rsidR="00F74486" w14:paraId="3F54795D" w14:textId="77777777">
        <w:tc>
          <w:tcPr>
            <w:tcW w:w="0" w:type="auto"/>
          </w:tcPr>
          <w:p w14:paraId="45B6B02D" w14:textId="77777777" w:rsidR="00F74486" w:rsidRDefault="008964ED">
            <w:pPr>
              <w:pStyle w:val="Compact"/>
            </w:pPr>
            <w:r>
              <w:t>Model 6</w:t>
            </w:r>
          </w:p>
        </w:tc>
        <w:tc>
          <w:tcPr>
            <w:tcW w:w="0" w:type="auto"/>
          </w:tcPr>
          <w:p w14:paraId="0C919813" w14:textId="77777777" w:rsidR="00F74486" w:rsidRDefault="008964ED">
            <w:pPr>
              <w:pStyle w:val="Compact"/>
              <w:jc w:val="center"/>
            </w:pPr>
            <w:r>
              <w:t xml:space="preserve">-0.17 </w:t>
            </w:r>
            <w:r>
              <w:t>(-0.36, to 0.00)</w:t>
            </w:r>
          </w:p>
        </w:tc>
        <w:tc>
          <w:tcPr>
            <w:tcW w:w="0" w:type="auto"/>
          </w:tcPr>
          <w:p w14:paraId="4883CFB1" w14:textId="77777777" w:rsidR="00F74486" w:rsidRDefault="008964ED">
            <w:pPr>
              <w:pStyle w:val="Compact"/>
              <w:jc w:val="center"/>
            </w:pPr>
            <w:r>
              <w:t>Yes</w:t>
            </w:r>
          </w:p>
        </w:tc>
        <w:tc>
          <w:tcPr>
            <w:tcW w:w="0" w:type="auto"/>
          </w:tcPr>
          <w:p w14:paraId="03C39B63" w14:textId="77777777" w:rsidR="00F74486" w:rsidRDefault="008964ED">
            <w:pPr>
              <w:pStyle w:val="Compact"/>
              <w:jc w:val="center"/>
            </w:pPr>
            <w:r>
              <w:t>No</w:t>
            </w:r>
          </w:p>
        </w:tc>
        <w:tc>
          <w:tcPr>
            <w:tcW w:w="0" w:type="auto"/>
          </w:tcPr>
          <w:p w14:paraId="022CCF87" w14:textId="77777777" w:rsidR="00F74486" w:rsidRDefault="008964ED">
            <w:pPr>
              <w:pStyle w:val="Compact"/>
              <w:jc w:val="center"/>
            </w:pPr>
            <w:r>
              <w:t>Yes</w:t>
            </w:r>
          </w:p>
        </w:tc>
        <w:tc>
          <w:tcPr>
            <w:tcW w:w="0" w:type="auto"/>
          </w:tcPr>
          <w:p w14:paraId="0C22281E" w14:textId="77777777" w:rsidR="00F74486" w:rsidRDefault="008964ED">
            <w:pPr>
              <w:pStyle w:val="Compact"/>
              <w:jc w:val="center"/>
            </w:pPr>
            <w:r>
              <w:t>Yes</w:t>
            </w:r>
          </w:p>
        </w:tc>
        <w:tc>
          <w:tcPr>
            <w:tcW w:w="0" w:type="auto"/>
          </w:tcPr>
          <w:p w14:paraId="1569B19D" w14:textId="77777777" w:rsidR="00F74486" w:rsidRDefault="008964ED">
            <w:pPr>
              <w:pStyle w:val="Compact"/>
              <w:jc w:val="center"/>
            </w:pPr>
            <w:r>
              <w:t>13</w:t>
            </w:r>
          </w:p>
        </w:tc>
        <w:tc>
          <w:tcPr>
            <w:tcW w:w="0" w:type="auto"/>
          </w:tcPr>
          <w:p w14:paraId="12CF8CAD" w14:textId="77777777" w:rsidR="00F74486" w:rsidRDefault="008964ED">
            <w:pPr>
              <w:pStyle w:val="Compact"/>
              <w:jc w:val="center"/>
            </w:pPr>
            <w:r>
              <w:t>-198 (11.4)</w:t>
            </w:r>
          </w:p>
        </w:tc>
      </w:tr>
    </w:tbl>
    <w:p w14:paraId="26C0C2EF" w14:textId="77777777" w:rsidR="00F74486" w:rsidRDefault="008964ED">
      <w:pPr>
        <w:pStyle w:val="Heading5"/>
      </w:pPr>
      <w:bookmarkStart w:id="4" w:name="pagebreak-4"/>
      <w:bookmarkEnd w:id="4"/>
      <w:r>
        <w:lastRenderedPageBreak/>
        <w:t>PAGEBREAK</w:t>
      </w:r>
    </w:p>
    <w:p w14:paraId="4C031A66" w14:textId="77777777" w:rsidR="00F74486" w:rsidRDefault="008964ED">
      <w:pPr>
        <w:pStyle w:val="FirstParagraph"/>
      </w:pPr>
      <w:r>
        <w:rPr>
          <w:b/>
        </w:rPr>
        <w:t>DISCUSSION</w:t>
      </w:r>
    </w:p>
    <w:p w14:paraId="2E189126" w14:textId="77777777" w:rsidR="00F74486" w:rsidRDefault="008964ED">
      <w:pPr>
        <w:pStyle w:val="BodyText"/>
      </w:pPr>
      <w:r>
        <w:rPr>
          <w:b/>
        </w:rPr>
        <w:t>Summary</w:t>
      </w:r>
    </w:p>
    <w:p w14:paraId="7F852D53" w14:textId="77777777" w:rsidR="00F74486" w:rsidRDefault="008964ED">
      <w:pPr>
        <w:pStyle w:val="BodyText"/>
      </w:pPr>
      <w:r>
        <w:rPr>
          <w:b/>
        </w:rPr>
        <w:t>Strengths and Weaknesses</w:t>
      </w:r>
    </w:p>
    <w:p w14:paraId="3328D724" w14:textId="77777777" w:rsidR="00F74486" w:rsidRDefault="008964ED">
      <w:pPr>
        <w:pStyle w:val="BodyText"/>
      </w:pPr>
      <w:r>
        <w:rPr>
          <w:b/>
        </w:rPr>
        <w:t>Meaning of the study</w:t>
      </w:r>
    </w:p>
    <w:p w14:paraId="40D26202" w14:textId="77777777" w:rsidR="00F74486" w:rsidRDefault="008964ED">
      <w:pPr>
        <w:pStyle w:val="BodyText"/>
      </w:pPr>
      <w:r>
        <w:rPr>
          <w:b/>
        </w:rPr>
        <w:t>Extensions and possible further work</w:t>
      </w:r>
    </w:p>
    <w:p w14:paraId="6206D013" w14:textId="77777777" w:rsidR="00F74486" w:rsidRDefault="008964ED">
      <w:pPr>
        <w:pStyle w:val="BodyText"/>
      </w:pPr>
      <w:r>
        <w:rPr>
          <w:b/>
        </w:rPr>
        <w:t>Acknowledgements</w:t>
      </w:r>
    </w:p>
    <w:p w14:paraId="3A695194" w14:textId="77777777" w:rsidR="00F74486" w:rsidRDefault="008964ED">
      <w:pPr>
        <w:pStyle w:val="BodyText"/>
      </w:pPr>
      <w:r>
        <w:rPr>
          <w:b/>
        </w:rPr>
        <w:t>Funding</w:t>
      </w:r>
    </w:p>
    <w:p w14:paraId="756B6B16" w14:textId="77777777" w:rsidR="00F74486" w:rsidRDefault="008964ED">
      <w:pPr>
        <w:pStyle w:val="BodyText"/>
      </w:pPr>
      <w:r>
        <w:t>SEA was funded by the National Institute for Health Research Health Pro</w:t>
      </w:r>
      <w:r>
        <w:t>tection Research Unit (NIHR HPRU) in Evaluation of Interventions at University of Bristol in partnership with Public Health England (PHE). The views expressed are those of the author(s) and not necessarily those of the NHS, the NIHR, the Department of Heal</w:t>
      </w:r>
      <w:r>
        <w:t>th or Public Health England.</w:t>
      </w:r>
    </w:p>
    <w:p w14:paraId="34F82068" w14:textId="77777777" w:rsidR="00F74486" w:rsidRDefault="008964ED">
      <w:pPr>
        <w:pStyle w:val="BodyText"/>
      </w:pPr>
      <w:r>
        <w:rPr>
          <w:b/>
        </w:rPr>
        <w:t>Conflicts of interest</w:t>
      </w:r>
    </w:p>
    <w:p w14:paraId="2E000189" w14:textId="77777777" w:rsidR="00F74486" w:rsidRDefault="008964ED">
      <w:pPr>
        <w:pStyle w:val="Compact"/>
        <w:numPr>
          <w:ilvl w:val="0"/>
          <w:numId w:val="29"/>
        </w:numPr>
      </w:pPr>
      <w:r>
        <w:t>statements needed</w:t>
      </w:r>
    </w:p>
    <w:p w14:paraId="5147B0BF" w14:textId="77777777" w:rsidR="00F74486" w:rsidRDefault="008964ED">
      <w:pPr>
        <w:pStyle w:val="FirstParagraph"/>
      </w:pPr>
      <w:r>
        <w:rPr>
          <w:b/>
        </w:rPr>
        <w:t>Accessibility of data and programming code</w:t>
      </w:r>
    </w:p>
    <w:p w14:paraId="46547045" w14:textId="77777777" w:rsidR="00F74486" w:rsidRDefault="008964ED">
      <w:pPr>
        <w:pStyle w:val="BodyText"/>
      </w:pPr>
      <w:r>
        <w:t xml:space="preserve">The code, and interim results, for this analysis can be found at: </w:t>
      </w:r>
      <w:r>
        <w:rPr>
          <w:i/>
        </w:rPr>
        <w:t>link not yet available</w:t>
      </w:r>
    </w:p>
    <w:p w14:paraId="3063DB96" w14:textId="77777777" w:rsidR="00F74486" w:rsidRDefault="008964ED">
      <w:pPr>
        <w:pStyle w:val="BodyText"/>
      </w:pPr>
      <w:bookmarkStart w:id="5" w:name="_GoBack"/>
      <w:r>
        <w:rPr>
          <w:b/>
        </w:rPr>
        <w:t>Results:</w:t>
      </w:r>
      <w:r>
        <w:t xml:space="preserve"> </w:t>
      </w:r>
      <w:r>
        <w:rPr>
          <w:i/>
        </w:rPr>
        <w:t>copy to top of paper</w:t>
      </w:r>
    </w:p>
    <w:p w14:paraId="01EBDF24" w14:textId="77777777" w:rsidR="00F74486" w:rsidRDefault="008964ED">
      <w:pPr>
        <w:pStyle w:val="BodyText"/>
      </w:pPr>
      <w:r>
        <w:t>Of the 30286 UK born TB cases in England, and Wales between 2000, and 2015, 1659 cases were eligible for the universal schools scheme, and 1380 were eligible for the targeted neonatal scheme between 2000, and 2010. We found that across all models investiga</w:t>
      </w:r>
      <w:r>
        <w:t>ted there was evidence that ending the schools scheme was associated with an increase in incidence rates. We found that the ending of the scheme was associated with an increase in incidence of 0.11 (0.03, to 0.20) in the univariable model, and of 0.14 (-0.</w:t>
      </w:r>
      <w:r>
        <w:t>09, to 0.37) in the fully adjusted model. We found more variable evidence for an association between the high risk neonatal program and reduced incidence, with only models that included non-UK born incidence rates estimating a reduction in incidence. In th</w:t>
      </w:r>
      <w:r>
        <w:t xml:space="preserve">e univariable model there was little evidence of an association (0.00 (-0.09, to 0.09)). However, in the fully adjusted model there was evidence that the introduction of the scheme was associated with a reduction in incidence of -0.17 (-0.40, to 0.06). In </w:t>
      </w:r>
      <w:r>
        <w:t>the non-UK born cohorts we found little evidence that the ending of the school scheme was associated with incidence rates, but there was some evidence that introduction of the targeted high risk program reduced incidence in the eligible population.</w:t>
      </w:r>
    </w:p>
    <w:p w14:paraId="50DC0CCB" w14:textId="77777777" w:rsidR="00F74486" w:rsidRDefault="008964ED">
      <w:pPr>
        <w:pStyle w:val="Heading5"/>
      </w:pPr>
      <w:bookmarkStart w:id="6" w:name="pagebreak-5"/>
      <w:bookmarkEnd w:id="6"/>
      <w:bookmarkEnd w:id="5"/>
      <w:r>
        <w:lastRenderedPageBreak/>
        <w:t>PAGEBRE</w:t>
      </w:r>
      <w:r>
        <w:t>AK</w:t>
      </w:r>
    </w:p>
    <w:p w14:paraId="24E3A1BD" w14:textId="77777777" w:rsidR="00F74486" w:rsidRDefault="008964ED">
      <w:pPr>
        <w:pStyle w:val="FirstParagraph"/>
      </w:pPr>
      <w:r>
        <w:rPr>
          <w:b/>
        </w:rPr>
        <w:t>REFERENCES</w:t>
      </w:r>
    </w:p>
    <w:p w14:paraId="4BC09FE8" w14:textId="77777777" w:rsidR="00F74486" w:rsidRDefault="008964ED">
      <w:pPr>
        <w:pStyle w:val="Heading5"/>
      </w:pPr>
      <w:bookmarkStart w:id="7" w:name="pagebreak-6"/>
      <w:bookmarkEnd w:id="7"/>
      <w:r>
        <w:lastRenderedPageBreak/>
        <w:t>PAGEBREAK</w:t>
      </w:r>
    </w:p>
    <w:p w14:paraId="37C375BA" w14:textId="77777777" w:rsidR="00F74486" w:rsidRDefault="008964ED">
      <w:pPr>
        <w:pStyle w:val="Heading2"/>
      </w:pPr>
      <w:bookmarkStart w:id="8" w:name="online-supplementary-appendix-estimating"/>
      <w:bookmarkEnd w:id="8"/>
      <w:r>
        <w:t>Online supplementary appendix: Estimating the effect of the 2005 UK BCG vaccination policy change: A retrospective cohort study using the Enhanced Tuberculosis Surveillance system, 2000-2015</w:t>
      </w:r>
    </w:p>
    <w:p w14:paraId="6088305E" w14:textId="77777777" w:rsidR="00F74486" w:rsidRDefault="008964ED">
      <w:pPr>
        <w:pStyle w:val="FirstParagraph"/>
      </w:pPr>
      <w:r>
        <w:t>Sam Abbott, Hannah Christensen, Ellen Bro</w:t>
      </w:r>
      <w:r>
        <w:t>oks-Pollock</w:t>
      </w:r>
    </w:p>
    <w:p w14:paraId="63B47125" w14:textId="77777777" w:rsidR="00F74486" w:rsidRDefault="008964ED">
      <w:pPr>
        <w:pStyle w:val="BodyText"/>
      </w:pPr>
      <w:r>
        <w:rPr>
          <w:b/>
        </w:rPr>
        <w:t>Non-UK born model comparision</w:t>
      </w:r>
    </w:p>
    <w:p w14:paraId="1C6580F8" w14:textId="77777777" w:rsidR="00F74486" w:rsidRDefault="008964ED">
      <w:pPr>
        <w:pStyle w:val="TableCaption"/>
      </w:pPr>
      <w:r>
        <w:rPr>
          <w:b/>
        </w:rPr>
        <w:t>Supplementary table S1:</w:t>
      </w:r>
      <w:r>
        <w:t xml:space="preserve"> Comparision of models fitted to incidence rates for the Non-UK born population that was eligible for the universal vaccination program of those at school age (14). Models are ordered by the </w:t>
      </w:r>
      <w:r>
        <w:t>goodness of fit as assessed by WAIC.</w:t>
      </w:r>
    </w:p>
    <w:tbl>
      <w:tblPr>
        <w:tblW w:w="4999" w:type="pct"/>
        <w:tblLook w:val="07E0" w:firstRow="1" w:lastRow="1" w:firstColumn="1" w:lastColumn="1" w:noHBand="1" w:noVBand="1"/>
        <w:tblCaption w:val="Supplementary table S1: Comparision of models fitted to incidence rates for the Non-UK born population that was eligible for the universal vaccination program of those at school age (14). Models are ordered by the goodness of fit as assessed by WAIC."/>
      </w:tblPr>
      <w:tblGrid>
        <w:gridCol w:w="945"/>
        <w:gridCol w:w="1288"/>
        <w:gridCol w:w="1247"/>
        <w:gridCol w:w="1451"/>
        <w:gridCol w:w="980"/>
        <w:gridCol w:w="1175"/>
        <w:gridCol w:w="1394"/>
        <w:gridCol w:w="1094"/>
      </w:tblGrid>
      <w:tr w:rsidR="00F74486" w14:paraId="3A8402F3" w14:textId="77777777">
        <w:tc>
          <w:tcPr>
            <w:tcW w:w="0" w:type="auto"/>
            <w:tcBorders>
              <w:bottom w:val="single" w:sz="0" w:space="0" w:color="auto"/>
            </w:tcBorders>
            <w:vAlign w:val="bottom"/>
          </w:tcPr>
          <w:p w14:paraId="7D116C7A" w14:textId="77777777" w:rsidR="00F74486" w:rsidRDefault="008964ED">
            <w:pPr>
              <w:pStyle w:val="Compact"/>
            </w:pPr>
            <w:r>
              <w:t>Model</w:t>
            </w:r>
          </w:p>
        </w:tc>
        <w:tc>
          <w:tcPr>
            <w:tcW w:w="0" w:type="auto"/>
            <w:tcBorders>
              <w:bottom w:val="single" w:sz="0" w:space="0" w:color="auto"/>
            </w:tcBorders>
            <w:vAlign w:val="bottom"/>
          </w:tcPr>
          <w:p w14:paraId="207B81FA" w14:textId="77777777" w:rsidR="00F74486" w:rsidRDefault="008964ED">
            <w:pPr>
              <w:pStyle w:val="Compact"/>
              <w:jc w:val="center"/>
            </w:pPr>
            <w:r>
              <w:t>Effect (CI 95%)</w:t>
            </w:r>
          </w:p>
        </w:tc>
        <w:tc>
          <w:tcPr>
            <w:tcW w:w="0" w:type="auto"/>
            <w:tcBorders>
              <w:bottom w:val="single" w:sz="0" w:space="0" w:color="auto"/>
            </w:tcBorders>
            <w:vAlign w:val="bottom"/>
          </w:tcPr>
          <w:p w14:paraId="3D361ED3" w14:textId="77777777" w:rsidR="00F74486" w:rsidRDefault="008964ED">
            <w:pPr>
              <w:pStyle w:val="Compact"/>
              <w:jc w:val="center"/>
            </w:pPr>
            <w:r>
              <w:t>Years of follow up</w:t>
            </w:r>
          </w:p>
        </w:tc>
        <w:tc>
          <w:tcPr>
            <w:tcW w:w="0" w:type="auto"/>
            <w:tcBorders>
              <w:bottom w:val="single" w:sz="0" w:space="0" w:color="auto"/>
            </w:tcBorders>
            <w:vAlign w:val="bottom"/>
          </w:tcPr>
          <w:p w14:paraId="604957AC" w14:textId="77777777" w:rsidR="00F74486" w:rsidRDefault="008964ED">
            <w:pPr>
              <w:pStyle w:val="Compact"/>
              <w:jc w:val="center"/>
            </w:pPr>
            <w:r>
              <w:t>Years of eligibility</w:t>
            </w:r>
          </w:p>
        </w:tc>
        <w:tc>
          <w:tcPr>
            <w:tcW w:w="0" w:type="auto"/>
            <w:tcBorders>
              <w:bottom w:val="single" w:sz="0" w:space="0" w:color="auto"/>
            </w:tcBorders>
            <w:vAlign w:val="bottom"/>
          </w:tcPr>
          <w:p w14:paraId="78B54536" w14:textId="77777777" w:rsidR="00F74486" w:rsidRDefault="008964ED">
            <w:pPr>
              <w:pStyle w:val="Compact"/>
              <w:jc w:val="center"/>
            </w:pPr>
            <w:r>
              <w:t>UK born rates</w:t>
            </w:r>
          </w:p>
        </w:tc>
        <w:tc>
          <w:tcPr>
            <w:tcW w:w="0" w:type="auto"/>
            <w:tcBorders>
              <w:bottom w:val="single" w:sz="0" w:space="0" w:color="auto"/>
            </w:tcBorders>
            <w:vAlign w:val="bottom"/>
          </w:tcPr>
          <w:p w14:paraId="5D2D1FC0" w14:textId="77777777" w:rsidR="00F74486" w:rsidRDefault="008964ED">
            <w:pPr>
              <w:pStyle w:val="Compact"/>
              <w:jc w:val="center"/>
            </w:pPr>
            <w:r>
              <w:t>Non-UK born rates</w:t>
            </w:r>
          </w:p>
        </w:tc>
        <w:tc>
          <w:tcPr>
            <w:tcW w:w="0" w:type="auto"/>
            <w:tcBorders>
              <w:bottom w:val="single" w:sz="0" w:space="0" w:color="auto"/>
            </w:tcBorders>
            <w:vAlign w:val="bottom"/>
          </w:tcPr>
          <w:p w14:paraId="272801C3" w14:textId="77777777" w:rsidR="00F74486" w:rsidRDefault="008964ED">
            <w:pPr>
              <w:pStyle w:val="Compact"/>
              <w:jc w:val="center"/>
            </w:pPr>
            <w:r>
              <w:t>Degrees of freedom</w:t>
            </w:r>
          </w:p>
        </w:tc>
        <w:tc>
          <w:tcPr>
            <w:tcW w:w="0" w:type="auto"/>
            <w:tcBorders>
              <w:bottom w:val="single" w:sz="0" w:space="0" w:color="auto"/>
            </w:tcBorders>
            <w:vAlign w:val="bottom"/>
          </w:tcPr>
          <w:p w14:paraId="44D856BA" w14:textId="77777777" w:rsidR="00F74486" w:rsidRDefault="008964ED">
            <w:pPr>
              <w:pStyle w:val="Compact"/>
              <w:jc w:val="center"/>
            </w:pPr>
            <w:r>
              <w:t>LOOIC (se)</w:t>
            </w:r>
          </w:p>
        </w:tc>
      </w:tr>
      <w:tr w:rsidR="00F74486" w14:paraId="3D518C84" w14:textId="77777777">
        <w:tc>
          <w:tcPr>
            <w:tcW w:w="0" w:type="auto"/>
          </w:tcPr>
          <w:p w14:paraId="7571F4E6" w14:textId="77777777" w:rsidR="00F74486" w:rsidRDefault="008964ED">
            <w:pPr>
              <w:pStyle w:val="Compact"/>
            </w:pPr>
            <w:r>
              <w:t>Model 1</w:t>
            </w:r>
          </w:p>
        </w:tc>
        <w:tc>
          <w:tcPr>
            <w:tcW w:w="0" w:type="auto"/>
          </w:tcPr>
          <w:p w14:paraId="2FCD067B" w14:textId="77777777" w:rsidR="00F74486" w:rsidRDefault="008964ED">
            <w:pPr>
              <w:pStyle w:val="Compact"/>
              <w:jc w:val="center"/>
            </w:pPr>
            <w:r>
              <w:t>0.00 (-0.09, to 0.09)</w:t>
            </w:r>
          </w:p>
        </w:tc>
        <w:tc>
          <w:tcPr>
            <w:tcW w:w="0" w:type="auto"/>
          </w:tcPr>
          <w:p w14:paraId="677E57F3" w14:textId="77777777" w:rsidR="00F74486" w:rsidRDefault="008964ED">
            <w:pPr>
              <w:pStyle w:val="Compact"/>
              <w:jc w:val="center"/>
            </w:pPr>
            <w:r>
              <w:t>No</w:t>
            </w:r>
          </w:p>
        </w:tc>
        <w:tc>
          <w:tcPr>
            <w:tcW w:w="0" w:type="auto"/>
          </w:tcPr>
          <w:p w14:paraId="7500F91D" w14:textId="77777777" w:rsidR="00F74486" w:rsidRDefault="008964ED">
            <w:pPr>
              <w:pStyle w:val="Compact"/>
              <w:jc w:val="center"/>
            </w:pPr>
            <w:r>
              <w:t>No</w:t>
            </w:r>
          </w:p>
        </w:tc>
        <w:tc>
          <w:tcPr>
            <w:tcW w:w="0" w:type="auto"/>
          </w:tcPr>
          <w:p w14:paraId="4161C6B2" w14:textId="77777777" w:rsidR="00F74486" w:rsidRDefault="008964ED">
            <w:pPr>
              <w:pStyle w:val="Compact"/>
              <w:jc w:val="center"/>
            </w:pPr>
            <w:r>
              <w:t>No</w:t>
            </w:r>
          </w:p>
        </w:tc>
        <w:tc>
          <w:tcPr>
            <w:tcW w:w="0" w:type="auto"/>
          </w:tcPr>
          <w:p w14:paraId="5F106990" w14:textId="77777777" w:rsidR="00F74486" w:rsidRDefault="008964ED">
            <w:pPr>
              <w:pStyle w:val="Compact"/>
              <w:jc w:val="center"/>
            </w:pPr>
            <w:r>
              <w:t>No</w:t>
            </w:r>
          </w:p>
        </w:tc>
        <w:tc>
          <w:tcPr>
            <w:tcW w:w="0" w:type="auto"/>
          </w:tcPr>
          <w:p w14:paraId="13AE9D6B" w14:textId="77777777" w:rsidR="00F74486" w:rsidRDefault="008964ED">
            <w:pPr>
              <w:pStyle w:val="Compact"/>
              <w:jc w:val="center"/>
            </w:pPr>
            <w:r>
              <w:t>2</w:t>
            </w:r>
          </w:p>
        </w:tc>
        <w:tc>
          <w:tcPr>
            <w:tcW w:w="0" w:type="auto"/>
          </w:tcPr>
          <w:p w14:paraId="2CD9DF20" w14:textId="77777777" w:rsidR="00F74486" w:rsidRDefault="008964ED">
            <w:pPr>
              <w:pStyle w:val="Compact"/>
              <w:jc w:val="center"/>
            </w:pPr>
            <w:r>
              <w:t>-242 (4.93)</w:t>
            </w:r>
          </w:p>
        </w:tc>
      </w:tr>
      <w:tr w:rsidR="00F74486" w14:paraId="7E620030" w14:textId="77777777">
        <w:tc>
          <w:tcPr>
            <w:tcW w:w="0" w:type="auto"/>
          </w:tcPr>
          <w:p w14:paraId="7C887F23" w14:textId="77777777" w:rsidR="00F74486" w:rsidRDefault="008964ED">
            <w:pPr>
              <w:pStyle w:val="Compact"/>
            </w:pPr>
            <w:r>
              <w:t>Model 9</w:t>
            </w:r>
          </w:p>
        </w:tc>
        <w:tc>
          <w:tcPr>
            <w:tcW w:w="0" w:type="auto"/>
          </w:tcPr>
          <w:p w14:paraId="1B826418" w14:textId="77777777" w:rsidR="00F74486" w:rsidRDefault="008964ED">
            <w:pPr>
              <w:pStyle w:val="Compact"/>
              <w:jc w:val="center"/>
            </w:pPr>
            <w:r>
              <w:t>0.01 (-0.17, to 0.19)</w:t>
            </w:r>
          </w:p>
        </w:tc>
        <w:tc>
          <w:tcPr>
            <w:tcW w:w="0" w:type="auto"/>
          </w:tcPr>
          <w:p w14:paraId="7446A24A" w14:textId="77777777" w:rsidR="00F74486" w:rsidRDefault="008964ED">
            <w:pPr>
              <w:pStyle w:val="Compact"/>
              <w:jc w:val="center"/>
            </w:pPr>
            <w:r>
              <w:t>No</w:t>
            </w:r>
          </w:p>
        </w:tc>
        <w:tc>
          <w:tcPr>
            <w:tcW w:w="0" w:type="auto"/>
          </w:tcPr>
          <w:p w14:paraId="54CCEC37" w14:textId="77777777" w:rsidR="00F74486" w:rsidRDefault="008964ED">
            <w:pPr>
              <w:pStyle w:val="Compact"/>
              <w:jc w:val="center"/>
            </w:pPr>
            <w:r>
              <w:t>Yes</w:t>
            </w:r>
          </w:p>
        </w:tc>
        <w:tc>
          <w:tcPr>
            <w:tcW w:w="0" w:type="auto"/>
          </w:tcPr>
          <w:p w14:paraId="548ED338" w14:textId="77777777" w:rsidR="00F74486" w:rsidRDefault="008964ED">
            <w:pPr>
              <w:pStyle w:val="Compact"/>
              <w:jc w:val="center"/>
            </w:pPr>
            <w:r>
              <w:t>No</w:t>
            </w:r>
          </w:p>
        </w:tc>
        <w:tc>
          <w:tcPr>
            <w:tcW w:w="0" w:type="auto"/>
          </w:tcPr>
          <w:p w14:paraId="0649F200" w14:textId="77777777" w:rsidR="00F74486" w:rsidRDefault="008964ED">
            <w:pPr>
              <w:pStyle w:val="Compact"/>
              <w:jc w:val="center"/>
            </w:pPr>
            <w:r>
              <w:t>No</w:t>
            </w:r>
          </w:p>
        </w:tc>
        <w:tc>
          <w:tcPr>
            <w:tcW w:w="0" w:type="auto"/>
          </w:tcPr>
          <w:p w14:paraId="5DD597A1" w14:textId="77777777" w:rsidR="00F74486" w:rsidRDefault="008964ED">
            <w:pPr>
              <w:pStyle w:val="Compact"/>
              <w:jc w:val="center"/>
            </w:pPr>
            <w:r>
              <w:t>14</w:t>
            </w:r>
          </w:p>
        </w:tc>
        <w:tc>
          <w:tcPr>
            <w:tcW w:w="0" w:type="auto"/>
          </w:tcPr>
          <w:p w14:paraId="6626ED14" w14:textId="77777777" w:rsidR="00F74486" w:rsidRDefault="008964ED">
            <w:pPr>
              <w:pStyle w:val="Compact"/>
              <w:jc w:val="center"/>
            </w:pPr>
            <w:r>
              <w:t>-242 (19.2)</w:t>
            </w:r>
          </w:p>
        </w:tc>
      </w:tr>
      <w:tr w:rsidR="00F74486" w14:paraId="75A41715" w14:textId="77777777">
        <w:tc>
          <w:tcPr>
            <w:tcW w:w="0" w:type="auto"/>
          </w:tcPr>
          <w:p w14:paraId="10AE2F2C" w14:textId="77777777" w:rsidR="00F74486" w:rsidRDefault="008964ED">
            <w:pPr>
              <w:pStyle w:val="Compact"/>
            </w:pPr>
            <w:r>
              <w:t>Model 2</w:t>
            </w:r>
          </w:p>
        </w:tc>
        <w:tc>
          <w:tcPr>
            <w:tcW w:w="0" w:type="auto"/>
          </w:tcPr>
          <w:p w14:paraId="055456AC" w14:textId="77777777" w:rsidR="00F74486" w:rsidRDefault="008964ED">
            <w:pPr>
              <w:pStyle w:val="Compact"/>
              <w:jc w:val="center"/>
            </w:pPr>
            <w:r>
              <w:t>0.00 (-0.09, to 0.09)</w:t>
            </w:r>
          </w:p>
        </w:tc>
        <w:tc>
          <w:tcPr>
            <w:tcW w:w="0" w:type="auto"/>
          </w:tcPr>
          <w:p w14:paraId="0F8DB3FE" w14:textId="77777777" w:rsidR="00F74486" w:rsidRDefault="008964ED">
            <w:pPr>
              <w:pStyle w:val="Compact"/>
              <w:jc w:val="center"/>
            </w:pPr>
            <w:r>
              <w:t>Yes</w:t>
            </w:r>
          </w:p>
        </w:tc>
        <w:tc>
          <w:tcPr>
            <w:tcW w:w="0" w:type="auto"/>
          </w:tcPr>
          <w:p w14:paraId="4A3ED0E5" w14:textId="77777777" w:rsidR="00F74486" w:rsidRDefault="008964ED">
            <w:pPr>
              <w:pStyle w:val="Compact"/>
              <w:jc w:val="center"/>
            </w:pPr>
            <w:r>
              <w:t>No</w:t>
            </w:r>
          </w:p>
        </w:tc>
        <w:tc>
          <w:tcPr>
            <w:tcW w:w="0" w:type="auto"/>
          </w:tcPr>
          <w:p w14:paraId="66E0AED1" w14:textId="77777777" w:rsidR="00F74486" w:rsidRDefault="008964ED">
            <w:pPr>
              <w:pStyle w:val="Compact"/>
              <w:jc w:val="center"/>
            </w:pPr>
            <w:r>
              <w:t>No</w:t>
            </w:r>
          </w:p>
        </w:tc>
        <w:tc>
          <w:tcPr>
            <w:tcW w:w="0" w:type="auto"/>
          </w:tcPr>
          <w:p w14:paraId="549F68A8" w14:textId="77777777" w:rsidR="00F74486" w:rsidRDefault="008964ED">
            <w:pPr>
              <w:pStyle w:val="Compact"/>
              <w:jc w:val="center"/>
            </w:pPr>
            <w:r>
              <w:t>No</w:t>
            </w:r>
          </w:p>
        </w:tc>
        <w:tc>
          <w:tcPr>
            <w:tcW w:w="0" w:type="auto"/>
          </w:tcPr>
          <w:p w14:paraId="027EE1FB" w14:textId="77777777" w:rsidR="00F74486" w:rsidRDefault="008964ED">
            <w:pPr>
              <w:pStyle w:val="Compact"/>
              <w:jc w:val="center"/>
            </w:pPr>
            <w:r>
              <w:t>7</w:t>
            </w:r>
          </w:p>
        </w:tc>
        <w:tc>
          <w:tcPr>
            <w:tcW w:w="0" w:type="auto"/>
          </w:tcPr>
          <w:p w14:paraId="58B011B4" w14:textId="77777777" w:rsidR="00F74486" w:rsidRDefault="008964ED">
            <w:pPr>
              <w:pStyle w:val="Compact"/>
              <w:jc w:val="center"/>
            </w:pPr>
            <w:r>
              <w:t>-223 (11.9)</w:t>
            </w:r>
          </w:p>
        </w:tc>
      </w:tr>
      <w:tr w:rsidR="00F74486" w14:paraId="50258B30" w14:textId="77777777">
        <w:tc>
          <w:tcPr>
            <w:tcW w:w="0" w:type="auto"/>
          </w:tcPr>
          <w:p w14:paraId="331678AA" w14:textId="77777777" w:rsidR="00F74486" w:rsidRDefault="008964ED">
            <w:pPr>
              <w:pStyle w:val="Compact"/>
            </w:pPr>
            <w:r>
              <w:t>Model 10</w:t>
            </w:r>
          </w:p>
        </w:tc>
        <w:tc>
          <w:tcPr>
            <w:tcW w:w="0" w:type="auto"/>
          </w:tcPr>
          <w:p w14:paraId="001FEB4D" w14:textId="77777777" w:rsidR="00F74486" w:rsidRDefault="008964ED">
            <w:pPr>
              <w:pStyle w:val="Compact"/>
              <w:jc w:val="center"/>
            </w:pPr>
            <w:r>
              <w:t>0.01 (-0.17, to 0.18)</w:t>
            </w:r>
          </w:p>
        </w:tc>
        <w:tc>
          <w:tcPr>
            <w:tcW w:w="0" w:type="auto"/>
          </w:tcPr>
          <w:p w14:paraId="63929EC5" w14:textId="77777777" w:rsidR="00F74486" w:rsidRDefault="008964ED">
            <w:pPr>
              <w:pStyle w:val="Compact"/>
              <w:jc w:val="center"/>
            </w:pPr>
            <w:r>
              <w:t>Yes</w:t>
            </w:r>
          </w:p>
        </w:tc>
        <w:tc>
          <w:tcPr>
            <w:tcW w:w="0" w:type="auto"/>
          </w:tcPr>
          <w:p w14:paraId="0AE1D572" w14:textId="77777777" w:rsidR="00F74486" w:rsidRDefault="008964ED">
            <w:pPr>
              <w:pStyle w:val="Compact"/>
              <w:jc w:val="center"/>
            </w:pPr>
            <w:r>
              <w:t>Yes</w:t>
            </w:r>
          </w:p>
        </w:tc>
        <w:tc>
          <w:tcPr>
            <w:tcW w:w="0" w:type="auto"/>
          </w:tcPr>
          <w:p w14:paraId="14C62B2B" w14:textId="77777777" w:rsidR="00F74486" w:rsidRDefault="008964ED">
            <w:pPr>
              <w:pStyle w:val="Compact"/>
              <w:jc w:val="center"/>
            </w:pPr>
            <w:r>
              <w:t>No</w:t>
            </w:r>
          </w:p>
        </w:tc>
        <w:tc>
          <w:tcPr>
            <w:tcW w:w="0" w:type="auto"/>
          </w:tcPr>
          <w:p w14:paraId="1172BF4E" w14:textId="77777777" w:rsidR="00F74486" w:rsidRDefault="008964ED">
            <w:pPr>
              <w:pStyle w:val="Compact"/>
              <w:jc w:val="center"/>
            </w:pPr>
            <w:r>
              <w:t>No</w:t>
            </w:r>
          </w:p>
        </w:tc>
        <w:tc>
          <w:tcPr>
            <w:tcW w:w="0" w:type="auto"/>
          </w:tcPr>
          <w:p w14:paraId="7A21CD07" w14:textId="77777777" w:rsidR="00F74486" w:rsidRDefault="008964ED">
            <w:pPr>
              <w:pStyle w:val="Compact"/>
              <w:jc w:val="center"/>
            </w:pPr>
            <w:r>
              <w:t>19</w:t>
            </w:r>
          </w:p>
        </w:tc>
        <w:tc>
          <w:tcPr>
            <w:tcW w:w="0" w:type="auto"/>
          </w:tcPr>
          <w:p w14:paraId="7DC3807F" w14:textId="77777777" w:rsidR="00F74486" w:rsidRDefault="008964ED">
            <w:pPr>
              <w:pStyle w:val="Compact"/>
              <w:jc w:val="center"/>
            </w:pPr>
            <w:r>
              <w:t>-220 (20)</w:t>
            </w:r>
          </w:p>
        </w:tc>
      </w:tr>
      <w:tr w:rsidR="00F74486" w14:paraId="005FCF06" w14:textId="77777777">
        <w:tc>
          <w:tcPr>
            <w:tcW w:w="0" w:type="auto"/>
          </w:tcPr>
          <w:p w14:paraId="4B597E70" w14:textId="77777777" w:rsidR="00F74486" w:rsidRDefault="008964ED">
            <w:pPr>
              <w:pStyle w:val="Compact"/>
            </w:pPr>
            <w:r>
              <w:t>Model 4</w:t>
            </w:r>
          </w:p>
        </w:tc>
        <w:tc>
          <w:tcPr>
            <w:tcW w:w="0" w:type="auto"/>
          </w:tcPr>
          <w:p w14:paraId="43546BE6" w14:textId="77777777" w:rsidR="00F74486" w:rsidRDefault="008964ED">
            <w:pPr>
              <w:pStyle w:val="Compact"/>
              <w:jc w:val="center"/>
            </w:pPr>
            <w:r>
              <w:t>0.12 (-0.01, to 0.25)</w:t>
            </w:r>
          </w:p>
        </w:tc>
        <w:tc>
          <w:tcPr>
            <w:tcW w:w="0" w:type="auto"/>
          </w:tcPr>
          <w:p w14:paraId="18BC2EE6" w14:textId="77777777" w:rsidR="00F74486" w:rsidRDefault="008964ED">
            <w:pPr>
              <w:pStyle w:val="Compact"/>
              <w:jc w:val="center"/>
            </w:pPr>
            <w:r>
              <w:t>Yes</w:t>
            </w:r>
          </w:p>
        </w:tc>
        <w:tc>
          <w:tcPr>
            <w:tcW w:w="0" w:type="auto"/>
          </w:tcPr>
          <w:p w14:paraId="065FE6F4" w14:textId="77777777" w:rsidR="00F74486" w:rsidRDefault="008964ED">
            <w:pPr>
              <w:pStyle w:val="Compact"/>
              <w:jc w:val="center"/>
            </w:pPr>
            <w:r>
              <w:t>No</w:t>
            </w:r>
          </w:p>
        </w:tc>
        <w:tc>
          <w:tcPr>
            <w:tcW w:w="0" w:type="auto"/>
          </w:tcPr>
          <w:p w14:paraId="282BD75D" w14:textId="77777777" w:rsidR="00F74486" w:rsidRDefault="008964ED">
            <w:pPr>
              <w:pStyle w:val="Compact"/>
              <w:jc w:val="center"/>
            </w:pPr>
            <w:r>
              <w:t>Yes</w:t>
            </w:r>
          </w:p>
        </w:tc>
        <w:tc>
          <w:tcPr>
            <w:tcW w:w="0" w:type="auto"/>
          </w:tcPr>
          <w:p w14:paraId="34F1D185" w14:textId="77777777" w:rsidR="00F74486" w:rsidRDefault="008964ED">
            <w:pPr>
              <w:pStyle w:val="Compact"/>
              <w:jc w:val="center"/>
            </w:pPr>
            <w:r>
              <w:t>No</w:t>
            </w:r>
          </w:p>
        </w:tc>
        <w:tc>
          <w:tcPr>
            <w:tcW w:w="0" w:type="auto"/>
          </w:tcPr>
          <w:p w14:paraId="3BFFA0C7" w14:textId="77777777" w:rsidR="00F74486" w:rsidRDefault="008964ED">
            <w:pPr>
              <w:pStyle w:val="Compact"/>
              <w:jc w:val="center"/>
            </w:pPr>
            <w:r>
              <w:t>10</w:t>
            </w:r>
          </w:p>
        </w:tc>
        <w:tc>
          <w:tcPr>
            <w:tcW w:w="0" w:type="auto"/>
          </w:tcPr>
          <w:p w14:paraId="58C7B461" w14:textId="77777777" w:rsidR="00F74486" w:rsidRDefault="008964ED">
            <w:pPr>
              <w:pStyle w:val="Compact"/>
              <w:jc w:val="center"/>
            </w:pPr>
            <w:r>
              <w:t>-210 (12.3)</w:t>
            </w:r>
          </w:p>
        </w:tc>
      </w:tr>
      <w:tr w:rsidR="00F74486" w14:paraId="7800348C" w14:textId="77777777">
        <w:tc>
          <w:tcPr>
            <w:tcW w:w="0" w:type="auto"/>
          </w:tcPr>
          <w:p w14:paraId="7695CE3A" w14:textId="77777777" w:rsidR="00F74486" w:rsidRDefault="008964ED">
            <w:pPr>
              <w:pStyle w:val="Compact"/>
            </w:pPr>
            <w:r>
              <w:t>Model 3</w:t>
            </w:r>
          </w:p>
        </w:tc>
        <w:tc>
          <w:tcPr>
            <w:tcW w:w="0" w:type="auto"/>
          </w:tcPr>
          <w:p w14:paraId="6C1577FD" w14:textId="77777777" w:rsidR="00F74486" w:rsidRDefault="008964ED">
            <w:pPr>
              <w:pStyle w:val="Compact"/>
              <w:jc w:val="center"/>
            </w:pPr>
            <w:r>
              <w:t>0.12 (0.00, to 0.25)</w:t>
            </w:r>
          </w:p>
        </w:tc>
        <w:tc>
          <w:tcPr>
            <w:tcW w:w="0" w:type="auto"/>
          </w:tcPr>
          <w:p w14:paraId="0EA902F3" w14:textId="77777777" w:rsidR="00F74486" w:rsidRDefault="008964ED">
            <w:pPr>
              <w:pStyle w:val="Compact"/>
              <w:jc w:val="center"/>
            </w:pPr>
            <w:r>
              <w:t>Yes</w:t>
            </w:r>
          </w:p>
        </w:tc>
        <w:tc>
          <w:tcPr>
            <w:tcW w:w="0" w:type="auto"/>
          </w:tcPr>
          <w:p w14:paraId="04E2D642" w14:textId="77777777" w:rsidR="00F74486" w:rsidRDefault="008964ED">
            <w:pPr>
              <w:pStyle w:val="Compact"/>
              <w:jc w:val="center"/>
            </w:pPr>
            <w:r>
              <w:t>No</w:t>
            </w:r>
          </w:p>
        </w:tc>
        <w:tc>
          <w:tcPr>
            <w:tcW w:w="0" w:type="auto"/>
          </w:tcPr>
          <w:p w14:paraId="0D425B60" w14:textId="77777777" w:rsidR="00F74486" w:rsidRDefault="008964ED">
            <w:pPr>
              <w:pStyle w:val="Compact"/>
              <w:jc w:val="center"/>
            </w:pPr>
            <w:r>
              <w:t>Yes</w:t>
            </w:r>
          </w:p>
        </w:tc>
        <w:tc>
          <w:tcPr>
            <w:tcW w:w="0" w:type="auto"/>
          </w:tcPr>
          <w:p w14:paraId="45B82A98" w14:textId="77777777" w:rsidR="00F74486" w:rsidRDefault="008964ED">
            <w:pPr>
              <w:pStyle w:val="Compact"/>
              <w:jc w:val="center"/>
            </w:pPr>
            <w:r>
              <w:t>No</w:t>
            </w:r>
          </w:p>
        </w:tc>
        <w:tc>
          <w:tcPr>
            <w:tcW w:w="0" w:type="auto"/>
          </w:tcPr>
          <w:p w14:paraId="4546F650" w14:textId="77777777" w:rsidR="00F74486" w:rsidRDefault="008964ED">
            <w:pPr>
              <w:pStyle w:val="Compact"/>
              <w:jc w:val="center"/>
            </w:pPr>
            <w:r>
              <w:t>9</w:t>
            </w:r>
          </w:p>
        </w:tc>
        <w:tc>
          <w:tcPr>
            <w:tcW w:w="0" w:type="auto"/>
          </w:tcPr>
          <w:p w14:paraId="4E6446E2" w14:textId="77777777" w:rsidR="00F74486" w:rsidRDefault="008964ED">
            <w:pPr>
              <w:pStyle w:val="Compact"/>
              <w:jc w:val="center"/>
            </w:pPr>
            <w:r>
              <w:t>-209 (11.3)</w:t>
            </w:r>
          </w:p>
        </w:tc>
      </w:tr>
      <w:tr w:rsidR="00F74486" w14:paraId="3DE80163" w14:textId="77777777">
        <w:tc>
          <w:tcPr>
            <w:tcW w:w="0" w:type="auto"/>
          </w:tcPr>
          <w:p w14:paraId="3AECE701" w14:textId="77777777" w:rsidR="00F74486" w:rsidRDefault="008964ED">
            <w:pPr>
              <w:pStyle w:val="Compact"/>
            </w:pPr>
            <w:r>
              <w:t>Model 13</w:t>
            </w:r>
          </w:p>
        </w:tc>
        <w:tc>
          <w:tcPr>
            <w:tcW w:w="0" w:type="auto"/>
          </w:tcPr>
          <w:p w14:paraId="2D66ECDA" w14:textId="77777777" w:rsidR="00F74486" w:rsidRDefault="008964ED">
            <w:pPr>
              <w:pStyle w:val="Compact"/>
              <w:jc w:val="center"/>
            </w:pPr>
            <w:r>
              <w:t>-0.15 (-0.40, to 0.14)</w:t>
            </w:r>
          </w:p>
        </w:tc>
        <w:tc>
          <w:tcPr>
            <w:tcW w:w="0" w:type="auto"/>
          </w:tcPr>
          <w:p w14:paraId="609938B7" w14:textId="77777777" w:rsidR="00F74486" w:rsidRDefault="008964ED">
            <w:pPr>
              <w:pStyle w:val="Compact"/>
              <w:jc w:val="center"/>
            </w:pPr>
            <w:r>
              <w:t>Yes</w:t>
            </w:r>
          </w:p>
        </w:tc>
        <w:tc>
          <w:tcPr>
            <w:tcW w:w="0" w:type="auto"/>
          </w:tcPr>
          <w:p w14:paraId="7121B64B" w14:textId="77777777" w:rsidR="00F74486" w:rsidRDefault="008964ED">
            <w:pPr>
              <w:pStyle w:val="Compact"/>
              <w:jc w:val="center"/>
            </w:pPr>
            <w:r>
              <w:t>Yes</w:t>
            </w:r>
          </w:p>
        </w:tc>
        <w:tc>
          <w:tcPr>
            <w:tcW w:w="0" w:type="auto"/>
          </w:tcPr>
          <w:p w14:paraId="355B5814" w14:textId="77777777" w:rsidR="00F74486" w:rsidRDefault="008964ED">
            <w:pPr>
              <w:pStyle w:val="Compact"/>
              <w:jc w:val="center"/>
            </w:pPr>
            <w:r>
              <w:t>Yes</w:t>
            </w:r>
          </w:p>
        </w:tc>
        <w:tc>
          <w:tcPr>
            <w:tcW w:w="0" w:type="auto"/>
          </w:tcPr>
          <w:p w14:paraId="0C4EC26C" w14:textId="77777777" w:rsidR="00F74486" w:rsidRDefault="008964ED">
            <w:pPr>
              <w:pStyle w:val="Compact"/>
              <w:jc w:val="center"/>
            </w:pPr>
            <w:r>
              <w:t>Yes</w:t>
            </w:r>
          </w:p>
        </w:tc>
        <w:tc>
          <w:tcPr>
            <w:tcW w:w="0" w:type="auto"/>
          </w:tcPr>
          <w:p w14:paraId="448563D4" w14:textId="77777777" w:rsidR="00F74486" w:rsidRDefault="008964ED">
            <w:pPr>
              <w:pStyle w:val="Compact"/>
              <w:jc w:val="center"/>
            </w:pPr>
            <w:r>
              <w:t>23</w:t>
            </w:r>
          </w:p>
        </w:tc>
        <w:tc>
          <w:tcPr>
            <w:tcW w:w="0" w:type="auto"/>
          </w:tcPr>
          <w:p w14:paraId="4C539781" w14:textId="77777777" w:rsidR="00F74486" w:rsidRDefault="008964ED">
            <w:pPr>
              <w:pStyle w:val="Compact"/>
              <w:jc w:val="center"/>
            </w:pPr>
            <w:r>
              <w:t>-203 (14.2)</w:t>
            </w:r>
          </w:p>
        </w:tc>
      </w:tr>
      <w:tr w:rsidR="00F74486" w14:paraId="44291C94" w14:textId="77777777">
        <w:tc>
          <w:tcPr>
            <w:tcW w:w="0" w:type="auto"/>
          </w:tcPr>
          <w:p w14:paraId="0889FE6C" w14:textId="77777777" w:rsidR="00F74486" w:rsidRDefault="008964ED">
            <w:pPr>
              <w:pStyle w:val="Compact"/>
            </w:pPr>
            <w:r>
              <w:t>Model 12</w:t>
            </w:r>
          </w:p>
        </w:tc>
        <w:tc>
          <w:tcPr>
            <w:tcW w:w="0" w:type="auto"/>
          </w:tcPr>
          <w:p w14:paraId="30F22557" w14:textId="77777777" w:rsidR="00F74486" w:rsidRDefault="008964ED">
            <w:pPr>
              <w:pStyle w:val="Compact"/>
              <w:jc w:val="center"/>
            </w:pPr>
            <w:r>
              <w:t>0.18 (-0.05, to 0.44)</w:t>
            </w:r>
          </w:p>
        </w:tc>
        <w:tc>
          <w:tcPr>
            <w:tcW w:w="0" w:type="auto"/>
          </w:tcPr>
          <w:p w14:paraId="548F459C" w14:textId="77777777" w:rsidR="00F74486" w:rsidRDefault="008964ED">
            <w:pPr>
              <w:pStyle w:val="Compact"/>
              <w:jc w:val="center"/>
            </w:pPr>
            <w:r>
              <w:t>Yes</w:t>
            </w:r>
          </w:p>
        </w:tc>
        <w:tc>
          <w:tcPr>
            <w:tcW w:w="0" w:type="auto"/>
          </w:tcPr>
          <w:p w14:paraId="176E44B2" w14:textId="77777777" w:rsidR="00F74486" w:rsidRDefault="008964ED">
            <w:pPr>
              <w:pStyle w:val="Compact"/>
              <w:jc w:val="center"/>
            </w:pPr>
            <w:r>
              <w:t>Yes</w:t>
            </w:r>
          </w:p>
        </w:tc>
        <w:tc>
          <w:tcPr>
            <w:tcW w:w="0" w:type="auto"/>
          </w:tcPr>
          <w:p w14:paraId="7C4E1E07" w14:textId="77777777" w:rsidR="00F74486" w:rsidRDefault="008964ED">
            <w:pPr>
              <w:pStyle w:val="Compact"/>
              <w:jc w:val="center"/>
            </w:pPr>
            <w:r>
              <w:t>Yes</w:t>
            </w:r>
          </w:p>
        </w:tc>
        <w:tc>
          <w:tcPr>
            <w:tcW w:w="0" w:type="auto"/>
          </w:tcPr>
          <w:p w14:paraId="5BE2E9AD" w14:textId="77777777" w:rsidR="00F74486" w:rsidRDefault="008964ED">
            <w:pPr>
              <w:pStyle w:val="Compact"/>
              <w:jc w:val="center"/>
            </w:pPr>
            <w:r>
              <w:t>No</w:t>
            </w:r>
          </w:p>
        </w:tc>
        <w:tc>
          <w:tcPr>
            <w:tcW w:w="0" w:type="auto"/>
          </w:tcPr>
          <w:p w14:paraId="2B2B8ADC" w14:textId="77777777" w:rsidR="00F74486" w:rsidRDefault="008964ED">
            <w:pPr>
              <w:pStyle w:val="Compact"/>
              <w:jc w:val="center"/>
            </w:pPr>
            <w:r>
              <w:t>22</w:t>
            </w:r>
          </w:p>
        </w:tc>
        <w:tc>
          <w:tcPr>
            <w:tcW w:w="0" w:type="auto"/>
          </w:tcPr>
          <w:p w14:paraId="407ADACF" w14:textId="77777777" w:rsidR="00F74486" w:rsidRDefault="008964ED">
            <w:pPr>
              <w:pStyle w:val="Compact"/>
              <w:jc w:val="center"/>
            </w:pPr>
            <w:r>
              <w:t>-203 (15.9)</w:t>
            </w:r>
          </w:p>
        </w:tc>
      </w:tr>
      <w:tr w:rsidR="00F74486" w14:paraId="228557EE" w14:textId="77777777">
        <w:tc>
          <w:tcPr>
            <w:tcW w:w="0" w:type="auto"/>
          </w:tcPr>
          <w:p w14:paraId="783A2A63" w14:textId="77777777" w:rsidR="00F74486" w:rsidRDefault="008964ED">
            <w:pPr>
              <w:pStyle w:val="Compact"/>
            </w:pPr>
            <w:r>
              <w:t>Model 11</w:t>
            </w:r>
          </w:p>
        </w:tc>
        <w:tc>
          <w:tcPr>
            <w:tcW w:w="0" w:type="auto"/>
          </w:tcPr>
          <w:p w14:paraId="6A7902E3" w14:textId="77777777" w:rsidR="00F74486" w:rsidRDefault="008964ED">
            <w:pPr>
              <w:pStyle w:val="Compact"/>
              <w:jc w:val="center"/>
            </w:pPr>
            <w:r>
              <w:t>0.19 (-0.04, to 0.45)</w:t>
            </w:r>
          </w:p>
        </w:tc>
        <w:tc>
          <w:tcPr>
            <w:tcW w:w="0" w:type="auto"/>
          </w:tcPr>
          <w:p w14:paraId="3F70A019" w14:textId="77777777" w:rsidR="00F74486" w:rsidRDefault="008964ED">
            <w:pPr>
              <w:pStyle w:val="Compact"/>
              <w:jc w:val="center"/>
            </w:pPr>
            <w:r>
              <w:t>Yes</w:t>
            </w:r>
          </w:p>
        </w:tc>
        <w:tc>
          <w:tcPr>
            <w:tcW w:w="0" w:type="auto"/>
          </w:tcPr>
          <w:p w14:paraId="5EBAAC8E" w14:textId="77777777" w:rsidR="00F74486" w:rsidRDefault="008964ED">
            <w:pPr>
              <w:pStyle w:val="Compact"/>
              <w:jc w:val="center"/>
            </w:pPr>
            <w:r>
              <w:t>Yes</w:t>
            </w:r>
          </w:p>
        </w:tc>
        <w:tc>
          <w:tcPr>
            <w:tcW w:w="0" w:type="auto"/>
          </w:tcPr>
          <w:p w14:paraId="3A7ABCBF" w14:textId="77777777" w:rsidR="00F74486" w:rsidRDefault="008964ED">
            <w:pPr>
              <w:pStyle w:val="Compact"/>
              <w:jc w:val="center"/>
            </w:pPr>
            <w:r>
              <w:t>Yes</w:t>
            </w:r>
          </w:p>
        </w:tc>
        <w:tc>
          <w:tcPr>
            <w:tcW w:w="0" w:type="auto"/>
          </w:tcPr>
          <w:p w14:paraId="11A7BA37" w14:textId="77777777" w:rsidR="00F74486" w:rsidRDefault="008964ED">
            <w:pPr>
              <w:pStyle w:val="Compact"/>
              <w:jc w:val="center"/>
            </w:pPr>
            <w:r>
              <w:t>No</w:t>
            </w:r>
          </w:p>
        </w:tc>
        <w:tc>
          <w:tcPr>
            <w:tcW w:w="0" w:type="auto"/>
          </w:tcPr>
          <w:p w14:paraId="6A9F86C0" w14:textId="77777777" w:rsidR="00F74486" w:rsidRDefault="008964ED">
            <w:pPr>
              <w:pStyle w:val="Compact"/>
              <w:jc w:val="center"/>
            </w:pPr>
            <w:r>
              <w:t>21</w:t>
            </w:r>
          </w:p>
        </w:tc>
        <w:tc>
          <w:tcPr>
            <w:tcW w:w="0" w:type="auto"/>
          </w:tcPr>
          <w:p w14:paraId="05016B7D" w14:textId="77777777" w:rsidR="00F74486" w:rsidRDefault="008964ED">
            <w:pPr>
              <w:pStyle w:val="Compact"/>
              <w:jc w:val="center"/>
            </w:pPr>
            <w:r>
              <w:t>-202 (15.4)</w:t>
            </w:r>
          </w:p>
        </w:tc>
      </w:tr>
      <w:tr w:rsidR="00F74486" w14:paraId="3D96EC87" w14:textId="77777777">
        <w:tc>
          <w:tcPr>
            <w:tcW w:w="0" w:type="auto"/>
          </w:tcPr>
          <w:p w14:paraId="708AFDCE" w14:textId="77777777" w:rsidR="00F74486" w:rsidRDefault="008964ED">
            <w:pPr>
              <w:pStyle w:val="Compact"/>
            </w:pPr>
            <w:r>
              <w:t>Model 5</w:t>
            </w:r>
          </w:p>
        </w:tc>
        <w:tc>
          <w:tcPr>
            <w:tcW w:w="0" w:type="auto"/>
          </w:tcPr>
          <w:p w14:paraId="1F37B875" w14:textId="77777777" w:rsidR="00F74486" w:rsidRDefault="008964ED">
            <w:pPr>
              <w:pStyle w:val="Compact"/>
              <w:jc w:val="center"/>
            </w:pPr>
            <w:r>
              <w:t>-0.19 (-0.37, to 0.00)</w:t>
            </w:r>
          </w:p>
        </w:tc>
        <w:tc>
          <w:tcPr>
            <w:tcW w:w="0" w:type="auto"/>
          </w:tcPr>
          <w:p w14:paraId="37AC1448" w14:textId="77777777" w:rsidR="00F74486" w:rsidRDefault="008964ED">
            <w:pPr>
              <w:pStyle w:val="Compact"/>
              <w:jc w:val="center"/>
            </w:pPr>
            <w:r>
              <w:t>Yes</w:t>
            </w:r>
          </w:p>
        </w:tc>
        <w:tc>
          <w:tcPr>
            <w:tcW w:w="0" w:type="auto"/>
          </w:tcPr>
          <w:p w14:paraId="5F92D556" w14:textId="77777777" w:rsidR="00F74486" w:rsidRDefault="008964ED">
            <w:pPr>
              <w:pStyle w:val="Compact"/>
              <w:jc w:val="center"/>
            </w:pPr>
            <w:r>
              <w:t>No</w:t>
            </w:r>
          </w:p>
        </w:tc>
        <w:tc>
          <w:tcPr>
            <w:tcW w:w="0" w:type="auto"/>
          </w:tcPr>
          <w:p w14:paraId="1F0F3383" w14:textId="77777777" w:rsidR="00F74486" w:rsidRDefault="008964ED">
            <w:pPr>
              <w:pStyle w:val="Compact"/>
              <w:jc w:val="center"/>
            </w:pPr>
            <w:r>
              <w:t>Yes</w:t>
            </w:r>
          </w:p>
        </w:tc>
        <w:tc>
          <w:tcPr>
            <w:tcW w:w="0" w:type="auto"/>
          </w:tcPr>
          <w:p w14:paraId="2537F851" w14:textId="77777777" w:rsidR="00F74486" w:rsidRDefault="008964ED">
            <w:pPr>
              <w:pStyle w:val="Compact"/>
              <w:jc w:val="center"/>
            </w:pPr>
            <w:r>
              <w:t>Yes</w:t>
            </w:r>
          </w:p>
        </w:tc>
        <w:tc>
          <w:tcPr>
            <w:tcW w:w="0" w:type="auto"/>
          </w:tcPr>
          <w:p w14:paraId="6F3DF917" w14:textId="77777777" w:rsidR="00F74486" w:rsidRDefault="008964ED">
            <w:pPr>
              <w:pStyle w:val="Compact"/>
              <w:jc w:val="center"/>
            </w:pPr>
            <w:r>
              <w:t>11</w:t>
            </w:r>
          </w:p>
        </w:tc>
        <w:tc>
          <w:tcPr>
            <w:tcW w:w="0" w:type="auto"/>
          </w:tcPr>
          <w:p w14:paraId="3789D401" w14:textId="77777777" w:rsidR="00F74486" w:rsidRDefault="008964ED">
            <w:pPr>
              <w:pStyle w:val="Compact"/>
              <w:jc w:val="center"/>
            </w:pPr>
            <w:r>
              <w:t>-202 (11.1)</w:t>
            </w:r>
          </w:p>
        </w:tc>
      </w:tr>
      <w:tr w:rsidR="00F74486" w14:paraId="0624E623" w14:textId="77777777">
        <w:tc>
          <w:tcPr>
            <w:tcW w:w="0" w:type="auto"/>
          </w:tcPr>
          <w:p w14:paraId="61FCB96D" w14:textId="77777777" w:rsidR="00F74486" w:rsidRDefault="008964ED">
            <w:pPr>
              <w:pStyle w:val="Compact"/>
            </w:pPr>
            <w:r>
              <w:lastRenderedPageBreak/>
              <w:t>Model 16</w:t>
            </w:r>
          </w:p>
        </w:tc>
        <w:tc>
          <w:tcPr>
            <w:tcW w:w="0" w:type="auto"/>
          </w:tcPr>
          <w:p w14:paraId="37628841" w14:textId="77777777" w:rsidR="00F74486" w:rsidRDefault="008964ED">
            <w:pPr>
              <w:pStyle w:val="Compact"/>
              <w:jc w:val="center"/>
            </w:pPr>
            <w:r>
              <w:t>-0.17 (-0.42, to 0.08)</w:t>
            </w:r>
          </w:p>
        </w:tc>
        <w:tc>
          <w:tcPr>
            <w:tcW w:w="0" w:type="auto"/>
          </w:tcPr>
          <w:p w14:paraId="5A11F08A" w14:textId="77777777" w:rsidR="00F74486" w:rsidRDefault="008964ED">
            <w:pPr>
              <w:pStyle w:val="Compact"/>
              <w:jc w:val="center"/>
            </w:pPr>
            <w:r>
              <w:t>Yes</w:t>
            </w:r>
          </w:p>
        </w:tc>
        <w:tc>
          <w:tcPr>
            <w:tcW w:w="0" w:type="auto"/>
          </w:tcPr>
          <w:p w14:paraId="7D45D08B" w14:textId="77777777" w:rsidR="00F74486" w:rsidRDefault="008964ED">
            <w:pPr>
              <w:pStyle w:val="Compact"/>
              <w:jc w:val="center"/>
            </w:pPr>
            <w:r>
              <w:t>Yes</w:t>
            </w:r>
          </w:p>
        </w:tc>
        <w:tc>
          <w:tcPr>
            <w:tcW w:w="0" w:type="auto"/>
          </w:tcPr>
          <w:p w14:paraId="7A5E72B5" w14:textId="77777777" w:rsidR="00F74486" w:rsidRDefault="008964ED">
            <w:pPr>
              <w:pStyle w:val="Compact"/>
              <w:jc w:val="center"/>
            </w:pPr>
            <w:r>
              <w:t>Yes</w:t>
            </w:r>
          </w:p>
        </w:tc>
        <w:tc>
          <w:tcPr>
            <w:tcW w:w="0" w:type="auto"/>
          </w:tcPr>
          <w:p w14:paraId="146380AB" w14:textId="77777777" w:rsidR="00F74486" w:rsidRDefault="008964ED">
            <w:pPr>
              <w:pStyle w:val="Compact"/>
              <w:jc w:val="center"/>
            </w:pPr>
            <w:r>
              <w:t>Yes</w:t>
            </w:r>
          </w:p>
        </w:tc>
        <w:tc>
          <w:tcPr>
            <w:tcW w:w="0" w:type="auto"/>
          </w:tcPr>
          <w:p w14:paraId="484BDDC9" w14:textId="77777777" w:rsidR="00F74486" w:rsidRDefault="008964ED">
            <w:pPr>
              <w:pStyle w:val="Compact"/>
              <w:jc w:val="center"/>
            </w:pPr>
            <w:r>
              <w:t>27</w:t>
            </w:r>
          </w:p>
        </w:tc>
        <w:tc>
          <w:tcPr>
            <w:tcW w:w="0" w:type="auto"/>
          </w:tcPr>
          <w:p w14:paraId="218854AB" w14:textId="77777777" w:rsidR="00F74486" w:rsidRDefault="008964ED">
            <w:pPr>
              <w:pStyle w:val="Compact"/>
              <w:jc w:val="center"/>
            </w:pPr>
            <w:r>
              <w:t>-201 (12.3)</w:t>
            </w:r>
          </w:p>
        </w:tc>
      </w:tr>
      <w:tr w:rsidR="00F74486" w14:paraId="4202669D" w14:textId="77777777">
        <w:tc>
          <w:tcPr>
            <w:tcW w:w="0" w:type="auto"/>
          </w:tcPr>
          <w:p w14:paraId="509D812A" w14:textId="77777777" w:rsidR="00F74486" w:rsidRDefault="008964ED">
            <w:pPr>
              <w:pStyle w:val="Compact"/>
            </w:pPr>
            <w:r>
              <w:t>Model 8</w:t>
            </w:r>
          </w:p>
        </w:tc>
        <w:tc>
          <w:tcPr>
            <w:tcW w:w="0" w:type="auto"/>
          </w:tcPr>
          <w:p w14:paraId="457107CB" w14:textId="77777777" w:rsidR="00F74486" w:rsidRDefault="008964ED">
            <w:pPr>
              <w:pStyle w:val="Compact"/>
              <w:jc w:val="center"/>
            </w:pPr>
            <w:r>
              <w:t>-0.18 (-0.38, to 0.03)</w:t>
            </w:r>
          </w:p>
        </w:tc>
        <w:tc>
          <w:tcPr>
            <w:tcW w:w="0" w:type="auto"/>
          </w:tcPr>
          <w:p w14:paraId="1C44C0ED" w14:textId="77777777" w:rsidR="00F74486" w:rsidRDefault="008964ED">
            <w:pPr>
              <w:pStyle w:val="Compact"/>
              <w:jc w:val="center"/>
            </w:pPr>
            <w:r>
              <w:t>Yes</w:t>
            </w:r>
          </w:p>
        </w:tc>
        <w:tc>
          <w:tcPr>
            <w:tcW w:w="0" w:type="auto"/>
          </w:tcPr>
          <w:p w14:paraId="14AA1732" w14:textId="77777777" w:rsidR="00F74486" w:rsidRDefault="008964ED">
            <w:pPr>
              <w:pStyle w:val="Compact"/>
              <w:jc w:val="center"/>
            </w:pPr>
            <w:r>
              <w:t>No</w:t>
            </w:r>
          </w:p>
        </w:tc>
        <w:tc>
          <w:tcPr>
            <w:tcW w:w="0" w:type="auto"/>
          </w:tcPr>
          <w:p w14:paraId="5C489D7F" w14:textId="77777777" w:rsidR="00F74486" w:rsidRDefault="008964ED">
            <w:pPr>
              <w:pStyle w:val="Compact"/>
              <w:jc w:val="center"/>
            </w:pPr>
            <w:r>
              <w:t>Yes</w:t>
            </w:r>
          </w:p>
        </w:tc>
        <w:tc>
          <w:tcPr>
            <w:tcW w:w="0" w:type="auto"/>
          </w:tcPr>
          <w:p w14:paraId="68CF0426" w14:textId="77777777" w:rsidR="00F74486" w:rsidRDefault="008964ED">
            <w:pPr>
              <w:pStyle w:val="Compact"/>
              <w:jc w:val="center"/>
            </w:pPr>
            <w:r>
              <w:t>Yes</w:t>
            </w:r>
          </w:p>
        </w:tc>
        <w:tc>
          <w:tcPr>
            <w:tcW w:w="0" w:type="auto"/>
          </w:tcPr>
          <w:p w14:paraId="68DF1F09" w14:textId="77777777" w:rsidR="00F74486" w:rsidRDefault="008964ED">
            <w:pPr>
              <w:pStyle w:val="Compact"/>
              <w:jc w:val="center"/>
            </w:pPr>
            <w:r>
              <w:t>15</w:t>
            </w:r>
          </w:p>
        </w:tc>
        <w:tc>
          <w:tcPr>
            <w:tcW w:w="0" w:type="auto"/>
          </w:tcPr>
          <w:p w14:paraId="52B6986D" w14:textId="77777777" w:rsidR="00F74486" w:rsidRDefault="008964ED">
            <w:pPr>
              <w:pStyle w:val="Compact"/>
              <w:jc w:val="center"/>
            </w:pPr>
            <w:r>
              <w:t>-201 (11)</w:t>
            </w:r>
          </w:p>
        </w:tc>
      </w:tr>
      <w:tr w:rsidR="00F74486" w14:paraId="383D0D98" w14:textId="77777777">
        <w:tc>
          <w:tcPr>
            <w:tcW w:w="0" w:type="auto"/>
          </w:tcPr>
          <w:p w14:paraId="712766C7" w14:textId="77777777" w:rsidR="00F74486" w:rsidRDefault="008964ED">
            <w:pPr>
              <w:pStyle w:val="Compact"/>
            </w:pPr>
            <w:r>
              <w:t>Model 15</w:t>
            </w:r>
          </w:p>
        </w:tc>
        <w:tc>
          <w:tcPr>
            <w:tcW w:w="0" w:type="auto"/>
          </w:tcPr>
          <w:p w14:paraId="0F9EE704" w14:textId="77777777" w:rsidR="00F74486" w:rsidRDefault="008964ED">
            <w:pPr>
              <w:pStyle w:val="Compact"/>
              <w:jc w:val="center"/>
            </w:pPr>
            <w:r>
              <w:t>-0.17 (-0.40, to 0.06)</w:t>
            </w:r>
          </w:p>
        </w:tc>
        <w:tc>
          <w:tcPr>
            <w:tcW w:w="0" w:type="auto"/>
          </w:tcPr>
          <w:p w14:paraId="5E114EB5" w14:textId="77777777" w:rsidR="00F74486" w:rsidRDefault="008964ED">
            <w:pPr>
              <w:pStyle w:val="Compact"/>
              <w:jc w:val="center"/>
            </w:pPr>
            <w:r>
              <w:t>Yes</w:t>
            </w:r>
          </w:p>
        </w:tc>
        <w:tc>
          <w:tcPr>
            <w:tcW w:w="0" w:type="auto"/>
          </w:tcPr>
          <w:p w14:paraId="59054FD1" w14:textId="77777777" w:rsidR="00F74486" w:rsidRDefault="008964ED">
            <w:pPr>
              <w:pStyle w:val="Compact"/>
              <w:jc w:val="center"/>
            </w:pPr>
            <w:r>
              <w:t>Yes</w:t>
            </w:r>
          </w:p>
        </w:tc>
        <w:tc>
          <w:tcPr>
            <w:tcW w:w="0" w:type="auto"/>
          </w:tcPr>
          <w:p w14:paraId="3BD3EB81" w14:textId="77777777" w:rsidR="00F74486" w:rsidRDefault="008964ED">
            <w:pPr>
              <w:pStyle w:val="Compact"/>
              <w:jc w:val="center"/>
            </w:pPr>
            <w:r>
              <w:t>Yes</w:t>
            </w:r>
          </w:p>
        </w:tc>
        <w:tc>
          <w:tcPr>
            <w:tcW w:w="0" w:type="auto"/>
          </w:tcPr>
          <w:p w14:paraId="4BFE80E4" w14:textId="77777777" w:rsidR="00F74486" w:rsidRDefault="008964ED">
            <w:pPr>
              <w:pStyle w:val="Compact"/>
              <w:jc w:val="center"/>
            </w:pPr>
            <w:r>
              <w:t>Yes</w:t>
            </w:r>
          </w:p>
        </w:tc>
        <w:tc>
          <w:tcPr>
            <w:tcW w:w="0" w:type="auto"/>
          </w:tcPr>
          <w:p w14:paraId="7DA37A2C" w14:textId="77777777" w:rsidR="00F74486" w:rsidRDefault="008964ED">
            <w:pPr>
              <w:pStyle w:val="Compact"/>
              <w:jc w:val="center"/>
            </w:pPr>
            <w:r>
              <w:t>26</w:t>
            </w:r>
          </w:p>
        </w:tc>
        <w:tc>
          <w:tcPr>
            <w:tcW w:w="0" w:type="auto"/>
          </w:tcPr>
          <w:p w14:paraId="0392F7E7" w14:textId="77777777" w:rsidR="00F74486" w:rsidRDefault="008964ED">
            <w:pPr>
              <w:pStyle w:val="Compact"/>
              <w:jc w:val="center"/>
            </w:pPr>
            <w:r>
              <w:t>-200 (14.8)</w:t>
            </w:r>
          </w:p>
        </w:tc>
      </w:tr>
      <w:tr w:rsidR="00F74486" w14:paraId="721D2199" w14:textId="77777777">
        <w:tc>
          <w:tcPr>
            <w:tcW w:w="0" w:type="auto"/>
          </w:tcPr>
          <w:p w14:paraId="193F4E4C" w14:textId="77777777" w:rsidR="00F74486" w:rsidRDefault="008964ED">
            <w:pPr>
              <w:pStyle w:val="Compact"/>
            </w:pPr>
            <w:r>
              <w:t>Model 7</w:t>
            </w:r>
          </w:p>
        </w:tc>
        <w:tc>
          <w:tcPr>
            <w:tcW w:w="0" w:type="auto"/>
          </w:tcPr>
          <w:p w14:paraId="2CAB776D" w14:textId="77777777" w:rsidR="00F74486" w:rsidRDefault="008964ED">
            <w:pPr>
              <w:pStyle w:val="Compact"/>
              <w:jc w:val="center"/>
            </w:pPr>
            <w:r>
              <w:t>-0.18 (-0.37, to 0.00)</w:t>
            </w:r>
          </w:p>
        </w:tc>
        <w:tc>
          <w:tcPr>
            <w:tcW w:w="0" w:type="auto"/>
          </w:tcPr>
          <w:p w14:paraId="491164D1" w14:textId="77777777" w:rsidR="00F74486" w:rsidRDefault="008964ED">
            <w:pPr>
              <w:pStyle w:val="Compact"/>
              <w:jc w:val="center"/>
            </w:pPr>
            <w:r>
              <w:t>Yes</w:t>
            </w:r>
          </w:p>
        </w:tc>
        <w:tc>
          <w:tcPr>
            <w:tcW w:w="0" w:type="auto"/>
          </w:tcPr>
          <w:p w14:paraId="3B55860F" w14:textId="77777777" w:rsidR="00F74486" w:rsidRDefault="008964ED">
            <w:pPr>
              <w:pStyle w:val="Compact"/>
              <w:jc w:val="center"/>
            </w:pPr>
            <w:r>
              <w:t>No</w:t>
            </w:r>
          </w:p>
        </w:tc>
        <w:tc>
          <w:tcPr>
            <w:tcW w:w="0" w:type="auto"/>
          </w:tcPr>
          <w:p w14:paraId="5B04C903" w14:textId="77777777" w:rsidR="00F74486" w:rsidRDefault="008964ED">
            <w:pPr>
              <w:pStyle w:val="Compact"/>
              <w:jc w:val="center"/>
            </w:pPr>
            <w:r>
              <w:t>Yes</w:t>
            </w:r>
          </w:p>
        </w:tc>
        <w:tc>
          <w:tcPr>
            <w:tcW w:w="0" w:type="auto"/>
          </w:tcPr>
          <w:p w14:paraId="61A05094" w14:textId="77777777" w:rsidR="00F74486" w:rsidRDefault="008964ED">
            <w:pPr>
              <w:pStyle w:val="Compact"/>
              <w:jc w:val="center"/>
            </w:pPr>
            <w:r>
              <w:t>Yes</w:t>
            </w:r>
          </w:p>
        </w:tc>
        <w:tc>
          <w:tcPr>
            <w:tcW w:w="0" w:type="auto"/>
          </w:tcPr>
          <w:p w14:paraId="5E402B76" w14:textId="77777777" w:rsidR="00F74486" w:rsidRDefault="008964ED">
            <w:pPr>
              <w:pStyle w:val="Compact"/>
              <w:jc w:val="center"/>
            </w:pPr>
            <w:r>
              <w:t>14</w:t>
            </w:r>
          </w:p>
        </w:tc>
        <w:tc>
          <w:tcPr>
            <w:tcW w:w="0" w:type="auto"/>
          </w:tcPr>
          <w:p w14:paraId="5ED024B5" w14:textId="77777777" w:rsidR="00F74486" w:rsidRDefault="008964ED">
            <w:pPr>
              <w:pStyle w:val="Compact"/>
              <w:jc w:val="center"/>
            </w:pPr>
            <w:r>
              <w:t>-199 (12.8)</w:t>
            </w:r>
          </w:p>
        </w:tc>
      </w:tr>
      <w:tr w:rsidR="00F74486" w14:paraId="70A761E4" w14:textId="77777777">
        <w:tc>
          <w:tcPr>
            <w:tcW w:w="0" w:type="auto"/>
          </w:tcPr>
          <w:p w14:paraId="629ECF5C" w14:textId="77777777" w:rsidR="00F74486" w:rsidRDefault="008964ED">
            <w:pPr>
              <w:pStyle w:val="Compact"/>
            </w:pPr>
            <w:r>
              <w:t>Model 14</w:t>
            </w:r>
          </w:p>
        </w:tc>
        <w:tc>
          <w:tcPr>
            <w:tcW w:w="0" w:type="auto"/>
          </w:tcPr>
          <w:p w14:paraId="0185E21B" w14:textId="77777777" w:rsidR="00F74486" w:rsidRDefault="008964ED">
            <w:pPr>
              <w:pStyle w:val="Compact"/>
              <w:jc w:val="center"/>
            </w:pPr>
            <w:r>
              <w:t>-0.16 (-0.39, to 0.07)</w:t>
            </w:r>
          </w:p>
        </w:tc>
        <w:tc>
          <w:tcPr>
            <w:tcW w:w="0" w:type="auto"/>
          </w:tcPr>
          <w:p w14:paraId="083FC595" w14:textId="77777777" w:rsidR="00F74486" w:rsidRDefault="008964ED">
            <w:pPr>
              <w:pStyle w:val="Compact"/>
              <w:jc w:val="center"/>
            </w:pPr>
            <w:r>
              <w:t>Yes</w:t>
            </w:r>
          </w:p>
        </w:tc>
        <w:tc>
          <w:tcPr>
            <w:tcW w:w="0" w:type="auto"/>
          </w:tcPr>
          <w:p w14:paraId="118B9935" w14:textId="77777777" w:rsidR="00F74486" w:rsidRDefault="008964ED">
            <w:pPr>
              <w:pStyle w:val="Compact"/>
              <w:jc w:val="center"/>
            </w:pPr>
            <w:r>
              <w:t>Yes</w:t>
            </w:r>
          </w:p>
        </w:tc>
        <w:tc>
          <w:tcPr>
            <w:tcW w:w="0" w:type="auto"/>
          </w:tcPr>
          <w:p w14:paraId="33814E73" w14:textId="77777777" w:rsidR="00F74486" w:rsidRDefault="008964ED">
            <w:pPr>
              <w:pStyle w:val="Compact"/>
              <w:jc w:val="center"/>
            </w:pPr>
            <w:r>
              <w:t>Yes</w:t>
            </w:r>
          </w:p>
        </w:tc>
        <w:tc>
          <w:tcPr>
            <w:tcW w:w="0" w:type="auto"/>
          </w:tcPr>
          <w:p w14:paraId="02AB58DA" w14:textId="77777777" w:rsidR="00F74486" w:rsidRDefault="008964ED">
            <w:pPr>
              <w:pStyle w:val="Compact"/>
              <w:jc w:val="center"/>
            </w:pPr>
            <w:r>
              <w:t>Yes</w:t>
            </w:r>
          </w:p>
        </w:tc>
        <w:tc>
          <w:tcPr>
            <w:tcW w:w="0" w:type="auto"/>
          </w:tcPr>
          <w:p w14:paraId="027C4E78" w14:textId="77777777" w:rsidR="00F74486" w:rsidRDefault="008964ED">
            <w:pPr>
              <w:pStyle w:val="Compact"/>
              <w:jc w:val="center"/>
            </w:pPr>
            <w:r>
              <w:t>25</w:t>
            </w:r>
          </w:p>
        </w:tc>
        <w:tc>
          <w:tcPr>
            <w:tcW w:w="0" w:type="auto"/>
          </w:tcPr>
          <w:p w14:paraId="75DB1451" w14:textId="77777777" w:rsidR="00F74486" w:rsidRDefault="008964ED">
            <w:pPr>
              <w:pStyle w:val="Compact"/>
              <w:jc w:val="center"/>
            </w:pPr>
            <w:r>
              <w:t>-199 (13.4)</w:t>
            </w:r>
          </w:p>
        </w:tc>
      </w:tr>
      <w:tr w:rsidR="00F74486" w14:paraId="12F233B8" w14:textId="77777777">
        <w:tc>
          <w:tcPr>
            <w:tcW w:w="0" w:type="auto"/>
          </w:tcPr>
          <w:p w14:paraId="60634929" w14:textId="77777777" w:rsidR="00F74486" w:rsidRDefault="008964ED">
            <w:pPr>
              <w:pStyle w:val="Compact"/>
            </w:pPr>
            <w:r>
              <w:t>Model 6</w:t>
            </w:r>
          </w:p>
        </w:tc>
        <w:tc>
          <w:tcPr>
            <w:tcW w:w="0" w:type="auto"/>
          </w:tcPr>
          <w:p w14:paraId="5BFA81EF" w14:textId="77777777" w:rsidR="00F74486" w:rsidRDefault="008964ED">
            <w:pPr>
              <w:pStyle w:val="Compact"/>
              <w:jc w:val="center"/>
            </w:pPr>
            <w:r>
              <w:t>-0.17 (-0.36, to 0.00)</w:t>
            </w:r>
          </w:p>
        </w:tc>
        <w:tc>
          <w:tcPr>
            <w:tcW w:w="0" w:type="auto"/>
          </w:tcPr>
          <w:p w14:paraId="34579813" w14:textId="77777777" w:rsidR="00F74486" w:rsidRDefault="008964ED">
            <w:pPr>
              <w:pStyle w:val="Compact"/>
              <w:jc w:val="center"/>
            </w:pPr>
            <w:r>
              <w:t>Yes</w:t>
            </w:r>
          </w:p>
        </w:tc>
        <w:tc>
          <w:tcPr>
            <w:tcW w:w="0" w:type="auto"/>
          </w:tcPr>
          <w:p w14:paraId="1F71DA1C" w14:textId="77777777" w:rsidR="00F74486" w:rsidRDefault="008964ED">
            <w:pPr>
              <w:pStyle w:val="Compact"/>
              <w:jc w:val="center"/>
            </w:pPr>
            <w:r>
              <w:t>No</w:t>
            </w:r>
          </w:p>
        </w:tc>
        <w:tc>
          <w:tcPr>
            <w:tcW w:w="0" w:type="auto"/>
          </w:tcPr>
          <w:p w14:paraId="6DC92967" w14:textId="77777777" w:rsidR="00F74486" w:rsidRDefault="008964ED">
            <w:pPr>
              <w:pStyle w:val="Compact"/>
              <w:jc w:val="center"/>
            </w:pPr>
            <w:r>
              <w:t>Yes</w:t>
            </w:r>
          </w:p>
        </w:tc>
        <w:tc>
          <w:tcPr>
            <w:tcW w:w="0" w:type="auto"/>
          </w:tcPr>
          <w:p w14:paraId="59464E53" w14:textId="77777777" w:rsidR="00F74486" w:rsidRDefault="008964ED">
            <w:pPr>
              <w:pStyle w:val="Compact"/>
              <w:jc w:val="center"/>
            </w:pPr>
            <w:r>
              <w:t>Yes</w:t>
            </w:r>
          </w:p>
        </w:tc>
        <w:tc>
          <w:tcPr>
            <w:tcW w:w="0" w:type="auto"/>
          </w:tcPr>
          <w:p w14:paraId="7937B45E" w14:textId="77777777" w:rsidR="00F74486" w:rsidRDefault="008964ED">
            <w:pPr>
              <w:pStyle w:val="Compact"/>
              <w:jc w:val="center"/>
            </w:pPr>
            <w:r>
              <w:t>13</w:t>
            </w:r>
          </w:p>
        </w:tc>
        <w:tc>
          <w:tcPr>
            <w:tcW w:w="0" w:type="auto"/>
          </w:tcPr>
          <w:p w14:paraId="690F81C4" w14:textId="77777777" w:rsidR="00F74486" w:rsidRDefault="008964ED">
            <w:pPr>
              <w:pStyle w:val="Compact"/>
              <w:jc w:val="center"/>
            </w:pPr>
            <w:r>
              <w:t>-198 (11.4)</w:t>
            </w:r>
          </w:p>
        </w:tc>
      </w:tr>
    </w:tbl>
    <w:p w14:paraId="70B6C274" w14:textId="77777777" w:rsidR="00F74486" w:rsidRDefault="008964ED">
      <w:pPr>
        <w:pStyle w:val="TableCaption"/>
      </w:pPr>
      <w:r>
        <w:rPr>
          <w:b/>
        </w:rPr>
        <w:t>Supplementary table S2:</w:t>
      </w:r>
      <w:r>
        <w:t xml:space="preserve"> </w:t>
      </w:r>
      <w:r>
        <w:t>Comparision of models fitted to incidence rates for the Non-UK born population that was eligible for the targeted vaccination program of neonates. Models are ordered by the goodness of fit as assessed by WAIC.</w:t>
      </w:r>
    </w:p>
    <w:tbl>
      <w:tblPr>
        <w:tblW w:w="4999" w:type="pct"/>
        <w:tblLook w:val="07E0" w:firstRow="1" w:lastRow="1" w:firstColumn="1" w:lastColumn="1" w:noHBand="1" w:noVBand="1"/>
        <w:tblCaption w:val="Supplementary table S2: Comparision of models fitted to incidence rates for the Non-UK born population that was eligible for the targeted vaccination program of neonates. Models are ordered by the goodness of fit as assessed by WAIC."/>
      </w:tblPr>
      <w:tblGrid>
        <w:gridCol w:w="945"/>
        <w:gridCol w:w="1311"/>
        <w:gridCol w:w="1242"/>
        <w:gridCol w:w="1447"/>
        <w:gridCol w:w="977"/>
        <w:gridCol w:w="1170"/>
        <w:gridCol w:w="1390"/>
        <w:gridCol w:w="1092"/>
      </w:tblGrid>
      <w:tr w:rsidR="00F74486" w14:paraId="4EE021B4" w14:textId="77777777">
        <w:tc>
          <w:tcPr>
            <w:tcW w:w="0" w:type="auto"/>
            <w:tcBorders>
              <w:bottom w:val="single" w:sz="0" w:space="0" w:color="auto"/>
            </w:tcBorders>
            <w:vAlign w:val="bottom"/>
          </w:tcPr>
          <w:p w14:paraId="2E4EC737" w14:textId="77777777" w:rsidR="00F74486" w:rsidRDefault="008964ED">
            <w:pPr>
              <w:pStyle w:val="Compact"/>
            </w:pPr>
            <w:r>
              <w:t>Model</w:t>
            </w:r>
          </w:p>
        </w:tc>
        <w:tc>
          <w:tcPr>
            <w:tcW w:w="0" w:type="auto"/>
            <w:tcBorders>
              <w:bottom w:val="single" w:sz="0" w:space="0" w:color="auto"/>
            </w:tcBorders>
            <w:vAlign w:val="bottom"/>
          </w:tcPr>
          <w:p w14:paraId="1F3D5230" w14:textId="77777777" w:rsidR="00F74486" w:rsidRDefault="008964ED">
            <w:pPr>
              <w:pStyle w:val="Compact"/>
              <w:jc w:val="center"/>
            </w:pPr>
            <w:r>
              <w:t>Effect (CI 95%)</w:t>
            </w:r>
          </w:p>
        </w:tc>
        <w:tc>
          <w:tcPr>
            <w:tcW w:w="0" w:type="auto"/>
            <w:tcBorders>
              <w:bottom w:val="single" w:sz="0" w:space="0" w:color="auto"/>
            </w:tcBorders>
            <w:vAlign w:val="bottom"/>
          </w:tcPr>
          <w:p w14:paraId="0E86C0AD" w14:textId="77777777" w:rsidR="00F74486" w:rsidRDefault="008964ED">
            <w:pPr>
              <w:pStyle w:val="Compact"/>
              <w:jc w:val="center"/>
            </w:pPr>
            <w:r>
              <w:t>Years of follow up</w:t>
            </w:r>
          </w:p>
        </w:tc>
        <w:tc>
          <w:tcPr>
            <w:tcW w:w="0" w:type="auto"/>
            <w:tcBorders>
              <w:bottom w:val="single" w:sz="0" w:space="0" w:color="auto"/>
            </w:tcBorders>
            <w:vAlign w:val="bottom"/>
          </w:tcPr>
          <w:p w14:paraId="629A5A07" w14:textId="77777777" w:rsidR="00F74486" w:rsidRDefault="008964ED">
            <w:pPr>
              <w:pStyle w:val="Compact"/>
              <w:jc w:val="center"/>
            </w:pPr>
            <w:r>
              <w:t>Years</w:t>
            </w:r>
            <w:r>
              <w:t xml:space="preserve"> of eligibility</w:t>
            </w:r>
          </w:p>
        </w:tc>
        <w:tc>
          <w:tcPr>
            <w:tcW w:w="0" w:type="auto"/>
            <w:tcBorders>
              <w:bottom w:val="single" w:sz="0" w:space="0" w:color="auto"/>
            </w:tcBorders>
            <w:vAlign w:val="bottom"/>
          </w:tcPr>
          <w:p w14:paraId="567CACB0" w14:textId="77777777" w:rsidR="00F74486" w:rsidRDefault="008964ED">
            <w:pPr>
              <w:pStyle w:val="Compact"/>
              <w:jc w:val="center"/>
            </w:pPr>
            <w:r>
              <w:t>UK born rates</w:t>
            </w:r>
          </w:p>
        </w:tc>
        <w:tc>
          <w:tcPr>
            <w:tcW w:w="0" w:type="auto"/>
            <w:tcBorders>
              <w:bottom w:val="single" w:sz="0" w:space="0" w:color="auto"/>
            </w:tcBorders>
            <w:vAlign w:val="bottom"/>
          </w:tcPr>
          <w:p w14:paraId="07F9B63B" w14:textId="77777777" w:rsidR="00F74486" w:rsidRDefault="008964ED">
            <w:pPr>
              <w:pStyle w:val="Compact"/>
              <w:jc w:val="center"/>
            </w:pPr>
            <w:r>
              <w:t>Non-UK born rates</w:t>
            </w:r>
          </w:p>
        </w:tc>
        <w:tc>
          <w:tcPr>
            <w:tcW w:w="0" w:type="auto"/>
            <w:tcBorders>
              <w:bottom w:val="single" w:sz="0" w:space="0" w:color="auto"/>
            </w:tcBorders>
            <w:vAlign w:val="bottom"/>
          </w:tcPr>
          <w:p w14:paraId="11D0A431" w14:textId="77777777" w:rsidR="00F74486" w:rsidRDefault="008964ED">
            <w:pPr>
              <w:pStyle w:val="Compact"/>
              <w:jc w:val="center"/>
            </w:pPr>
            <w:r>
              <w:t>Degrees of freedom</w:t>
            </w:r>
          </w:p>
        </w:tc>
        <w:tc>
          <w:tcPr>
            <w:tcW w:w="0" w:type="auto"/>
            <w:tcBorders>
              <w:bottom w:val="single" w:sz="0" w:space="0" w:color="auto"/>
            </w:tcBorders>
            <w:vAlign w:val="bottom"/>
          </w:tcPr>
          <w:p w14:paraId="0C37AC78" w14:textId="77777777" w:rsidR="00F74486" w:rsidRDefault="008964ED">
            <w:pPr>
              <w:pStyle w:val="Compact"/>
              <w:jc w:val="center"/>
            </w:pPr>
            <w:r>
              <w:t>LOOIC (se)</w:t>
            </w:r>
          </w:p>
        </w:tc>
      </w:tr>
      <w:tr w:rsidR="00F74486" w14:paraId="73D27126" w14:textId="77777777">
        <w:tc>
          <w:tcPr>
            <w:tcW w:w="0" w:type="auto"/>
          </w:tcPr>
          <w:p w14:paraId="0779D361" w14:textId="77777777" w:rsidR="00F74486" w:rsidRDefault="008964ED">
            <w:pPr>
              <w:pStyle w:val="Compact"/>
            </w:pPr>
            <w:r>
              <w:t>Model 9</w:t>
            </w:r>
          </w:p>
        </w:tc>
        <w:tc>
          <w:tcPr>
            <w:tcW w:w="0" w:type="auto"/>
          </w:tcPr>
          <w:p w14:paraId="67AEF3AC" w14:textId="77777777" w:rsidR="00F74486" w:rsidRDefault="008964ED">
            <w:pPr>
              <w:pStyle w:val="Compact"/>
              <w:jc w:val="center"/>
            </w:pPr>
            <w:r>
              <w:t>-0.75 (-1.03, to -0.47)</w:t>
            </w:r>
          </w:p>
        </w:tc>
        <w:tc>
          <w:tcPr>
            <w:tcW w:w="0" w:type="auto"/>
          </w:tcPr>
          <w:p w14:paraId="3DC6F99B" w14:textId="77777777" w:rsidR="00F74486" w:rsidRDefault="008964ED">
            <w:pPr>
              <w:pStyle w:val="Compact"/>
              <w:jc w:val="center"/>
            </w:pPr>
            <w:r>
              <w:t>No</w:t>
            </w:r>
          </w:p>
        </w:tc>
        <w:tc>
          <w:tcPr>
            <w:tcW w:w="0" w:type="auto"/>
          </w:tcPr>
          <w:p w14:paraId="15628D46" w14:textId="77777777" w:rsidR="00F74486" w:rsidRDefault="008964ED">
            <w:pPr>
              <w:pStyle w:val="Compact"/>
              <w:jc w:val="center"/>
            </w:pPr>
            <w:r>
              <w:t>Yes</w:t>
            </w:r>
          </w:p>
        </w:tc>
        <w:tc>
          <w:tcPr>
            <w:tcW w:w="0" w:type="auto"/>
          </w:tcPr>
          <w:p w14:paraId="00D2615E" w14:textId="77777777" w:rsidR="00F74486" w:rsidRDefault="008964ED">
            <w:pPr>
              <w:pStyle w:val="Compact"/>
              <w:jc w:val="center"/>
            </w:pPr>
            <w:r>
              <w:t>No</w:t>
            </w:r>
          </w:p>
        </w:tc>
        <w:tc>
          <w:tcPr>
            <w:tcW w:w="0" w:type="auto"/>
          </w:tcPr>
          <w:p w14:paraId="21EE09B3" w14:textId="77777777" w:rsidR="00F74486" w:rsidRDefault="008964ED">
            <w:pPr>
              <w:pStyle w:val="Compact"/>
              <w:jc w:val="center"/>
            </w:pPr>
            <w:r>
              <w:t>No</w:t>
            </w:r>
          </w:p>
        </w:tc>
        <w:tc>
          <w:tcPr>
            <w:tcW w:w="0" w:type="auto"/>
          </w:tcPr>
          <w:p w14:paraId="43F6D47F" w14:textId="77777777" w:rsidR="00F74486" w:rsidRDefault="008964ED">
            <w:pPr>
              <w:pStyle w:val="Compact"/>
              <w:jc w:val="center"/>
            </w:pPr>
            <w:r>
              <w:t>14</w:t>
            </w:r>
          </w:p>
        </w:tc>
        <w:tc>
          <w:tcPr>
            <w:tcW w:w="0" w:type="auto"/>
          </w:tcPr>
          <w:p w14:paraId="6F42E184" w14:textId="77777777" w:rsidR="00F74486" w:rsidRDefault="008964ED">
            <w:pPr>
              <w:pStyle w:val="Compact"/>
              <w:jc w:val="center"/>
            </w:pPr>
            <w:r>
              <w:t>-164 (9.66)</w:t>
            </w:r>
          </w:p>
        </w:tc>
      </w:tr>
      <w:tr w:rsidR="00F74486" w14:paraId="1997435A" w14:textId="77777777">
        <w:tc>
          <w:tcPr>
            <w:tcW w:w="0" w:type="auto"/>
          </w:tcPr>
          <w:p w14:paraId="6B4BA3BB" w14:textId="77777777" w:rsidR="00F74486" w:rsidRDefault="008964ED">
            <w:pPr>
              <w:pStyle w:val="Compact"/>
            </w:pPr>
            <w:r>
              <w:t>Model 1</w:t>
            </w:r>
          </w:p>
        </w:tc>
        <w:tc>
          <w:tcPr>
            <w:tcW w:w="0" w:type="auto"/>
          </w:tcPr>
          <w:p w14:paraId="4FD5308C" w14:textId="77777777" w:rsidR="00F74486" w:rsidRDefault="008964ED">
            <w:pPr>
              <w:pStyle w:val="Compact"/>
              <w:jc w:val="center"/>
            </w:pPr>
            <w:r>
              <w:t>-0.75 (-0.96, to -0.54)</w:t>
            </w:r>
          </w:p>
        </w:tc>
        <w:tc>
          <w:tcPr>
            <w:tcW w:w="0" w:type="auto"/>
          </w:tcPr>
          <w:p w14:paraId="40B44F30" w14:textId="77777777" w:rsidR="00F74486" w:rsidRDefault="008964ED">
            <w:pPr>
              <w:pStyle w:val="Compact"/>
              <w:jc w:val="center"/>
            </w:pPr>
            <w:r>
              <w:t>No</w:t>
            </w:r>
          </w:p>
        </w:tc>
        <w:tc>
          <w:tcPr>
            <w:tcW w:w="0" w:type="auto"/>
          </w:tcPr>
          <w:p w14:paraId="604EC698" w14:textId="77777777" w:rsidR="00F74486" w:rsidRDefault="008964ED">
            <w:pPr>
              <w:pStyle w:val="Compact"/>
              <w:jc w:val="center"/>
            </w:pPr>
            <w:r>
              <w:t>No</w:t>
            </w:r>
          </w:p>
        </w:tc>
        <w:tc>
          <w:tcPr>
            <w:tcW w:w="0" w:type="auto"/>
          </w:tcPr>
          <w:p w14:paraId="49258D1C" w14:textId="77777777" w:rsidR="00F74486" w:rsidRDefault="008964ED">
            <w:pPr>
              <w:pStyle w:val="Compact"/>
              <w:jc w:val="center"/>
            </w:pPr>
            <w:r>
              <w:t>No</w:t>
            </w:r>
          </w:p>
        </w:tc>
        <w:tc>
          <w:tcPr>
            <w:tcW w:w="0" w:type="auto"/>
          </w:tcPr>
          <w:p w14:paraId="40A3477C" w14:textId="77777777" w:rsidR="00F74486" w:rsidRDefault="008964ED">
            <w:pPr>
              <w:pStyle w:val="Compact"/>
              <w:jc w:val="center"/>
            </w:pPr>
            <w:r>
              <w:t>No</w:t>
            </w:r>
          </w:p>
        </w:tc>
        <w:tc>
          <w:tcPr>
            <w:tcW w:w="0" w:type="auto"/>
          </w:tcPr>
          <w:p w14:paraId="52FA317E" w14:textId="77777777" w:rsidR="00F74486" w:rsidRDefault="008964ED">
            <w:pPr>
              <w:pStyle w:val="Compact"/>
              <w:jc w:val="center"/>
            </w:pPr>
            <w:r>
              <w:t>2</w:t>
            </w:r>
          </w:p>
        </w:tc>
        <w:tc>
          <w:tcPr>
            <w:tcW w:w="0" w:type="auto"/>
          </w:tcPr>
          <w:p w14:paraId="6349999F" w14:textId="77777777" w:rsidR="00F74486" w:rsidRDefault="008964ED">
            <w:pPr>
              <w:pStyle w:val="Compact"/>
              <w:jc w:val="center"/>
            </w:pPr>
            <w:r>
              <w:t>-162 (3.52)</w:t>
            </w:r>
          </w:p>
        </w:tc>
      </w:tr>
      <w:tr w:rsidR="00F74486" w14:paraId="7D39469F" w14:textId="77777777">
        <w:tc>
          <w:tcPr>
            <w:tcW w:w="0" w:type="auto"/>
          </w:tcPr>
          <w:p w14:paraId="5AFF9E53" w14:textId="77777777" w:rsidR="00F74486" w:rsidRDefault="008964ED">
            <w:pPr>
              <w:pStyle w:val="Compact"/>
            </w:pPr>
            <w:r>
              <w:t>Model 15</w:t>
            </w:r>
          </w:p>
        </w:tc>
        <w:tc>
          <w:tcPr>
            <w:tcW w:w="0" w:type="auto"/>
          </w:tcPr>
          <w:p w14:paraId="1B69ACB2" w14:textId="77777777" w:rsidR="00F74486" w:rsidRDefault="008964ED">
            <w:pPr>
              <w:pStyle w:val="Compact"/>
              <w:jc w:val="center"/>
            </w:pPr>
            <w:r>
              <w:t>-0.34 (-0.87, to 0.18)</w:t>
            </w:r>
          </w:p>
        </w:tc>
        <w:tc>
          <w:tcPr>
            <w:tcW w:w="0" w:type="auto"/>
          </w:tcPr>
          <w:p w14:paraId="4012FAA3" w14:textId="77777777" w:rsidR="00F74486" w:rsidRDefault="008964ED">
            <w:pPr>
              <w:pStyle w:val="Compact"/>
              <w:jc w:val="center"/>
            </w:pPr>
            <w:r>
              <w:t>Yes</w:t>
            </w:r>
          </w:p>
        </w:tc>
        <w:tc>
          <w:tcPr>
            <w:tcW w:w="0" w:type="auto"/>
          </w:tcPr>
          <w:p w14:paraId="33260E1E" w14:textId="77777777" w:rsidR="00F74486" w:rsidRDefault="008964ED">
            <w:pPr>
              <w:pStyle w:val="Compact"/>
              <w:jc w:val="center"/>
            </w:pPr>
            <w:r>
              <w:t>Yes</w:t>
            </w:r>
          </w:p>
        </w:tc>
        <w:tc>
          <w:tcPr>
            <w:tcW w:w="0" w:type="auto"/>
          </w:tcPr>
          <w:p w14:paraId="55F852A3" w14:textId="77777777" w:rsidR="00F74486" w:rsidRDefault="008964ED">
            <w:pPr>
              <w:pStyle w:val="Compact"/>
              <w:jc w:val="center"/>
            </w:pPr>
            <w:r>
              <w:t>Yes</w:t>
            </w:r>
          </w:p>
        </w:tc>
        <w:tc>
          <w:tcPr>
            <w:tcW w:w="0" w:type="auto"/>
          </w:tcPr>
          <w:p w14:paraId="32872AD5" w14:textId="77777777" w:rsidR="00F74486" w:rsidRDefault="008964ED">
            <w:pPr>
              <w:pStyle w:val="Compact"/>
              <w:jc w:val="center"/>
            </w:pPr>
            <w:r>
              <w:t>Yes</w:t>
            </w:r>
          </w:p>
        </w:tc>
        <w:tc>
          <w:tcPr>
            <w:tcW w:w="0" w:type="auto"/>
          </w:tcPr>
          <w:p w14:paraId="0682EB46" w14:textId="77777777" w:rsidR="00F74486" w:rsidRDefault="008964ED">
            <w:pPr>
              <w:pStyle w:val="Compact"/>
              <w:jc w:val="center"/>
            </w:pPr>
            <w:r>
              <w:t>26</w:t>
            </w:r>
          </w:p>
        </w:tc>
        <w:tc>
          <w:tcPr>
            <w:tcW w:w="0" w:type="auto"/>
          </w:tcPr>
          <w:p w14:paraId="67889141" w14:textId="77777777" w:rsidR="00F74486" w:rsidRDefault="008964ED">
            <w:pPr>
              <w:pStyle w:val="Compact"/>
              <w:jc w:val="center"/>
            </w:pPr>
            <w:r>
              <w:t xml:space="preserve">-153 </w:t>
            </w:r>
            <w:r>
              <w:t>(20.3)</w:t>
            </w:r>
          </w:p>
        </w:tc>
      </w:tr>
      <w:tr w:rsidR="00F74486" w14:paraId="4AAB7807" w14:textId="77777777">
        <w:tc>
          <w:tcPr>
            <w:tcW w:w="0" w:type="auto"/>
          </w:tcPr>
          <w:p w14:paraId="19574411" w14:textId="77777777" w:rsidR="00F74486" w:rsidRDefault="008964ED">
            <w:pPr>
              <w:pStyle w:val="Compact"/>
            </w:pPr>
            <w:r>
              <w:t>Model 14</w:t>
            </w:r>
          </w:p>
        </w:tc>
        <w:tc>
          <w:tcPr>
            <w:tcW w:w="0" w:type="auto"/>
          </w:tcPr>
          <w:p w14:paraId="43DAEEDB" w14:textId="77777777" w:rsidR="00F74486" w:rsidRDefault="008964ED">
            <w:pPr>
              <w:pStyle w:val="Compact"/>
              <w:jc w:val="center"/>
            </w:pPr>
            <w:r>
              <w:t>-0.34 (-0.87, to 0.18)</w:t>
            </w:r>
          </w:p>
        </w:tc>
        <w:tc>
          <w:tcPr>
            <w:tcW w:w="0" w:type="auto"/>
          </w:tcPr>
          <w:p w14:paraId="410A279E" w14:textId="77777777" w:rsidR="00F74486" w:rsidRDefault="008964ED">
            <w:pPr>
              <w:pStyle w:val="Compact"/>
              <w:jc w:val="center"/>
            </w:pPr>
            <w:r>
              <w:t>Yes</w:t>
            </w:r>
          </w:p>
        </w:tc>
        <w:tc>
          <w:tcPr>
            <w:tcW w:w="0" w:type="auto"/>
          </w:tcPr>
          <w:p w14:paraId="3D9EACFE" w14:textId="77777777" w:rsidR="00F74486" w:rsidRDefault="008964ED">
            <w:pPr>
              <w:pStyle w:val="Compact"/>
              <w:jc w:val="center"/>
            </w:pPr>
            <w:r>
              <w:t>Yes</w:t>
            </w:r>
          </w:p>
        </w:tc>
        <w:tc>
          <w:tcPr>
            <w:tcW w:w="0" w:type="auto"/>
          </w:tcPr>
          <w:p w14:paraId="0B5F68E3" w14:textId="77777777" w:rsidR="00F74486" w:rsidRDefault="008964ED">
            <w:pPr>
              <w:pStyle w:val="Compact"/>
              <w:jc w:val="center"/>
            </w:pPr>
            <w:r>
              <w:t>Yes</w:t>
            </w:r>
          </w:p>
        </w:tc>
        <w:tc>
          <w:tcPr>
            <w:tcW w:w="0" w:type="auto"/>
          </w:tcPr>
          <w:p w14:paraId="6647936C" w14:textId="77777777" w:rsidR="00F74486" w:rsidRDefault="008964ED">
            <w:pPr>
              <w:pStyle w:val="Compact"/>
              <w:jc w:val="center"/>
            </w:pPr>
            <w:r>
              <w:t>Yes</w:t>
            </w:r>
          </w:p>
        </w:tc>
        <w:tc>
          <w:tcPr>
            <w:tcW w:w="0" w:type="auto"/>
          </w:tcPr>
          <w:p w14:paraId="62EF7099" w14:textId="77777777" w:rsidR="00F74486" w:rsidRDefault="008964ED">
            <w:pPr>
              <w:pStyle w:val="Compact"/>
              <w:jc w:val="center"/>
            </w:pPr>
            <w:r>
              <w:t>25</w:t>
            </w:r>
          </w:p>
        </w:tc>
        <w:tc>
          <w:tcPr>
            <w:tcW w:w="0" w:type="auto"/>
          </w:tcPr>
          <w:p w14:paraId="16BF79AC" w14:textId="77777777" w:rsidR="00F74486" w:rsidRDefault="008964ED">
            <w:pPr>
              <w:pStyle w:val="Compact"/>
              <w:jc w:val="center"/>
            </w:pPr>
            <w:r>
              <w:t>-153 (18.8)</w:t>
            </w:r>
          </w:p>
        </w:tc>
      </w:tr>
      <w:tr w:rsidR="00F74486" w14:paraId="00380C1A" w14:textId="77777777">
        <w:tc>
          <w:tcPr>
            <w:tcW w:w="0" w:type="auto"/>
          </w:tcPr>
          <w:p w14:paraId="2F287564" w14:textId="77777777" w:rsidR="00F74486" w:rsidRDefault="008964ED">
            <w:pPr>
              <w:pStyle w:val="Compact"/>
            </w:pPr>
            <w:r>
              <w:t>Model 16</w:t>
            </w:r>
          </w:p>
        </w:tc>
        <w:tc>
          <w:tcPr>
            <w:tcW w:w="0" w:type="auto"/>
          </w:tcPr>
          <w:p w14:paraId="3E2C56CB" w14:textId="77777777" w:rsidR="00F74486" w:rsidRDefault="008964ED">
            <w:pPr>
              <w:pStyle w:val="Compact"/>
              <w:jc w:val="center"/>
            </w:pPr>
            <w:r>
              <w:t>-0.33 (-0.93, to 0.29)</w:t>
            </w:r>
          </w:p>
        </w:tc>
        <w:tc>
          <w:tcPr>
            <w:tcW w:w="0" w:type="auto"/>
          </w:tcPr>
          <w:p w14:paraId="460A7EF1" w14:textId="77777777" w:rsidR="00F74486" w:rsidRDefault="008964ED">
            <w:pPr>
              <w:pStyle w:val="Compact"/>
              <w:jc w:val="center"/>
            </w:pPr>
            <w:r>
              <w:t>Yes</w:t>
            </w:r>
          </w:p>
        </w:tc>
        <w:tc>
          <w:tcPr>
            <w:tcW w:w="0" w:type="auto"/>
          </w:tcPr>
          <w:p w14:paraId="1BB4AB2F" w14:textId="77777777" w:rsidR="00F74486" w:rsidRDefault="008964ED">
            <w:pPr>
              <w:pStyle w:val="Compact"/>
              <w:jc w:val="center"/>
            </w:pPr>
            <w:r>
              <w:t>Yes</w:t>
            </w:r>
          </w:p>
        </w:tc>
        <w:tc>
          <w:tcPr>
            <w:tcW w:w="0" w:type="auto"/>
          </w:tcPr>
          <w:p w14:paraId="7D17F66C" w14:textId="77777777" w:rsidR="00F74486" w:rsidRDefault="008964ED">
            <w:pPr>
              <w:pStyle w:val="Compact"/>
              <w:jc w:val="center"/>
            </w:pPr>
            <w:r>
              <w:t>Yes</w:t>
            </w:r>
          </w:p>
        </w:tc>
        <w:tc>
          <w:tcPr>
            <w:tcW w:w="0" w:type="auto"/>
          </w:tcPr>
          <w:p w14:paraId="1B5590F6" w14:textId="77777777" w:rsidR="00F74486" w:rsidRDefault="008964ED">
            <w:pPr>
              <w:pStyle w:val="Compact"/>
              <w:jc w:val="center"/>
            </w:pPr>
            <w:r>
              <w:t>Yes</w:t>
            </w:r>
          </w:p>
        </w:tc>
        <w:tc>
          <w:tcPr>
            <w:tcW w:w="0" w:type="auto"/>
          </w:tcPr>
          <w:p w14:paraId="3CA6ED6E" w14:textId="77777777" w:rsidR="00F74486" w:rsidRDefault="008964ED">
            <w:pPr>
              <w:pStyle w:val="Compact"/>
              <w:jc w:val="center"/>
            </w:pPr>
            <w:r>
              <w:t>27</w:t>
            </w:r>
          </w:p>
        </w:tc>
        <w:tc>
          <w:tcPr>
            <w:tcW w:w="0" w:type="auto"/>
          </w:tcPr>
          <w:p w14:paraId="6AEF7A69" w14:textId="77777777" w:rsidR="00F74486" w:rsidRDefault="008964ED">
            <w:pPr>
              <w:pStyle w:val="Compact"/>
              <w:jc w:val="center"/>
            </w:pPr>
            <w:r>
              <w:t>-152 (17)</w:t>
            </w:r>
          </w:p>
        </w:tc>
      </w:tr>
      <w:tr w:rsidR="00F74486" w14:paraId="15771142" w14:textId="77777777">
        <w:tc>
          <w:tcPr>
            <w:tcW w:w="0" w:type="auto"/>
          </w:tcPr>
          <w:p w14:paraId="013501F6" w14:textId="77777777" w:rsidR="00F74486" w:rsidRDefault="008964ED">
            <w:pPr>
              <w:pStyle w:val="Compact"/>
            </w:pPr>
            <w:r>
              <w:t>Model 12</w:t>
            </w:r>
          </w:p>
        </w:tc>
        <w:tc>
          <w:tcPr>
            <w:tcW w:w="0" w:type="auto"/>
          </w:tcPr>
          <w:p w14:paraId="6998FCE7" w14:textId="77777777" w:rsidR="00F74486" w:rsidRDefault="008964ED">
            <w:pPr>
              <w:pStyle w:val="Compact"/>
              <w:jc w:val="center"/>
            </w:pPr>
            <w:r>
              <w:t>-0.28 (-0.81, to 0.24)</w:t>
            </w:r>
          </w:p>
        </w:tc>
        <w:tc>
          <w:tcPr>
            <w:tcW w:w="0" w:type="auto"/>
          </w:tcPr>
          <w:p w14:paraId="2D2B1D85" w14:textId="77777777" w:rsidR="00F74486" w:rsidRDefault="008964ED">
            <w:pPr>
              <w:pStyle w:val="Compact"/>
              <w:jc w:val="center"/>
            </w:pPr>
            <w:r>
              <w:t>Yes</w:t>
            </w:r>
          </w:p>
        </w:tc>
        <w:tc>
          <w:tcPr>
            <w:tcW w:w="0" w:type="auto"/>
          </w:tcPr>
          <w:p w14:paraId="6A18502E" w14:textId="77777777" w:rsidR="00F74486" w:rsidRDefault="008964ED">
            <w:pPr>
              <w:pStyle w:val="Compact"/>
              <w:jc w:val="center"/>
            </w:pPr>
            <w:r>
              <w:t>Yes</w:t>
            </w:r>
          </w:p>
        </w:tc>
        <w:tc>
          <w:tcPr>
            <w:tcW w:w="0" w:type="auto"/>
          </w:tcPr>
          <w:p w14:paraId="41C8DEE2" w14:textId="77777777" w:rsidR="00F74486" w:rsidRDefault="008964ED">
            <w:pPr>
              <w:pStyle w:val="Compact"/>
              <w:jc w:val="center"/>
            </w:pPr>
            <w:r>
              <w:t>No</w:t>
            </w:r>
          </w:p>
        </w:tc>
        <w:tc>
          <w:tcPr>
            <w:tcW w:w="0" w:type="auto"/>
          </w:tcPr>
          <w:p w14:paraId="521B6CB3" w14:textId="77777777" w:rsidR="00F74486" w:rsidRDefault="008964ED">
            <w:pPr>
              <w:pStyle w:val="Compact"/>
              <w:jc w:val="center"/>
            </w:pPr>
            <w:r>
              <w:t>Yes</w:t>
            </w:r>
          </w:p>
        </w:tc>
        <w:tc>
          <w:tcPr>
            <w:tcW w:w="0" w:type="auto"/>
          </w:tcPr>
          <w:p w14:paraId="0125FEC0" w14:textId="77777777" w:rsidR="00F74486" w:rsidRDefault="008964ED">
            <w:pPr>
              <w:pStyle w:val="Compact"/>
              <w:jc w:val="center"/>
            </w:pPr>
            <w:r>
              <w:t>22</w:t>
            </w:r>
          </w:p>
        </w:tc>
        <w:tc>
          <w:tcPr>
            <w:tcW w:w="0" w:type="auto"/>
          </w:tcPr>
          <w:p w14:paraId="29AAB88F" w14:textId="77777777" w:rsidR="00F74486" w:rsidRDefault="008964ED">
            <w:pPr>
              <w:pStyle w:val="Compact"/>
              <w:jc w:val="center"/>
            </w:pPr>
            <w:r>
              <w:t>-152 (15.3)</w:t>
            </w:r>
          </w:p>
        </w:tc>
      </w:tr>
      <w:tr w:rsidR="00F74486" w14:paraId="5E495E76" w14:textId="77777777">
        <w:tc>
          <w:tcPr>
            <w:tcW w:w="0" w:type="auto"/>
          </w:tcPr>
          <w:p w14:paraId="13DDBEA6" w14:textId="77777777" w:rsidR="00F74486" w:rsidRDefault="008964ED">
            <w:pPr>
              <w:pStyle w:val="Compact"/>
            </w:pPr>
            <w:r>
              <w:lastRenderedPageBreak/>
              <w:t>Model 10</w:t>
            </w:r>
          </w:p>
        </w:tc>
        <w:tc>
          <w:tcPr>
            <w:tcW w:w="0" w:type="auto"/>
          </w:tcPr>
          <w:p w14:paraId="3CE7A1D6" w14:textId="77777777" w:rsidR="00F74486" w:rsidRDefault="008964ED">
            <w:pPr>
              <w:pStyle w:val="Compact"/>
              <w:jc w:val="center"/>
            </w:pPr>
            <w:r>
              <w:t>-0.80 (-1.08, to -0.52)</w:t>
            </w:r>
          </w:p>
        </w:tc>
        <w:tc>
          <w:tcPr>
            <w:tcW w:w="0" w:type="auto"/>
          </w:tcPr>
          <w:p w14:paraId="1D38616E" w14:textId="77777777" w:rsidR="00F74486" w:rsidRDefault="008964ED">
            <w:pPr>
              <w:pStyle w:val="Compact"/>
              <w:jc w:val="center"/>
            </w:pPr>
            <w:r>
              <w:t>Yes</w:t>
            </w:r>
          </w:p>
        </w:tc>
        <w:tc>
          <w:tcPr>
            <w:tcW w:w="0" w:type="auto"/>
          </w:tcPr>
          <w:p w14:paraId="16FE6A1E" w14:textId="77777777" w:rsidR="00F74486" w:rsidRDefault="008964ED">
            <w:pPr>
              <w:pStyle w:val="Compact"/>
              <w:jc w:val="center"/>
            </w:pPr>
            <w:r>
              <w:t>Yes</w:t>
            </w:r>
          </w:p>
        </w:tc>
        <w:tc>
          <w:tcPr>
            <w:tcW w:w="0" w:type="auto"/>
          </w:tcPr>
          <w:p w14:paraId="3939BA5F" w14:textId="77777777" w:rsidR="00F74486" w:rsidRDefault="008964ED">
            <w:pPr>
              <w:pStyle w:val="Compact"/>
              <w:jc w:val="center"/>
            </w:pPr>
            <w:r>
              <w:t>No</w:t>
            </w:r>
          </w:p>
        </w:tc>
        <w:tc>
          <w:tcPr>
            <w:tcW w:w="0" w:type="auto"/>
          </w:tcPr>
          <w:p w14:paraId="76AF8E33" w14:textId="77777777" w:rsidR="00F74486" w:rsidRDefault="008964ED">
            <w:pPr>
              <w:pStyle w:val="Compact"/>
              <w:jc w:val="center"/>
            </w:pPr>
            <w:r>
              <w:t>No</w:t>
            </w:r>
          </w:p>
        </w:tc>
        <w:tc>
          <w:tcPr>
            <w:tcW w:w="0" w:type="auto"/>
          </w:tcPr>
          <w:p w14:paraId="47EF2380" w14:textId="77777777" w:rsidR="00F74486" w:rsidRDefault="008964ED">
            <w:pPr>
              <w:pStyle w:val="Compact"/>
              <w:jc w:val="center"/>
            </w:pPr>
            <w:r>
              <w:t>19</w:t>
            </w:r>
          </w:p>
        </w:tc>
        <w:tc>
          <w:tcPr>
            <w:tcW w:w="0" w:type="auto"/>
          </w:tcPr>
          <w:p w14:paraId="3C31D1C6" w14:textId="77777777" w:rsidR="00F74486" w:rsidRDefault="008964ED">
            <w:pPr>
              <w:pStyle w:val="Compact"/>
              <w:jc w:val="center"/>
            </w:pPr>
            <w:r>
              <w:t xml:space="preserve">-152 </w:t>
            </w:r>
            <w:r>
              <w:t>(13.8)</w:t>
            </w:r>
          </w:p>
        </w:tc>
      </w:tr>
      <w:tr w:rsidR="00F74486" w14:paraId="1A36B5D1" w14:textId="77777777">
        <w:tc>
          <w:tcPr>
            <w:tcW w:w="0" w:type="auto"/>
          </w:tcPr>
          <w:p w14:paraId="3FB9C449" w14:textId="77777777" w:rsidR="00F74486" w:rsidRDefault="008964ED">
            <w:pPr>
              <w:pStyle w:val="Compact"/>
            </w:pPr>
            <w:r>
              <w:t>Model 7</w:t>
            </w:r>
          </w:p>
        </w:tc>
        <w:tc>
          <w:tcPr>
            <w:tcW w:w="0" w:type="auto"/>
          </w:tcPr>
          <w:p w14:paraId="54AC022E" w14:textId="77777777" w:rsidR="00F74486" w:rsidRDefault="008964ED">
            <w:pPr>
              <w:pStyle w:val="Compact"/>
              <w:jc w:val="center"/>
            </w:pPr>
            <w:r>
              <w:t>-0.34 (-0.79, to 0.12)</w:t>
            </w:r>
          </w:p>
        </w:tc>
        <w:tc>
          <w:tcPr>
            <w:tcW w:w="0" w:type="auto"/>
          </w:tcPr>
          <w:p w14:paraId="65DC7A7F" w14:textId="77777777" w:rsidR="00F74486" w:rsidRDefault="008964ED">
            <w:pPr>
              <w:pStyle w:val="Compact"/>
              <w:jc w:val="center"/>
            </w:pPr>
            <w:r>
              <w:t>Yes</w:t>
            </w:r>
          </w:p>
        </w:tc>
        <w:tc>
          <w:tcPr>
            <w:tcW w:w="0" w:type="auto"/>
          </w:tcPr>
          <w:p w14:paraId="56544788" w14:textId="77777777" w:rsidR="00F74486" w:rsidRDefault="008964ED">
            <w:pPr>
              <w:pStyle w:val="Compact"/>
              <w:jc w:val="center"/>
            </w:pPr>
            <w:r>
              <w:t>No</w:t>
            </w:r>
          </w:p>
        </w:tc>
        <w:tc>
          <w:tcPr>
            <w:tcW w:w="0" w:type="auto"/>
          </w:tcPr>
          <w:p w14:paraId="7A490DBC" w14:textId="77777777" w:rsidR="00F74486" w:rsidRDefault="008964ED">
            <w:pPr>
              <w:pStyle w:val="Compact"/>
              <w:jc w:val="center"/>
            </w:pPr>
            <w:r>
              <w:t>Yes</w:t>
            </w:r>
          </w:p>
        </w:tc>
        <w:tc>
          <w:tcPr>
            <w:tcW w:w="0" w:type="auto"/>
          </w:tcPr>
          <w:p w14:paraId="5FA0E3A0" w14:textId="77777777" w:rsidR="00F74486" w:rsidRDefault="008964ED">
            <w:pPr>
              <w:pStyle w:val="Compact"/>
              <w:jc w:val="center"/>
            </w:pPr>
            <w:r>
              <w:t>Yes</w:t>
            </w:r>
          </w:p>
        </w:tc>
        <w:tc>
          <w:tcPr>
            <w:tcW w:w="0" w:type="auto"/>
          </w:tcPr>
          <w:p w14:paraId="3A49548E" w14:textId="77777777" w:rsidR="00F74486" w:rsidRDefault="008964ED">
            <w:pPr>
              <w:pStyle w:val="Compact"/>
              <w:jc w:val="center"/>
            </w:pPr>
            <w:r>
              <w:t>14</w:t>
            </w:r>
          </w:p>
        </w:tc>
        <w:tc>
          <w:tcPr>
            <w:tcW w:w="0" w:type="auto"/>
          </w:tcPr>
          <w:p w14:paraId="2A3DA6DA" w14:textId="77777777" w:rsidR="00F74486" w:rsidRDefault="008964ED">
            <w:pPr>
              <w:pStyle w:val="Compact"/>
              <w:jc w:val="center"/>
            </w:pPr>
            <w:r>
              <w:t>-151 (17.7)</w:t>
            </w:r>
          </w:p>
        </w:tc>
      </w:tr>
      <w:tr w:rsidR="00F74486" w14:paraId="407A36A9" w14:textId="77777777">
        <w:tc>
          <w:tcPr>
            <w:tcW w:w="0" w:type="auto"/>
          </w:tcPr>
          <w:p w14:paraId="3FE9C461" w14:textId="77777777" w:rsidR="00F74486" w:rsidRDefault="008964ED">
            <w:pPr>
              <w:pStyle w:val="Compact"/>
            </w:pPr>
            <w:r>
              <w:t>Model 13</w:t>
            </w:r>
          </w:p>
        </w:tc>
        <w:tc>
          <w:tcPr>
            <w:tcW w:w="0" w:type="auto"/>
          </w:tcPr>
          <w:p w14:paraId="061F9296" w14:textId="77777777" w:rsidR="00F74486" w:rsidRDefault="008964ED">
            <w:pPr>
              <w:pStyle w:val="Compact"/>
              <w:jc w:val="center"/>
            </w:pPr>
            <w:r>
              <w:t>-0.35 (-0.87, to 0.19)</w:t>
            </w:r>
          </w:p>
        </w:tc>
        <w:tc>
          <w:tcPr>
            <w:tcW w:w="0" w:type="auto"/>
          </w:tcPr>
          <w:p w14:paraId="044733B3" w14:textId="77777777" w:rsidR="00F74486" w:rsidRDefault="008964ED">
            <w:pPr>
              <w:pStyle w:val="Compact"/>
              <w:jc w:val="center"/>
            </w:pPr>
            <w:r>
              <w:t>Yes</w:t>
            </w:r>
          </w:p>
        </w:tc>
        <w:tc>
          <w:tcPr>
            <w:tcW w:w="0" w:type="auto"/>
          </w:tcPr>
          <w:p w14:paraId="3A971E23" w14:textId="77777777" w:rsidR="00F74486" w:rsidRDefault="008964ED">
            <w:pPr>
              <w:pStyle w:val="Compact"/>
              <w:jc w:val="center"/>
            </w:pPr>
            <w:r>
              <w:t>Yes</w:t>
            </w:r>
          </w:p>
        </w:tc>
        <w:tc>
          <w:tcPr>
            <w:tcW w:w="0" w:type="auto"/>
          </w:tcPr>
          <w:p w14:paraId="526C02D3" w14:textId="77777777" w:rsidR="00F74486" w:rsidRDefault="008964ED">
            <w:pPr>
              <w:pStyle w:val="Compact"/>
              <w:jc w:val="center"/>
            </w:pPr>
            <w:r>
              <w:t>Yes</w:t>
            </w:r>
          </w:p>
        </w:tc>
        <w:tc>
          <w:tcPr>
            <w:tcW w:w="0" w:type="auto"/>
          </w:tcPr>
          <w:p w14:paraId="14B537E4" w14:textId="77777777" w:rsidR="00F74486" w:rsidRDefault="008964ED">
            <w:pPr>
              <w:pStyle w:val="Compact"/>
              <w:jc w:val="center"/>
            </w:pPr>
            <w:r>
              <w:t>Yes</w:t>
            </w:r>
          </w:p>
        </w:tc>
        <w:tc>
          <w:tcPr>
            <w:tcW w:w="0" w:type="auto"/>
          </w:tcPr>
          <w:p w14:paraId="072DD423" w14:textId="77777777" w:rsidR="00F74486" w:rsidRDefault="008964ED">
            <w:pPr>
              <w:pStyle w:val="Compact"/>
              <w:jc w:val="center"/>
            </w:pPr>
            <w:r>
              <w:t>23</w:t>
            </w:r>
          </w:p>
        </w:tc>
        <w:tc>
          <w:tcPr>
            <w:tcW w:w="0" w:type="auto"/>
          </w:tcPr>
          <w:p w14:paraId="042FFFEF" w14:textId="77777777" w:rsidR="00F74486" w:rsidRDefault="008964ED">
            <w:pPr>
              <w:pStyle w:val="Compact"/>
              <w:jc w:val="center"/>
            </w:pPr>
            <w:r>
              <w:t>-151 (16.2)</w:t>
            </w:r>
          </w:p>
        </w:tc>
      </w:tr>
      <w:tr w:rsidR="00F74486" w14:paraId="52F100C4" w14:textId="77777777">
        <w:tc>
          <w:tcPr>
            <w:tcW w:w="0" w:type="auto"/>
          </w:tcPr>
          <w:p w14:paraId="2B8FCC22" w14:textId="77777777" w:rsidR="00F74486" w:rsidRDefault="008964ED">
            <w:pPr>
              <w:pStyle w:val="Compact"/>
            </w:pPr>
            <w:r>
              <w:t>Model 6</w:t>
            </w:r>
          </w:p>
        </w:tc>
        <w:tc>
          <w:tcPr>
            <w:tcW w:w="0" w:type="auto"/>
          </w:tcPr>
          <w:p w14:paraId="46970CEB" w14:textId="77777777" w:rsidR="00F74486" w:rsidRDefault="008964ED">
            <w:pPr>
              <w:pStyle w:val="Compact"/>
              <w:jc w:val="center"/>
            </w:pPr>
            <w:r>
              <w:t>-0.34 (-0.79, to 0.11)</w:t>
            </w:r>
          </w:p>
        </w:tc>
        <w:tc>
          <w:tcPr>
            <w:tcW w:w="0" w:type="auto"/>
          </w:tcPr>
          <w:p w14:paraId="2BD761AC" w14:textId="77777777" w:rsidR="00F74486" w:rsidRDefault="008964ED">
            <w:pPr>
              <w:pStyle w:val="Compact"/>
              <w:jc w:val="center"/>
            </w:pPr>
            <w:r>
              <w:t>Yes</w:t>
            </w:r>
          </w:p>
        </w:tc>
        <w:tc>
          <w:tcPr>
            <w:tcW w:w="0" w:type="auto"/>
          </w:tcPr>
          <w:p w14:paraId="00CAD636" w14:textId="77777777" w:rsidR="00F74486" w:rsidRDefault="008964ED">
            <w:pPr>
              <w:pStyle w:val="Compact"/>
              <w:jc w:val="center"/>
            </w:pPr>
            <w:r>
              <w:t>No</w:t>
            </w:r>
          </w:p>
        </w:tc>
        <w:tc>
          <w:tcPr>
            <w:tcW w:w="0" w:type="auto"/>
          </w:tcPr>
          <w:p w14:paraId="0088771D" w14:textId="77777777" w:rsidR="00F74486" w:rsidRDefault="008964ED">
            <w:pPr>
              <w:pStyle w:val="Compact"/>
              <w:jc w:val="center"/>
            </w:pPr>
            <w:r>
              <w:t>Yes</w:t>
            </w:r>
          </w:p>
        </w:tc>
        <w:tc>
          <w:tcPr>
            <w:tcW w:w="0" w:type="auto"/>
          </w:tcPr>
          <w:p w14:paraId="0E4E4E6F" w14:textId="77777777" w:rsidR="00F74486" w:rsidRDefault="008964ED">
            <w:pPr>
              <w:pStyle w:val="Compact"/>
              <w:jc w:val="center"/>
            </w:pPr>
            <w:r>
              <w:t>Yes</w:t>
            </w:r>
          </w:p>
        </w:tc>
        <w:tc>
          <w:tcPr>
            <w:tcW w:w="0" w:type="auto"/>
          </w:tcPr>
          <w:p w14:paraId="6D23AE75" w14:textId="77777777" w:rsidR="00F74486" w:rsidRDefault="008964ED">
            <w:pPr>
              <w:pStyle w:val="Compact"/>
              <w:jc w:val="center"/>
            </w:pPr>
            <w:r>
              <w:t>13</w:t>
            </w:r>
          </w:p>
        </w:tc>
        <w:tc>
          <w:tcPr>
            <w:tcW w:w="0" w:type="auto"/>
          </w:tcPr>
          <w:p w14:paraId="0CE89D8E" w14:textId="77777777" w:rsidR="00F74486" w:rsidRDefault="008964ED">
            <w:pPr>
              <w:pStyle w:val="Compact"/>
              <w:jc w:val="center"/>
            </w:pPr>
            <w:r>
              <w:t>-151 (16.1)</w:t>
            </w:r>
          </w:p>
        </w:tc>
      </w:tr>
      <w:tr w:rsidR="00F74486" w14:paraId="39C1E7D9" w14:textId="77777777">
        <w:tc>
          <w:tcPr>
            <w:tcW w:w="0" w:type="auto"/>
          </w:tcPr>
          <w:p w14:paraId="02B7312E" w14:textId="77777777" w:rsidR="00F74486" w:rsidRDefault="008964ED">
            <w:pPr>
              <w:pStyle w:val="Compact"/>
            </w:pPr>
            <w:r>
              <w:t>Model 8</w:t>
            </w:r>
          </w:p>
        </w:tc>
        <w:tc>
          <w:tcPr>
            <w:tcW w:w="0" w:type="auto"/>
          </w:tcPr>
          <w:p w14:paraId="48E65A3F" w14:textId="77777777" w:rsidR="00F74486" w:rsidRDefault="008964ED">
            <w:pPr>
              <w:pStyle w:val="Compact"/>
              <w:jc w:val="center"/>
            </w:pPr>
            <w:r>
              <w:t>-0.32 (-0.84, to 0.21)</w:t>
            </w:r>
          </w:p>
        </w:tc>
        <w:tc>
          <w:tcPr>
            <w:tcW w:w="0" w:type="auto"/>
          </w:tcPr>
          <w:p w14:paraId="482106FE" w14:textId="77777777" w:rsidR="00F74486" w:rsidRDefault="008964ED">
            <w:pPr>
              <w:pStyle w:val="Compact"/>
              <w:jc w:val="center"/>
            </w:pPr>
            <w:r>
              <w:t>Yes</w:t>
            </w:r>
          </w:p>
        </w:tc>
        <w:tc>
          <w:tcPr>
            <w:tcW w:w="0" w:type="auto"/>
          </w:tcPr>
          <w:p w14:paraId="36162287" w14:textId="77777777" w:rsidR="00F74486" w:rsidRDefault="008964ED">
            <w:pPr>
              <w:pStyle w:val="Compact"/>
              <w:jc w:val="center"/>
            </w:pPr>
            <w:r>
              <w:t>No</w:t>
            </w:r>
          </w:p>
        </w:tc>
        <w:tc>
          <w:tcPr>
            <w:tcW w:w="0" w:type="auto"/>
          </w:tcPr>
          <w:p w14:paraId="0A37703C" w14:textId="77777777" w:rsidR="00F74486" w:rsidRDefault="008964ED">
            <w:pPr>
              <w:pStyle w:val="Compact"/>
              <w:jc w:val="center"/>
            </w:pPr>
            <w:r>
              <w:t>Yes</w:t>
            </w:r>
          </w:p>
        </w:tc>
        <w:tc>
          <w:tcPr>
            <w:tcW w:w="0" w:type="auto"/>
          </w:tcPr>
          <w:p w14:paraId="0BD96373" w14:textId="77777777" w:rsidR="00F74486" w:rsidRDefault="008964ED">
            <w:pPr>
              <w:pStyle w:val="Compact"/>
              <w:jc w:val="center"/>
            </w:pPr>
            <w:r>
              <w:t>Yes</w:t>
            </w:r>
          </w:p>
        </w:tc>
        <w:tc>
          <w:tcPr>
            <w:tcW w:w="0" w:type="auto"/>
          </w:tcPr>
          <w:p w14:paraId="2DC8E85A" w14:textId="77777777" w:rsidR="00F74486" w:rsidRDefault="008964ED">
            <w:pPr>
              <w:pStyle w:val="Compact"/>
              <w:jc w:val="center"/>
            </w:pPr>
            <w:r>
              <w:t>15</w:t>
            </w:r>
          </w:p>
        </w:tc>
        <w:tc>
          <w:tcPr>
            <w:tcW w:w="0" w:type="auto"/>
          </w:tcPr>
          <w:p w14:paraId="0F8699AB" w14:textId="77777777" w:rsidR="00F74486" w:rsidRDefault="008964ED">
            <w:pPr>
              <w:pStyle w:val="Compact"/>
              <w:jc w:val="center"/>
            </w:pPr>
            <w:r>
              <w:t>-151 (15.3)</w:t>
            </w:r>
          </w:p>
        </w:tc>
      </w:tr>
      <w:tr w:rsidR="00F74486" w14:paraId="1FA4C2A2" w14:textId="77777777">
        <w:tc>
          <w:tcPr>
            <w:tcW w:w="0" w:type="auto"/>
          </w:tcPr>
          <w:p w14:paraId="5EE8488C" w14:textId="77777777" w:rsidR="00F74486" w:rsidRDefault="008964ED">
            <w:pPr>
              <w:pStyle w:val="Compact"/>
            </w:pPr>
            <w:r>
              <w:t>Model 11</w:t>
            </w:r>
          </w:p>
        </w:tc>
        <w:tc>
          <w:tcPr>
            <w:tcW w:w="0" w:type="auto"/>
          </w:tcPr>
          <w:p w14:paraId="1033FF19" w14:textId="77777777" w:rsidR="00F74486" w:rsidRDefault="008964ED">
            <w:pPr>
              <w:pStyle w:val="Compact"/>
              <w:jc w:val="center"/>
            </w:pPr>
            <w:r>
              <w:t>-0.25 (-0.76, to 0.26)</w:t>
            </w:r>
          </w:p>
        </w:tc>
        <w:tc>
          <w:tcPr>
            <w:tcW w:w="0" w:type="auto"/>
          </w:tcPr>
          <w:p w14:paraId="35CE2C90" w14:textId="77777777" w:rsidR="00F74486" w:rsidRDefault="008964ED">
            <w:pPr>
              <w:pStyle w:val="Compact"/>
              <w:jc w:val="center"/>
            </w:pPr>
            <w:r>
              <w:t>Yes</w:t>
            </w:r>
          </w:p>
        </w:tc>
        <w:tc>
          <w:tcPr>
            <w:tcW w:w="0" w:type="auto"/>
          </w:tcPr>
          <w:p w14:paraId="419058EB" w14:textId="77777777" w:rsidR="00F74486" w:rsidRDefault="008964ED">
            <w:pPr>
              <w:pStyle w:val="Compact"/>
              <w:jc w:val="center"/>
            </w:pPr>
            <w:r>
              <w:t>Yes</w:t>
            </w:r>
          </w:p>
        </w:tc>
        <w:tc>
          <w:tcPr>
            <w:tcW w:w="0" w:type="auto"/>
          </w:tcPr>
          <w:p w14:paraId="59B00995" w14:textId="77777777" w:rsidR="00F74486" w:rsidRDefault="008964ED">
            <w:pPr>
              <w:pStyle w:val="Compact"/>
              <w:jc w:val="center"/>
            </w:pPr>
            <w:r>
              <w:t>No</w:t>
            </w:r>
          </w:p>
        </w:tc>
        <w:tc>
          <w:tcPr>
            <w:tcW w:w="0" w:type="auto"/>
          </w:tcPr>
          <w:p w14:paraId="516C8DA4" w14:textId="77777777" w:rsidR="00F74486" w:rsidRDefault="008964ED">
            <w:pPr>
              <w:pStyle w:val="Compact"/>
              <w:jc w:val="center"/>
            </w:pPr>
            <w:r>
              <w:t>Yes</w:t>
            </w:r>
          </w:p>
        </w:tc>
        <w:tc>
          <w:tcPr>
            <w:tcW w:w="0" w:type="auto"/>
          </w:tcPr>
          <w:p w14:paraId="4C82B7BA" w14:textId="77777777" w:rsidR="00F74486" w:rsidRDefault="008964ED">
            <w:pPr>
              <w:pStyle w:val="Compact"/>
              <w:jc w:val="center"/>
            </w:pPr>
            <w:r>
              <w:t>21</w:t>
            </w:r>
          </w:p>
        </w:tc>
        <w:tc>
          <w:tcPr>
            <w:tcW w:w="0" w:type="auto"/>
          </w:tcPr>
          <w:p w14:paraId="4DCF2AAB" w14:textId="77777777" w:rsidR="00F74486" w:rsidRDefault="008964ED">
            <w:pPr>
              <w:pStyle w:val="Compact"/>
              <w:jc w:val="center"/>
            </w:pPr>
            <w:r>
              <w:t>-150 (13.8)</w:t>
            </w:r>
          </w:p>
        </w:tc>
      </w:tr>
      <w:tr w:rsidR="00F74486" w14:paraId="3AA4421B" w14:textId="77777777">
        <w:tc>
          <w:tcPr>
            <w:tcW w:w="0" w:type="auto"/>
          </w:tcPr>
          <w:p w14:paraId="0ECB7288" w14:textId="77777777" w:rsidR="00F74486" w:rsidRDefault="008964ED">
            <w:pPr>
              <w:pStyle w:val="Compact"/>
            </w:pPr>
            <w:r>
              <w:t>Model 2</w:t>
            </w:r>
          </w:p>
        </w:tc>
        <w:tc>
          <w:tcPr>
            <w:tcW w:w="0" w:type="auto"/>
          </w:tcPr>
          <w:p w14:paraId="2DF58F4B" w14:textId="77777777" w:rsidR="00F74486" w:rsidRDefault="008964ED">
            <w:pPr>
              <w:pStyle w:val="Compact"/>
              <w:jc w:val="center"/>
            </w:pPr>
            <w:r>
              <w:t>-0.80 (-1.01, to -0.59)</w:t>
            </w:r>
          </w:p>
        </w:tc>
        <w:tc>
          <w:tcPr>
            <w:tcW w:w="0" w:type="auto"/>
          </w:tcPr>
          <w:p w14:paraId="4086F974" w14:textId="77777777" w:rsidR="00F74486" w:rsidRDefault="008964ED">
            <w:pPr>
              <w:pStyle w:val="Compact"/>
              <w:jc w:val="center"/>
            </w:pPr>
            <w:r>
              <w:t>Yes</w:t>
            </w:r>
          </w:p>
        </w:tc>
        <w:tc>
          <w:tcPr>
            <w:tcW w:w="0" w:type="auto"/>
          </w:tcPr>
          <w:p w14:paraId="151C9C61" w14:textId="77777777" w:rsidR="00F74486" w:rsidRDefault="008964ED">
            <w:pPr>
              <w:pStyle w:val="Compact"/>
              <w:jc w:val="center"/>
            </w:pPr>
            <w:r>
              <w:t>No</w:t>
            </w:r>
          </w:p>
        </w:tc>
        <w:tc>
          <w:tcPr>
            <w:tcW w:w="0" w:type="auto"/>
          </w:tcPr>
          <w:p w14:paraId="05A7E26D" w14:textId="77777777" w:rsidR="00F74486" w:rsidRDefault="008964ED">
            <w:pPr>
              <w:pStyle w:val="Compact"/>
              <w:jc w:val="center"/>
            </w:pPr>
            <w:r>
              <w:t>No</w:t>
            </w:r>
          </w:p>
        </w:tc>
        <w:tc>
          <w:tcPr>
            <w:tcW w:w="0" w:type="auto"/>
          </w:tcPr>
          <w:p w14:paraId="14A61105" w14:textId="77777777" w:rsidR="00F74486" w:rsidRDefault="008964ED">
            <w:pPr>
              <w:pStyle w:val="Compact"/>
              <w:jc w:val="center"/>
            </w:pPr>
            <w:r>
              <w:t>No</w:t>
            </w:r>
          </w:p>
        </w:tc>
        <w:tc>
          <w:tcPr>
            <w:tcW w:w="0" w:type="auto"/>
          </w:tcPr>
          <w:p w14:paraId="41E7A0BE" w14:textId="77777777" w:rsidR="00F74486" w:rsidRDefault="008964ED">
            <w:pPr>
              <w:pStyle w:val="Compact"/>
              <w:jc w:val="center"/>
            </w:pPr>
            <w:r>
              <w:t>7</w:t>
            </w:r>
          </w:p>
        </w:tc>
        <w:tc>
          <w:tcPr>
            <w:tcW w:w="0" w:type="auto"/>
          </w:tcPr>
          <w:p w14:paraId="6E0E6E24" w14:textId="77777777" w:rsidR="00F74486" w:rsidRDefault="008964ED">
            <w:pPr>
              <w:pStyle w:val="Compact"/>
              <w:jc w:val="center"/>
            </w:pPr>
            <w:r>
              <w:t>-150 (9.41)</w:t>
            </w:r>
          </w:p>
        </w:tc>
      </w:tr>
      <w:tr w:rsidR="00F74486" w14:paraId="20F06FCD" w14:textId="77777777">
        <w:tc>
          <w:tcPr>
            <w:tcW w:w="0" w:type="auto"/>
          </w:tcPr>
          <w:p w14:paraId="4A88D65B" w14:textId="77777777" w:rsidR="00F74486" w:rsidRDefault="008964ED">
            <w:pPr>
              <w:pStyle w:val="Compact"/>
            </w:pPr>
            <w:r>
              <w:t>Model 4</w:t>
            </w:r>
          </w:p>
        </w:tc>
        <w:tc>
          <w:tcPr>
            <w:tcW w:w="0" w:type="auto"/>
          </w:tcPr>
          <w:p w14:paraId="7E944502" w14:textId="77777777" w:rsidR="00F74486" w:rsidRDefault="008964ED">
            <w:pPr>
              <w:pStyle w:val="Compact"/>
              <w:jc w:val="center"/>
            </w:pPr>
            <w:r>
              <w:t>-0.29 (-0.72, to 0.15)</w:t>
            </w:r>
          </w:p>
        </w:tc>
        <w:tc>
          <w:tcPr>
            <w:tcW w:w="0" w:type="auto"/>
          </w:tcPr>
          <w:p w14:paraId="192869C5" w14:textId="77777777" w:rsidR="00F74486" w:rsidRDefault="008964ED">
            <w:pPr>
              <w:pStyle w:val="Compact"/>
              <w:jc w:val="center"/>
            </w:pPr>
            <w:r>
              <w:t>Yes</w:t>
            </w:r>
          </w:p>
        </w:tc>
        <w:tc>
          <w:tcPr>
            <w:tcW w:w="0" w:type="auto"/>
          </w:tcPr>
          <w:p w14:paraId="3E6E70C6" w14:textId="77777777" w:rsidR="00F74486" w:rsidRDefault="008964ED">
            <w:pPr>
              <w:pStyle w:val="Compact"/>
              <w:jc w:val="center"/>
            </w:pPr>
            <w:r>
              <w:t>No</w:t>
            </w:r>
          </w:p>
        </w:tc>
        <w:tc>
          <w:tcPr>
            <w:tcW w:w="0" w:type="auto"/>
          </w:tcPr>
          <w:p w14:paraId="2DE93D57" w14:textId="77777777" w:rsidR="00F74486" w:rsidRDefault="008964ED">
            <w:pPr>
              <w:pStyle w:val="Compact"/>
              <w:jc w:val="center"/>
            </w:pPr>
            <w:r>
              <w:t>No</w:t>
            </w:r>
          </w:p>
        </w:tc>
        <w:tc>
          <w:tcPr>
            <w:tcW w:w="0" w:type="auto"/>
          </w:tcPr>
          <w:p w14:paraId="67E2EB2D" w14:textId="77777777" w:rsidR="00F74486" w:rsidRDefault="008964ED">
            <w:pPr>
              <w:pStyle w:val="Compact"/>
              <w:jc w:val="center"/>
            </w:pPr>
            <w:r>
              <w:t>Yes</w:t>
            </w:r>
          </w:p>
        </w:tc>
        <w:tc>
          <w:tcPr>
            <w:tcW w:w="0" w:type="auto"/>
          </w:tcPr>
          <w:p w14:paraId="0764FC83" w14:textId="77777777" w:rsidR="00F74486" w:rsidRDefault="008964ED">
            <w:pPr>
              <w:pStyle w:val="Compact"/>
              <w:jc w:val="center"/>
            </w:pPr>
            <w:r>
              <w:t>10</w:t>
            </w:r>
          </w:p>
        </w:tc>
        <w:tc>
          <w:tcPr>
            <w:tcW w:w="0" w:type="auto"/>
          </w:tcPr>
          <w:p w14:paraId="4837D4ED" w14:textId="77777777" w:rsidR="00F74486" w:rsidRDefault="008964ED">
            <w:pPr>
              <w:pStyle w:val="Compact"/>
              <w:jc w:val="center"/>
            </w:pPr>
            <w:r>
              <w:t>-150 (12.5)</w:t>
            </w:r>
          </w:p>
        </w:tc>
      </w:tr>
      <w:tr w:rsidR="00F74486" w14:paraId="00CB6AD2" w14:textId="77777777">
        <w:tc>
          <w:tcPr>
            <w:tcW w:w="0" w:type="auto"/>
          </w:tcPr>
          <w:p w14:paraId="42FDCDEF" w14:textId="77777777" w:rsidR="00F74486" w:rsidRDefault="008964ED">
            <w:pPr>
              <w:pStyle w:val="Compact"/>
            </w:pPr>
            <w:r>
              <w:t>Model 5</w:t>
            </w:r>
          </w:p>
        </w:tc>
        <w:tc>
          <w:tcPr>
            <w:tcW w:w="0" w:type="auto"/>
          </w:tcPr>
          <w:p w14:paraId="1DD22816" w14:textId="77777777" w:rsidR="00F74486" w:rsidRDefault="008964ED">
            <w:pPr>
              <w:pStyle w:val="Compact"/>
              <w:jc w:val="center"/>
            </w:pPr>
            <w:r>
              <w:t>-0.35 (-0.80, to 0.10)</w:t>
            </w:r>
          </w:p>
        </w:tc>
        <w:tc>
          <w:tcPr>
            <w:tcW w:w="0" w:type="auto"/>
          </w:tcPr>
          <w:p w14:paraId="22589ACD" w14:textId="77777777" w:rsidR="00F74486" w:rsidRDefault="008964ED">
            <w:pPr>
              <w:pStyle w:val="Compact"/>
              <w:jc w:val="center"/>
            </w:pPr>
            <w:r>
              <w:t>Yes</w:t>
            </w:r>
          </w:p>
        </w:tc>
        <w:tc>
          <w:tcPr>
            <w:tcW w:w="0" w:type="auto"/>
          </w:tcPr>
          <w:p w14:paraId="3C3776E6" w14:textId="77777777" w:rsidR="00F74486" w:rsidRDefault="008964ED">
            <w:pPr>
              <w:pStyle w:val="Compact"/>
              <w:jc w:val="center"/>
            </w:pPr>
            <w:r>
              <w:t>No</w:t>
            </w:r>
          </w:p>
        </w:tc>
        <w:tc>
          <w:tcPr>
            <w:tcW w:w="0" w:type="auto"/>
          </w:tcPr>
          <w:p w14:paraId="36D939E2" w14:textId="77777777" w:rsidR="00F74486" w:rsidRDefault="008964ED">
            <w:pPr>
              <w:pStyle w:val="Compact"/>
              <w:jc w:val="center"/>
            </w:pPr>
            <w:r>
              <w:t>Yes</w:t>
            </w:r>
          </w:p>
        </w:tc>
        <w:tc>
          <w:tcPr>
            <w:tcW w:w="0" w:type="auto"/>
          </w:tcPr>
          <w:p w14:paraId="468E7542" w14:textId="77777777" w:rsidR="00F74486" w:rsidRDefault="008964ED">
            <w:pPr>
              <w:pStyle w:val="Compact"/>
              <w:jc w:val="center"/>
            </w:pPr>
            <w:r>
              <w:t>Yes</w:t>
            </w:r>
          </w:p>
        </w:tc>
        <w:tc>
          <w:tcPr>
            <w:tcW w:w="0" w:type="auto"/>
          </w:tcPr>
          <w:p w14:paraId="62353CDE" w14:textId="77777777" w:rsidR="00F74486" w:rsidRDefault="008964ED">
            <w:pPr>
              <w:pStyle w:val="Compact"/>
              <w:jc w:val="center"/>
            </w:pPr>
            <w:r>
              <w:t>11</w:t>
            </w:r>
          </w:p>
        </w:tc>
        <w:tc>
          <w:tcPr>
            <w:tcW w:w="0" w:type="auto"/>
          </w:tcPr>
          <w:p w14:paraId="2F6CECF6" w14:textId="77777777" w:rsidR="00F74486" w:rsidRDefault="008964ED">
            <w:pPr>
              <w:pStyle w:val="Compact"/>
              <w:jc w:val="center"/>
            </w:pPr>
            <w:r>
              <w:t>-149 (13.5)</w:t>
            </w:r>
          </w:p>
        </w:tc>
      </w:tr>
      <w:tr w:rsidR="00F74486" w14:paraId="7E78AE90" w14:textId="77777777">
        <w:tc>
          <w:tcPr>
            <w:tcW w:w="0" w:type="auto"/>
          </w:tcPr>
          <w:p w14:paraId="16CD986A" w14:textId="77777777" w:rsidR="00F74486" w:rsidRDefault="008964ED">
            <w:pPr>
              <w:pStyle w:val="Compact"/>
            </w:pPr>
            <w:r>
              <w:t>Model 3</w:t>
            </w:r>
          </w:p>
        </w:tc>
        <w:tc>
          <w:tcPr>
            <w:tcW w:w="0" w:type="auto"/>
          </w:tcPr>
          <w:p w14:paraId="685CCEBB" w14:textId="77777777" w:rsidR="00F74486" w:rsidRDefault="008964ED">
            <w:pPr>
              <w:pStyle w:val="Compact"/>
              <w:jc w:val="center"/>
            </w:pPr>
            <w:r>
              <w:t>-0.24 (-0.67, to 0.19)</w:t>
            </w:r>
          </w:p>
        </w:tc>
        <w:tc>
          <w:tcPr>
            <w:tcW w:w="0" w:type="auto"/>
          </w:tcPr>
          <w:p w14:paraId="4B73D86D" w14:textId="77777777" w:rsidR="00F74486" w:rsidRDefault="008964ED">
            <w:pPr>
              <w:pStyle w:val="Compact"/>
              <w:jc w:val="center"/>
            </w:pPr>
            <w:r>
              <w:t>Yes</w:t>
            </w:r>
          </w:p>
        </w:tc>
        <w:tc>
          <w:tcPr>
            <w:tcW w:w="0" w:type="auto"/>
          </w:tcPr>
          <w:p w14:paraId="3642B2C0" w14:textId="77777777" w:rsidR="00F74486" w:rsidRDefault="008964ED">
            <w:pPr>
              <w:pStyle w:val="Compact"/>
              <w:jc w:val="center"/>
            </w:pPr>
            <w:r>
              <w:t>No</w:t>
            </w:r>
          </w:p>
        </w:tc>
        <w:tc>
          <w:tcPr>
            <w:tcW w:w="0" w:type="auto"/>
          </w:tcPr>
          <w:p w14:paraId="37D051D5" w14:textId="77777777" w:rsidR="00F74486" w:rsidRDefault="008964ED">
            <w:pPr>
              <w:pStyle w:val="Compact"/>
              <w:jc w:val="center"/>
            </w:pPr>
            <w:r>
              <w:t>No</w:t>
            </w:r>
          </w:p>
        </w:tc>
        <w:tc>
          <w:tcPr>
            <w:tcW w:w="0" w:type="auto"/>
          </w:tcPr>
          <w:p w14:paraId="4DE0294D" w14:textId="77777777" w:rsidR="00F74486" w:rsidRDefault="008964ED">
            <w:pPr>
              <w:pStyle w:val="Compact"/>
              <w:jc w:val="center"/>
            </w:pPr>
            <w:r>
              <w:t>Yes</w:t>
            </w:r>
          </w:p>
        </w:tc>
        <w:tc>
          <w:tcPr>
            <w:tcW w:w="0" w:type="auto"/>
          </w:tcPr>
          <w:p w14:paraId="2B9D4F68" w14:textId="77777777" w:rsidR="00F74486" w:rsidRDefault="008964ED">
            <w:pPr>
              <w:pStyle w:val="Compact"/>
              <w:jc w:val="center"/>
            </w:pPr>
            <w:r>
              <w:t>9</w:t>
            </w:r>
          </w:p>
        </w:tc>
        <w:tc>
          <w:tcPr>
            <w:tcW w:w="0" w:type="auto"/>
          </w:tcPr>
          <w:p w14:paraId="4CFC19DA" w14:textId="77777777" w:rsidR="00F74486" w:rsidRDefault="008964ED">
            <w:pPr>
              <w:pStyle w:val="Compact"/>
              <w:jc w:val="center"/>
            </w:pPr>
            <w:r>
              <w:t>-149 (10.8)</w:t>
            </w:r>
          </w:p>
        </w:tc>
      </w:tr>
    </w:tbl>
    <w:p w14:paraId="76CDB981" w14:textId="77777777" w:rsidR="00F74486" w:rsidRDefault="008964ED">
      <w:pPr>
        <w:pStyle w:val="Bibliography"/>
      </w:pPr>
      <w:r>
        <w:t xml:space="preserve">1 The World Health Organization. BCG Vaccine. </w:t>
      </w:r>
      <w:r>
        <w:rPr>
          <w:i/>
        </w:rPr>
        <w:t>Wkly Epidemiol Rec</w:t>
      </w:r>
      <w:r>
        <w:t xml:space="preserve"> 2004;</w:t>
      </w:r>
      <w:r>
        <w:rPr>
          <w:b/>
        </w:rPr>
        <w:t>79</w:t>
      </w:r>
      <w:r>
        <w:t>:27–48.</w:t>
      </w:r>
    </w:p>
    <w:p w14:paraId="4D5278FB" w14:textId="77777777" w:rsidR="00F74486" w:rsidRDefault="008964ED">
      <w:pPr>
        <w:pStyle w:val="Bibliography"/>
      </w:pPr>
      <w:r>
        <w:t xml:space="preserve">2 Zwerling A, Behr MA, Verma A </w:t>
      </w:r>
      <w:r>
        <w:rPr>
          <w:i/>
        </w:rPr>
        <w:t>et al.</w:t>
      </w:r>
      <w:r>
        <w:t xml:space="preserve"> The BCG World Atlas: a database of global BCG vaccination policies and practices. </w:t>
      </w:r>
      <w:r>
        <w:rPr>
          <w:i/>
        </w:rPr>
        <w:t>PLoS Med</w:t>
      </w:r>
      <w:r>
        <w:t xml:space="preserve"> 2011;</w:t>
      </w:r>
      <w:r>
        <w:rPr>
          <w:b/>
        </w:rPr>
        <w:t>8</w:t>
      </w:r>
      <w:r>
        <w:t>:e1001012. doi:</w:t>
      </w:r>
      <w:hyperlink r:id="rId9">
        <w:r>
          <w:rPr>
            <w:rStyle w:val="Hyperlink"/>
          </w:rPr>
          <w:t>10.1371/journal.pmed.1001012</w:t>
        </w:r>
      </w:hyperlink>
    </w:p>
    <w:p w14:paraId="6FF81D68" w14:textId="77777777" w:rsidR="00F74486" w:rsidRDefault="008964ED">
      <w:pPr>
        <w:pStyle w:val="Bibliography"/>
      </w:pPr>
      <w:r>
        <w:t xml:space="preserve">3 Mangtani P, Abubakar I, Ariti C </w:t>
      </w:r>
      <w:r>
        <w:rPr>
          <w:i/>
        </w:rPr>
        <w:t>et al.</w:t>
      </w:r>
      <w:r>
        <w:t xml:space="preserve"> Protection by BCG Vaccine Against Tuberculosis: A Systematic Review of Randomized Controlled</w:t>
      </w:r>
      <w:r>
        <w:t xml:space="preserve"> Trials. </w:t>
      </w:r>
      <w:r>
        <w:rPr>
          <w:i/>
        </w:rPr>
        <w:t>Clin Infect Dis</w:t>
      </w:r>
      <w:r>
        <w:t xml:space="preserve"> 2014;</w:t>
      </w:r>
      <w:r>
        <w:rPr>
          <w:b/>
        </w:rPr>
        <w:t>58</w:t>
      </w:r>
      <w:r>
        <w:t>:470–80. doi:</w:t>
      </w:r>
      <w:hyperlink r:id="rId10">
        <w:r>
          <w:rPr>
            <w:rStyle w:val="Hyperlink"/>
          </w:rPr>
          <w:t>10.1093/cid/cit790</w:t>
        </w:r>
      </w:hyperlink>
    </w:p>
    <w:p w14:paraId="1C8D1206" w14:textId="77777777" w:rsidR="00F74486" w:rsidRDefault="008964ED">
      <w:pPr>
        <w:pStyle w:val="Bibliography"/>
      </w:pPr>
      <w:r>
        <w:t xml:space="preserve">4 Rodrigues LC, Diwan VK, Wheeler JG. Protective effect of BCG against tuberculous meningitis and miliary tuberculosis: a meta-analysis. </w:t>
      </w:r>
      <w:r>
        <w:rPr>
          <w:i/>
        </w:rPr>
        <w:t>I</w:t>
      </w:r>
      <w:r>
        <w:rPr>
          <w:i/>
        </w:rPr>
        <w:t>nt J Epidemiol</w:t>
      </w:r>
      <w:r>
        <w:t xml:space="preserve"> 1993;</w:t>
      </w:r>
      <w:r>
        <w:rPr>
          <w:b/>
        </w:rPr>
        <w:t>22</w:t>
      </w:r>
      <w:r>
        <w:t>:1154–8.</w:t>
      </w:r>
      <w:hyperlink r:id="rId11">
        <w:r>
          <w:rPr>
            <w:rStyle w:val="Hyperlink"/>
          </w:rPr>
          <w:t>http://www.ncbi.nlm.nih.gov/pubmed/8144299</w:t>
        </w:r>
      </w:hyperlink>
    </w:p>
    <w:p w14:paraId="6AF931BD" w14:textId="77777777" w:rsidR="00F74486" w:rsidRDefault="008964ED">
      <w:pPr>
        <w:pStyle w:val="Bibliography"/>
      </w:pPr>
      <w:r>
        <w:lastRenderedPageBreak/>
        <w:t xml:space="preserve">5 Colditz GA, Brewer TF, Berkey CS </w:t>
      </w:r>
      <w:r>
        <w:rPr>
          <w:i/>
        </w:rPr>
        <w:t>et al.</w:t>
      </w:r>
      <w:r>
        <w:t xml:space="preserve"> Efficacy of BCG Vaccine in the Prevention of Tuberculosis. </w:t>
      </w:r>
      <w:r>
        <w:rPr>
          <w:i/>
        </w:rPr>
        <w:t>JAMA</w:t>
      </w:r>
      <w:r>
        <w:t xml:space="preserve"> 1994;</w:t>
      </w:r>
      <w:r>
        <w:rPr>
          <w:b/>
        </w:rPr>
        <w:t>271</w:t>
      </w:r>
      <w:r>
        <w:t>:698. d</w:t>
      </w:r>
      <w:r>
        <w:t>oi:</w:t>
      </w:r>
      <w:hyperlink r:id="rId12">
        <w:r>
          <w:rPr>
            <w:rStyle w:val="Hyperlink"/>
          </w:rPr>
          <w:t>10.1001/jama.1994.03510330076038</w:t>
        </w:r>
      </w:hyperlink>
    </w:p>
    <w:p w14:paraId="74F61D63" w14:textId="77777777" w:rsidR="00F74486" w:rsidRDefault="008964ED">
      <w:pPr>
        <w:pStyle w:val="Bibliography"/>
      </w:pPr>
      <w:r>
        <w:t xml:space="preserve">6 PHE. Tuberculosis in England 2016 Report (presenting data to end of 2015). </w:t>
      </w:r>
      <w:r>
        <w:rPr>
          <w:i/>
        </w:rPr>
        <w:t>Public Heal Engl</w:t>
      </w:r>
      <w:r>
        <w:t xml:space="preserve"> 2016;</w:t>
      </w:r>
      <w:r>
        <w:rPr>
          <w:b/>
        </w:rPr>
        <w:t>Version 1.</w:t>
      </w:r>
      <w:r>
        <w:t>:173.</w:t>
      </w:r>
    </w:p>
    <w:p w14:paraId="20D25760" w14:textId="77777777" w:rsidR="00F74486" w:rsidRDefault="008964ED">
      <w:pPr>
        <w:pStyle w:val="Bibliography"/>
      </w:pPr>
      <w:r>
        <w:t xml:space="preserve">7 Stevenson M, Nunes T, Heuer C </w:t>
      </w:r>
      <w:r>
        <w:rPr>
          <w:i/>
        </w:rPr>
        <w:t>et al</w:t>
      </w:r>
      <w:r>
        <w:rPr>
          <w:i/>
        </w:rPr>
        <w:t>.</w:t>
      </w:r>
      <w:r>
        <w:t xml:space="preserve"> epiR: Tools for the Analysis of Epidemiological Data. 2017.</w:t>
      </w:r>
      <w:hyperlink r:id="rId13">
        <w:r>
          <w:rPr>
            <w:rStyle w:val="Hyperlink"/>
          </w:rPr>
          <w:t>https://cran.r-project.org/package=epiR</w:t>
        </w:r>
      </w:hyperlink>
    </w:p>
    <w:p w14:paraId="406ED3D1" w14:textId="77777777" w:rsidR="00F74486" w:rsidRDefault="008964ED">
      <w:pPr>
        <w:pStyle w:val="Bibliography"/>
      </w:pPr>
      <w:r>
        <w:t xml:space="preserve">8 Bürkner P-C. {brms}: An {R} Package for Bayesian Multilevel Models using Stan. </w:t>
      </w:r>
      <w:r>
        <w:rPr>
          <w:i/>
        </w:rPr>
        <w:t>J Stat Softw</w:t>
      </w:r>
    </w:p>
    <w:p w14:paraId="76C0DFE0" w14:textId="77777777" w:rsidR="00F74486" w:rsidRDefault="008964ED">
      <w:pPr>
        <w:pStyle w:val="Bibliography"/>
      </w:pPr>
      <w:r>
        <w:t xml:space="preserve">9 </w:t>
      </w:r>
      <w:r>
        <w:t>Stan Development Team. {RStan}: the {R} interface to {Stan}. 2016.</w:t>
      </w:r>
      <w:hyperlink r:id="rId14">
        <w:r>
          <w:rPr>
            <w:rStyle w:val="Hyperlink"/>
          </w:rPr>
          <w:t>http://mc-stan.org/</w:t>
        </w:r>
      </w:hyperlink>
    </w:p>
    <w:p w14:paraId="6059843E" w14:textId="77777777" w:rsidR="00F74486" w:rsidRDefault="008964ED">
      <w:pPr>
        <w:pStyle w:val="Bibliography"/>
      </w:pPr>
      <w:r>
        <w:t xml:space="preserve">10 Vehtari A, Gelman A, Gabry J. Practical Bayesian model evaluation using leave-one-out cross-validation and WAIC. </w:t>
      </w:r>
      <w:r>
        <w:rPr>
          <w:i/>
        </w:rPr>
        <w:t>Stat Comput</w:t>
      </w:r>
      <w:r>
        <w:t xml:space="preserve"> </w:t>
      </w:r>
      <w:r>
        <w:t>2016;1–20. doi:</w:t>
      </w:r>
      <w:hyperlink r:id="rId15">
        <w:r>
          <w:rPr>
            <w:rStyle w:val="Hyperlink"/>
          </w:rPr>
          <w:t>10.1007/s11222-016-9696-4</w:t>
        </w:r>
      </w:hyperlink>
    </w:p>
    <w:sectPr w:rsidR="00F74486" w:rsidSect="00037CFA">
      <w:headerReference w:type="default" r:id="rId16"/>
      <w:footerReference w:type="even" r:id="rId17"/>
      <w:footerReference w:type="default" r:id="rId1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F91CB" w14:textId="77777777" w:rsidR="008964ED" w:rsidRDefault="008964ED">
      <w:pPr>
        <w:spacing w:after="0"/>
      </w:pPr>
      <w:r>
        <w:separator/>
      </w:r>
    </w:p>
  </w:endnote>
  <w:endnote w:type="continuationSeparator" w:id="0">
    <w:p w14:paraId="5DBBBEF5" w14:textId="77777777" w:rsidR="008964ED" w:rsidRDefault="008964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A9511" w14:textId="77777777" w:rsidR="00EA7E2A" w:rsidRDefault="008964ED"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58718" w14:textId="77777777" w:rsidR="00EA7E2A" w:rsidRDefault="008964ED" w:rsidP="00037C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BECE7" w14:textId="77777777" w:rsidR="00EA7E2A" w:rsidRDefault="008964ED" w:rsidP="00037CF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353D">
      <w:rPr>
        <w:rStyle w:val="PageNumber"/>
        <w:noProof/>
      </w:rPr>
      <w:t>16</w:t>
    </w:r>
    <w:r>
      <w:rPr>
        <w:rStyle w:val="PageNumber"/>
      </w:rPr>
      <w:fldChar w:fldCharType="end"/>
    </w:r>
  </w:p>
  <w:p w14:paraId="415C4EE2" w14:textId="77777777" w:rsidR="00EA7E2A" w:rsidRDefault="008964ED" w:rsidP="00037C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35B1A6" w14:textId="77777777" w:rsidR="008964ED" w:rsidRDefault="008964ED">
      <w:r>
        <w:separator/>
      </w:r>
    </w:p>
  </w:footnote>
  <w:footnote w:type="continuationSeparator" w:id="0">
    <w:p w14:paraId="0A410A42" w14:textId="77777777" w:rsidR="008964ED" w:rsidRDefault="008964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B3F36" w14:textId="77777777" w:rsidR="00EA7E2A" w:rsidRDefault="008964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4740F86"/>
    <w:multiLevelType w:val="multilevel"/>
    <w:tmpl w:val="B52276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nsid w:val="FFFFFF7C"/>
    <w:multiLevelType w:val="singleLevel"/>
    <w:tmpl w:val="78FA91C4"/>
    <w:lvl w:ilvl="0">
      <w:start w:val="1"/>
      <w:numFmt w:val="decimal"/>
      <w:lvlText w:val="%1."/>
      <w:lvlJc w:val="left"/>
      <w:pPr>
        <w:tabs>
          <w:tab w:val="num" w:pos="1800"/>
        </w:tabs>
        <w:ind w:left="1800" w:hanging="360"/>
      </w:pPr>
    </w:lvl>
  </w:abstractNum>
  <w:abstractNum w:abstractNumId="7">
    <w:nsid w:val="FFFFFF7D"/>
    <w:multiLevelType w:val="singleLevel"/>
    <w:tmpl w:val="A56A55D0"/>
    <w:lvl w:ilvl="0">
      <w:start w:val="1"/>
      <w:numFmt w:val="decimal"/>
      <w:lvlText w:val="%1."/>
      <w:lvlJc w:val="left"/>
      <w:pPr>
        <w:tabs>
          <w:tab w:val="num" w:pos="1440"/>
        </w:tabs>
        <w:ind w:left="1440" w:hanging="360"/>
      </w:pPr>
    </w:lvl>
  </w:abstractNum>
  <w:abstractNum w:abstractNumId="8">
    <w:nsid w:val="FFFFFF7E"/>
    <w:multiLevelType w:val="singleLevel"/>
    <w:tmpl w:val="92FC392C"/>
    <w:lvl w:ilvl="0">
      <w:start w:val="1"/>
      <w:numFmt w:val="decimal"/>
      <w:lvlText w:val="%1."/>
      <w:lvlJc w:val="left"/>
      <w:pPr>
        <w:tabs>
          <w:tab w:val="num" w:pos="1080"/>
        </w:tabs>
        <w:ind w:left="1080" w:hanging="360"/>
      </w:pPr>
    </w:lvl>
  </w:abstractNum>
  <w:abstractNum w:abstractNumId="9">
    <w:nsid w:val="FFFFFF7F"/>
    <w:multiLevelType w:val="singleLevel"/>
    <w:tmpl w:val="9C168E7C"/>
    <w:lvl w:ilvl="0">
      <w:start w:val="1"/>
      <w:numFmt w:val="decimal"/>
      <w:lvlText w:val="%1."/>
      <w:lvlJc w:val="left"/>
      <w:pPr>
        <w:tabs>
          <w:tab w:val="num" w:pos="720"/>
        </w:tabs>
        <w:ind w:left="720" w:hanging="360"/>
      </w:pPr>
    </w:lvl>
  </w:abstractNum>
  <w:abstractNum w:abstractNumId="1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1">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2">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3">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4">
    <w:nsid w:val="FFFFFF88"/>
    <w:multiLevelType w:val="singleLevel"/>
    <w:tmpl w:val="A4FE4DF0"/>
    <w:lvl w:ilvl="0">
      <w:start w:val="1"/>
      <w:numFmt w:val="decimal"/>
      <w:lvlText w:val="%1."/>
      <w:lvlJc w:val="left"/>
      <w:pPr>
        <w:tabs>
          <w:tab w:val="num" w:pos="360"/>
        </w:tabs>
        <w:ind w:left="360" w:hanging="360"/>
      </w:pPr>
    </w:lvl>
  </w:abstractNum>
  <w:abstractNum w:abstractNumId="15">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6">
    <w:nsid w:val="42636769"/>
    <w:multiLevelType w:val="multilevel"/>
    <w:tmpl w:val="5CB045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1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7"/>
  </w:num>
  <w:num w:numId="13">
    <w:abstractNumId w:val="8"/>
  </w:num>
  <w:num w:numId="14">
    <w:abstractNumId w:val="9"/>
  </w:num>
  <w:num w:numId="15">
    <w:abstractNumId w:val="14"/>
  </w:num>
  <w:num w:numId="16">
    <w:abstractNumId w:val="10"/>
  </w:num>
  <w:num w:numId="17">
    <w:abstractNumId w:val="11"/>
  </w:num>
  <w:num w:numId="18">
    <w:abstractNumId w:val="12"/>
  </w:num>
  <w:num w:numId="19">
    <w:abstractNumId w:val="13"/>
  </w:num>
  <w:num w:numId="20">
    <w:abstractNumId w:val="15"/>
  </w:num>
  <w:num w:numId="21">
    <w:abstractNumId w:val="17"/>
  </w:num>
  <w:num w:numId="22">
    <w:abstractNumId w:val="19"/>
  </w:num>
  <w:num w:numId="23">
    <w:abstractNumId w:val="1"/>
  </w:num>
  <w:num w:numId="24">
    <w:abstractNumId w:val="20"/>
  </w:num>
  <w:num w:numId="25">
    <w:abstractNumId w:val="3"/>
  </w:num>
  <w:num w:numId="26">
    <w:abstractNumId w:val="21"/>
  </w:num>
  <w:num w:numId="27">
    <w:abstractNumId w:val="2"/>
  </w:num>
  <w:num w:numId="28">
    <w:abstractNumId w:val="16"/>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964ED"/>
    <w:rsid w:val="008D6863"/>
    <w:rsid w:val="00AF353D"/>
    <w:rsid w:val="00B86B75"/>
    <w:rsid w:val="00BC48D5"/>
    <w:rsid w:val="00C36279"/>
    <w:rsid w:val="00E315A3"/>
    <w:rsid w:val="00F74486"/>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1E29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200B"/>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uiPriority w:val="9"/>
    <w:unhideWhenUsed/>
    <w:qFormat/>
    <w:rsid w:val="00FE3304"/>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653357"/>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3A0C30"/>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653357"/>
    <w:pPr>
      <w:spacing w:before="36" w:after="36"/>
    </w:pPr>
    <w:rPr>
      <w:rFonts w:ascii="Times New Roman" w:hAnsi="Times New Roman"/>
    </w:rPr>
  </w:style>
  <w:style w:type="paragraph" w:styleId="Title">
    <w:name w:val="Title"/>
    <w:basedOn w:val="Normal"/>
    <w:next w:val="BodyText"/>
    <w:qFormat/>
    <w:rsid w:val="00FE3304"/>
    <w:pPr>
      <w:keepNext/>
      <w:keepLines/>
      <w:spacing w:before="480" w:after="240"/>
    </w:pPr>
    <w:rPr>
      <w:rFonts w:ascii="Times New Roman" w:eastAsiaTheme="majorEastAsia" w:hAnsi="Times New Roman" w:cstheme="majorBidi"/>
      <w:b/>
      <w:bCs/>
      <w:color w:val="000000" w:themeColor="text1"/>
      <w:sz w:val="2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E3304"/>
    <w:pPr>
      <w:keepNext/>
      <w:keepLines/>
    </w:pPr>
  </w:style>
  <w:style w:type="paragraph" w:styleId="Date">
    <w:name w:val="Date"/>
    <w:next w:val="BodyText"/>
    <w:qFormat/>
    <w:rsid w:val="00FE3304"/>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PlainTable21">
    <w:name w:val="Plain Table 21"/>
    <w:basedOn w:val="TableNormal"/>
    <w:rsid w:val="00F3633D"/>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F3633D"/>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F3633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rsid w:val="00F3633D"/>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F3633D"/>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Footer">
    <w:name w:val="footer"/>
    <w:basedOn w:val="Normal"/>
    <w:link w:val="FooterChar"/>
    <w:unhideWhenUsed/>
    <w:rsid w:val="00653357"/>
    <w:pPr>
      <w:tabs>
        <w:tab w:val="center" w:pos="4513"/>
        <w:tab w:val="right" w:pos="9026"/>
      </w:tabs>
      <w:spacing w:after="0"/>
    </w:pPr>
  </w:style>
  <w:style w:type="character" w:customStyle="1" w:styleId="BodyTextChar">
    <w:name w:val="Body Text Char"/>
    <w:basedOn w:val="DefaultParagraphFont"/>
    <w:link w:val="BodyText"/>
    <w:rsid w:val="00653357"/>
  </w:style>
  <w:style w:type="character" w:customStyle="1" w:styleId="FooterChar">
    <w:name w:val="Footer Char"/>
    <w:basedOn w:val="DefaultParagraphFont"/>
    <w:link w:val="Footer"/>
    <w:rsid w:val="00653357"/>
  </w:style>
  <w:style w:type="character" w:styleId="PageNumber">
    <w:name w:val="page number"/>
    <w:basedOn w:val="DefaultParagraphFont"/>
    <w:semiHidden/>
    <w:unhideWhenUsed/>
    <w:rsid w:val="00653357"/>
  </w:style>
  <w:style w:type="character" w:styleId="FollowedHyperlink">
    <w:name w:val="FollowedHyperlink"/>
    <w:basedOn w:val="DefaultParagraphFont"/>
    <w:semiHidden/>
    <w:unhideWhenUsed/>
    <w:rsid w:val="00C129DE"/>
    <w:rPr>
      <w:color w:val="800080" w:themeColor="followedHyperlink"/>
      <w:u w:val="single"/>
    </w:rPr>
  </w:style>
  <w:style w:type="paragraph" w:styleId="Header">
    <w:name w:val="header"/>
    <w:basedOn w:val="Normal"/>
    <w:link w:val="HeaderChar"/>
    <w:unhideWhenUsed/>
    <w:rsid w:val="0033200B"/>
    <w:pPr>
      <w:tabs>
        <w:tab w:val="center" w:pos="4513"/>
        <w:tab w:val="right" w:pos="9026"/>
      </w:tabs>
      <w:spacing w:after="0"/>
    </w:pPr>
  </w:style>
  <w:style w:type="character" w:customStyle="1" w:styleId="HeaderChar">
    <w:name w:val="Header Char"/>
    <w:basedOn w:val="DefaultParagraphFont"/>
    <w:link w:val="Header"/>
    <w:rsid w:val="0033200B"/>
  </w:style>
  <w:style w:type="paragraph" w:styleId="BalloonText">
    <w:name w:val="Balloon Text"/>
    <w:basedOn w:val="Normal"/>
    <w:link w:val="BalloonTextChar"/>
    <w:semiHidden/>
    <w:unhideWhenUsed/>
    <w:rsid w:val="008B1CE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C374E6"/>
    <w:rPr>
      <w:rFonts w:ascii="Lucida Grande" w:hAnsi="Lucida Grande" w:cs="Lucida Grande"/>
      <w:sz w:val="18"/>
      <w:szCs w:val="18"/>
    </w:rPr>
  </w:style>
  <w:style w:type="character" w:styleId="CommentReference">
    <w:name w:val="annotation reference"/>
    <w:basedOn w:val="DefaultParagraphFont"/>
    <w:semiHidden/>
    <w:unhideWhenUsed/>
    <w:rsid w:val="008B1CE3"/>
    <w:rPr>
      <w:sz w:val="18"/>
      <w:szCs w:val="18"/>
    </w:rPr>
  </w:style>
  <w:style w:type="paragraph" w:styleId="CommentText">
    <w:name w:val="annotation text"/>
    <w:basedOn w:val="Normal"/>
    <w:link w:val="CommentTextChar"/>
    <w:semiHidden/>
    <w:unhideWhenUsed/>
    <w:rsid w:val="008B1CE3"/>
  </w:style>
  <w:style w:type="character" w:customStyle="1" w:styleId="CommentTextChar">
    <w:name w:val="Comment Text Char"/>
    <w:basedOn w:val="DefaultParagraphFont"/>
    <w:link w:val="CommentText"/>
    <w:semiHidden/>
    <w:rsid w:val="00C374E6"/>
  </w:style>
  <w:style w:type="paragraph" w:styleId="CommentSubject">
    <w:name w:val="annotation subject"/>
    <w:basedOn w:val="CommentText"/>
    <w:next w:val="CommentText"/>
    <w:link w:val="CommentSubjectChar"/>
    <w:semiHidden/>
    <w:unhideWhenUsed/>
    <w:rsid w:val="008B1CE3"/>
    <w:rPr>
      <w:b/>
      <w:bCs/>
      <w:sz w:val="20"/>
      <w:szCs w:val="20"/>
    </w:rPr>
  </w:style>
  <w:style w:type="character" w:customStyle="1" w:styleId="CommentSubjectChar">
    <w:name w:val="Comment Subject Char"/>
    <w:basedOn w:val="CommentTextChar"/>
    <w:link w:val="CommentSubject"/>
    <w:semiHidden/>
    <w:rsid w:val="00C374E6"/>
    <w:rPr>
      <w:b/>
      <w:bCs/>
      <w:sz w:val="20"/>
      <w:szCs w:val="20"/>
    </w:rPr>
  </w:style>
  <w:style w:type="table" w:styleId="PlainTable2">
    <w:name w:val="Plain Table 2"/>
    <w:basedOn w:val="TableNormal"/>
    <w:rsid w:val="008B1CE3"/>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8B1CE3"/>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8B1CE3"/>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8B1CE3"/>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7Char">
    <w:name w:val="Heading 7 Char"/>
    <w:basedOn w:val="DefaultParagraphFont"/>
    <w:link w:val="Heading7"/>
    <w:rsid w:val="003A0C30"/>
    <w:rPr>
      <w:rFonts w:asciiTheme="majorHAnsi" w:eastAsiaTheme="majorEastAsia" w:hAnsiTheme="majorHAnsi" w:cstheme="majorBidi"/>
      <w:b/>
      <w:i/>
      <w:iCs/>
      <w:color w:val="000000" w:themeColor="text1"/>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i.org/10.1371/journal.pmed.1001012" TargetMode="External"/><Relationship Id="rId20" Type="http://schemas.openxmlformats.org/officeDocument/2006/relationships/theme" Target="theme/theme1.xml"/><Relationship Id="rId10" Type="http://schemas.openxmlformats.org/officeDocument/2006/relationships/hyperlink" Target="https://doi.org/10.1093/cid/cit790" TargetMode="External"/><Relationship Id="rId11" Type="http://schemas.openxmlformats.org/officeDocument/2006/relationships/hyperlink" Target="http://www.ncbi.nlm.nih.gov/pubmed/8144299" TargetMode="External"/><Relationship Id="rId12" Type="http://schemas.openxmlformats.org/officeDocument/2006/relationships/hyperlink" Target="https://doi.org/10.1001/jama.1994.03510330076038" TargetMode="External"/><Relationship Id="rId13" Type="http://schemas.openxmlformats.org/officeDocument/2006/relationships/hyperlink" Target="https://cran.r-project.org/package=epiR" TargetMode="External"/><Relationship Id="rId14" Type="http://schemas.openxmlformats.org/officeDocument/2006/relationships/hyperlink" Target="http://mc-stan.org/" TargetMode="External"/><Relationship Id="rId15" Type="http://schemas.openxmlformats.org/officeDocument/2006/relationships/hyperlink" Target="https://doi.org/10.1007/s11222-016-9696-4"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sam.abbott@bristol.ac.uk"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4877</Words>
  <Characters>27799</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Title: Beneficial effects of BCG vaccination in outcomes for patients diagnosed with TB: observational study using the Enhanced Tuberculosis surveillance system 2000-2014</vt:lpstr>
    </vt:vector>
  </TitlesOfParts>
  <Company/>
  <LinksUpToDate>false</LinksUpToDate>
  <CharactersWithSpaces>32611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effect of the 2005 UK BCG vaccination policy change: A retrospective cohort study using the Enhanced Tuberculosis Surveillance system, 2000-2015</dc:title>
  <dc:creator>Sam Abbott, Hannah Christensen, Ellen Brooks-Pollock</dc:creator>
  <cp:lastModifiedBy>S Abbott</cp:lastModifiedBy>
  <cp:revision>2</cp:revision>
  <dcterms:created xsi:type="dcterms:W3CDTF">2017-05-09T13:15:00Z</dcterms:created>
  <dcterms:modified xsi:type="dcterms:W3CDTF">2017-05-09T13:15:00Z</dcterms:modified>
</cp:coreProperties>
</file>