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Aim</w:t>
      </w:r>
    </w:p>
    <w:p>
      <w:pPr>
        <w:pStyle w:val="BodyText"/>
      </w:pPr>
      <w:r>
        <w:t xml:space="preserve">Estimate the impact of the 2005 change in BCG policy on incidence rates in the targeted populations of England using an observational study.</w:t>
      </w:r>
    </w:p>
    <w:p>
      <w:pPr>
        <w:pStyle w:val="BodyText"/>
      </w:pPr>
      <w:r>
        <w:rPr>
          <w:b/>
        </w:rPr>
        <w:t xml:space="preserve">Methods</w:t>
      </w:r>
    </w:p>
    <w:p>
      <w:pPr>
        <w:pStyle w:val="BodyText"/>
      </w:pPr>
      <w:r>
        <w:t xml:space="preserve">We combined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[7]</w:t>
      </w:r>
      <w:r>
        <w:t xml:space="preserve">.In Sweden, which discontinued universal vaccination of neonates in favour of targeted vaccination of those at high risk, incidence rates in Swedish-born children increased slightly after the change in policy</w:t>
      </w:r>
      <w:r>
        <w:t xml:space="preserve">[8]</w:t>
      </w:r>
      <w:r>
        <w:t xml:space="preserve">. In France, which also switched from universal vaccination of children to targeted vaccination of those at high-risk, a study found that targeted vaccination may have reduced coverage in those most at risk</w:t>
      </w:r>
      <w:r>
        <w:t xml:space="preserve">[9]</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[10]</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[11]</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 TB is highly heterogeneous in England with the majority of cases occurring in urban, non-UK born, populations the yearly PHE report contains more descriptive detail</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look at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 (n = xxx individuals).</w:t>
      </w:r>
    </w:p>
    <w:tbl>
      <w:tblPr>
        <w:tblStyle w:val="TableNormal"/>
        <w:tblW w:type="pct" w:w="5000.0"/>
        <w:tblLook w:firstRow="1"/>
        <w:tblCaption w:val="Table 1: Summary of relevance and eligibility criteria for each cohort, England, 2000-2010 (n = xxx individuals)."/>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 overview</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(95%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evaluated a range of models using a statistically rigorous criterion, that accounted for model fit and complexity, for model selection.</w:t>
      </w:r>
    </w:p>
    <w:p>
      <w:pPr>
        <w:pStyle w:val="BodyText"/>
      </w:pPr>
      <w:r>
        <w:rPr>
          <w:b/>
        </w:rPr>
        <w:t xml:space="preserve">Statistical modelling details</w:t>
      </w:r>
    </w:p>
    <w:p>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[12]</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[13]</w:t>
      </w:r>
      <w:r>
        <w:t xml:space="preserve">. Missing data imputation using a GBM was implemented using the h2o package</w:t>
      </w:r>
      <w:r>
        <w:t xml:space="preserve">[14]</w:t>
      </w:r>
      <w:r>
        <w:t xml:space="preserve">. Incidence rates, with 95% confidence intervals, were calculated using the epiR package</w:t>
      </w:r>
      <w:r>
        <w:t xml:space="preserve">[15]</w:t>
      </w:r>
      <w:r>
        <w:t xml:space="preserve">. The brms package</w:t>
      </w:r>
      <w:r>
        <w:t xml:space="preserve">[16]</w:t>
      </w:r>
      <w:r>
        <w:t xml:space="preserve">, and STAN</w:t>
      </w:r>
      <w:r>
        <w:t xml:space="preserve">[17]</w:t>
      </w:r>
      <w:r>
        <w:t xml:space="preserve">, was used to perform MCMC. Models were run until convergence (4 chains with a burn in of 10,000, and 10,000 sampled iterations each), with convergence being assessed using trace plots and the R hat diagnostic</w:t>
      </w:r>
      <w:r>
        <w:t xml:space="preserve">[17]</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needed for this survey.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eligibility,</w:t>
            </w:r>
            <w:r>
              <w:t xml:space="preserve"> </w:t>
            </w:r>
            <w:r>
              <w:t xml:space="preserve">group 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eligibility,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eligibility,</w:t>
            </w:r>
            <w:r>
              <w:t xml:space="preserve"> </w:t>
            </w:r>
            <w:r>
              <w:t xml:space="preserve">group 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eligibility,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[18,19]</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[20–22]</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[23,24]</w:t>
      </w:r>
      <w:r>
        <w:t xml:space="preserve">, and ethnicity</w:t>
      </w:r>
      <w:r>
        <w:t xml:space="preserve">[23–25]</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[26]</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[27]</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[28]</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However, they should be interpreted as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lead to negative outcomes, than other age groups</w:t>
      </w:r>
      <w:r>
        <w:t xml:space="preserve">[1]</w:t>
      </w:r>
      <w:r>
        <w:t xml:space="preserve">. This variation should also be considered when evaluating these results.</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was available - and BCG vaccination has been shown to provide long lasting protection in the UK - repeating this study once more data is available may alter the findings</w:t>
      </w:r>
      <w:r>
        <w:t xml:space="preserve">[29]</w:t>
      </w:r>
      <w:r>
        <w:t xml:space="preserve">.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9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10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Published Online First: 2018. doi:</w:t>
      </w:r>
      <w:hyperlink r:id="rId38">
        <w:r>
          <w:rPr>
            <w:rStyle w:val="Hyperlink"/>
          </w:rPr>
          <w:t xml:space="preserve">10.1136/THORAXJNL-2017-211074</w:t>
        </w:r>
      </w:hyperlink>
    </w:p>
    <w:p>
      <w:pPr>
        <w:pStyle w:val="BodyText"/>
      </w:pPr>
      <w:r>
        <w:t xml:space="preserve">11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12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13 R Core Team. R: A Language and Environment for Statistical Computing. 2016.</w:t>
      </w:r>
      <w:hyperlink r:id="rId41">
        <w:r>
          <w:rPr>
            <w:rStyle w:val="Hyperlink"/>
          </w:rPr>
          <w:t xml:space="preserve">https://www.r-project.org/</w:t>
        </w:r>
      </w:hyperlink>
    </w:p>
    <w:p>
      <w:pPr>
        <w:pStyle w:val="BodyText"/>
      </w:pPr>
      <w:r>
        <w:t xml:space="preserve">14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15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16 Bürkner P-C. {brms}: An {R} Package for Bayesian Multilevel Models using Stan.</w:t>
      </w:r>
      <w:r>
        <w:t xml:space="preserve"> </w:t>
      </w:r>
      <w:r>
        <w:rPr>
          <w:i/>
        </w:rPr>
        <w:t xml:space="preserve">J Stat Softw</w:t>
      </w:r>
    </w:p>
    <w:p>
      <w:pPr>
        <w:pStyle w:val="BodyText"/>
      </w:pPr>
      <w:r>
        <w:t xml:space="preserve">17 Stan Development Team. {RStan}: the {R} interface to {Stan}. 2016.</w:t>
      </w:r>
      <w:hyperlink r:id="rId44">
        <w:r>
          <w:rPr>
            <w:rStyle w:val="Hyperlink"/>
          </w:rPr>
          <w:t xml:space="preserve">http://mc-stan.org/</w:t>
        </w:r>
      </w:hyperlink>
    </w:p>
    <w:p>
      <w:pPr>
        <w:pStyle w:val="BodyText"/>
      </w:pPr>
      <w:r>
        <w:t xml:space="preserve">18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19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20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21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22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23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25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26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27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28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BodyText"/>
      </w:pPr>
      <w:r>
        <w:t xml:space="preserve">29 Nguipdop-Djomo P, Heldal E, Rodrigues LC</w:t>
      </w:r>
      <w:r>
        <w:t xml:space="preserve"> </w:t>
      </w:r>
      <w:r>
        <w:rPr>
          <w:i/>
        </w:rPr>
        <w:t xml:space="preserve">et al.</w:t>
      </w:r>
      <w:r>
        <w:t xml:space="preserve"> </w:t>
      </w:r>
      <w:r>
        <w:t xml:space="preserve">Duration of BCG protection against tuberculosis and change in effectiveness with time since vaccination in Norway: a retrospective population-based cohort study.</w:t>
      </w:r>
      <w:r>
        <w:t xml:space="preserve"> </w:t>
      </w:r>
      <w:r>
        <w:rPr>
          <w:i/>
        </w:rPr>
        <w:t xml:space="preserve">Lancet Infect Dis</w:t>
      </w:r>
      <w:r>
        <w:t xml:space="preserve"> </w:t>
      </w:r>
      <w:r>
        <w:t xml:space="preserve">2016;</w:t>
      </w:r>
      <w:r>
        <w:rPr>
          <w:b/>
        </w:rPr>
        <w:t xml:space="preserve">16</w:t>
      </w:r>
      <w:r>
        <w:t xml:space="preserve">:219–26. doi:</w:t>
      </w:r>
      <w:hyperlink r:id="rId55">
        <w:r>
          <w:rPr>
            <w:rStyle w:val="Hyperlink"/>
          </w:rPr>
          <w:t xml:space="preserve">10.1016/S1473-3099(15)00400-4</w:t>
        </w:r>
      </w:hyperlink>
    </w:p>
    <w:p>
      <w:pPr>
        <w:pStyle w:val="Heading5"/>
      </w:pPr>
      <w:bookmarkStart w:id="56" w:name="pagebreak-6"/>
      <w:bookmarkEnd w:id="56"/>
      <w:r>
        <w:t xml:space="preserve">PAGEBREAK</w:t>
      </w:r>
    </w:p>
    <w:p>
      <w:pPr>
        <w:pStyle w:val="Heading2"/>
      </w:pPr>
      <w:bookmarkStart w:id="57" w:name="online-supplementary-appendix-estimating-the-effect-of-the-2005-change-in-bcg-policy-in-england-a-retrospective-cohort-study"/>
      <w:bookmarkEnd w:id="57"/>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8" w:name="pagebreak-7"/>
      <w:bookmarkEnd w:id="58"/>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[10]</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9" w:name="pagebreak-8"/>
      <w:bookmarkEnd w:id="59"/>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60" w:name="pagebreak-9"/>
      <w:bookmarkEnd w:id="60"/>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2" w:name="pagebreak-10"/>
      <w:bookmarkEnd w:id="62"/>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3" w:name="pagebreak-11"/>
      <w:bookmarkEnd w:id="63"/>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4" w:name="pagebreak-12"/>
      <w:bookmarkEnd w:id="64"/>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06ae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185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1" Target="media/rId61.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2019-10-08T17:47:03Z</dcterms:created>
  <dcterms:modified xsi:type="dcterms:W3CDTF">2019-10-08T17:47:03Z</dcterms:modified>
</cp:coreProperties>
</file>