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2005</w:t>
      </w:r>
      <w:r>
        <w:t xml:space="preserve"> </w:t>
      </w:r>
      <w:r>
        <w:t xml:space="preserve">change</w:t>
      </w:r>
      <w:r>
        <w:t xml:space="preserve"> </w:t>
      </w:r>
      <w:r>
        <w:t xml:space="preserve">in</w:t>
      </w:r>
      <w:r>
        <w:t xml:space="preserve"> </w:t>
      </w:r>
      <w:r>
        <w:t xml:space="preserve">BCG</w:t>
      </w:r>
      <w:r>
        <w:t xml:space="preserve"> </w:t>
      </w:r>
      <w:r>
        <w:t xml:space="preserve">policy</w:t>
      </w:r>
      <w:r>
        <w:t xml:space="preserve"> </w:t>
      </w:r>
      <w:r>
        <w:t xml:space="preserve">in</w:t>
      </w:r>
      <w:r>
        <w:t xml:space="preserve"> </w:t>
      </w:r>
      <w:r>
        <w:t xml:space="preserve">England:</w:t>
      </w:r>
      <w:r>
        <w:t xml:space="preserve"> </w:t>
      </w:r>
      <w:r>
        <w:t xml:space="preserve">A</w:t>
      </w:r>
      <w:r>
        <w:t xml:space="preserve"> </w:t>
      </w:r>
      <w:r>
        <w:t xml:space="preserve">retrospective</w:t>
      </w:r>
      <w:r>
        <w:t xml:space="preserve"> </w:t>
      </w:r>
      <w:r>
        <w:t xml:space="preserve">cohort</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Nicky</w:t>
      </w:r>
      <w:r>
        <w:t xml:space="preserve"> </w:t>
      </w:r>
      <w:r>
        <w:t xml:space="preserve">Welton,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Nicky Welton,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16 (20),</w:t>
      </w:r>
      <w:r>
        <w:t xml:space="preserve"> </w:t>
      </w:r>
      <w:r>
        <w:rPr>
          <w:b/>
        </w:rPr>
        <w:t xml:space="preserve">Abstract</w:t>
      </w:r>
      <w:r>
        <w:t xml:space="preserve"> </w:t>
      </w:r>
      <w:r>
        <w:t xml:space="preserve">250 (250),</w:t>
      </w:r>
      <w:r>
        <w:t xml:space="preserve"> </w:t>
      </w:r>
      <w:r>
        <w:rPr>
          <w:b/>
        </w:rPr>
        <w:t xml:space="preserve">Paper</w:t>
      </w:r>
      <w:r>
        <w:t xml:space="preserve"> </w:t>
      </w:r>
      <w:r>
        <w:t xml:space="preserve">2990 (3500)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In 2005, England changed from universal Bacillus Calmette–Guérin (BCG) vaccination of school-age children to targeted BCG vaccination of high-risk children at birth.</w:t>
      </w:r>
    </w:p>
    <w:p>
      <w:pPr>
        <w:pStyle w:val="BodyText"/>
      </w:pPr>
      <w:r>
        <w:rPr>
          <w:b/>
        </w:rPr>
        <w:t xml:space="preserve">Aim</w:t>
      </w:r>
    </w:p>
    <w:p>
      <w:pPr>
        <w:pStyle w:val="BodyText"/>
      </w:pPr>
      <w:r>
        <w:t xml:space="preserve">Estimate the impact of the 2005 change in BCG policy on incidence rates in the targeted populations of England using an observational study.</w:t>
      </w:r>
    </w:p>
    <w:p>
      <w:pPr>
        <w:pStyle w:val="BodyText"/>
      </w:pPr>
      <w:r>
        <w:rPr>
          <w:b/>
        </w:rPr>
        <w:t xml:space="preserve">Methods</w:t>
      </w:r>
    </w:p>
    <w:p>
      <w:pPr>
        <w:pStyle w:val="BodyText"/>
      </w:pPr>
      <w:r>
        <w:t xml:space="preserve">We combined notifications from the Enhanced Tuberculosis Surveillance system, with demographic data from the Labour Force Survey to construct retrospective cohorts relevant to both the universal, and targeted vaccination between Jan 1, 2000 and Dec 31, 2010. We then estimated incidence rates over a 5 year follow-up period and used regression modelling to estimate the impact of the change in policy on TB.</w:t>
      </w:r>
    </w:p>
    <w:p>
      <w:pPr>
        <w:pStyle w:val="BodyText"/>
      </w:pPr>
      <w:r>
        <w:rPr>
          <w:b/>
        </w:rPr>
        <w:t xml:space="preserve">Results</w:t>
      </w:r>
      <w:r>
        <w:t xml:space="preserve"> </w:t>
      </w:r>
      <w:r>
        <w:rPr>
          <w:i/>
        </w:rPr>
        <w:t xml:space="preserve">bottom of paper</w:t>
      </w:r>
    </w:p>
    <w:p>
      <w:pPr>
        <w:pStyle w:val="BodyText"/>
      </w:pPr>
      <w:r>
        <w:rPr>
          <w:b/>
        </w:rPr>
        <w:t xml:space="preserve">Conclusions</w:t>
      </w:r>
    </w:p>
    <w:p>
      <w:pPr>
        <w:pStyle w:val="BodyText"/>
      </w:pPr>
      <w:r>
        <w:t xml:space="preserve">Withdrawing universal vaccination at school-age and targeting vaccination towards high-risk neonates was associated with reduced incidence of TB. This was largely driven by reductions in the non-UK born with cases increasing in the UK born.</w:t>
      </w:r>
    </w:p>
    <w:p>
      <w:pPr>
        <w:pStyle w:val="BodyText"/>
      </w:pPr>
      <w:r>
        <w:rPr>
          <w:b/>
        </w:rPr>
        <w:t xml:space="preserve">Keywords:</w:t>
      </w:r>
    </w:p>
    <w:p>
      <w:pPr>
        <w:pStyle w:val="BodyText"/>
      </w:pPr>
      <w:r>
        <w:t xml:space="preserve">BCG, surveillance, vaccination policy, neonatal, school-age</w:t>
      </w:r>
    </w:p>
    <w:p>
      <w:pPr>
        <w:pStyle w:val="BodyText"/>
      </w:pPr>
      <w:r>
        <w:rPr>
          <w:b/>
        </w:rPr>
        <w:t xml:space="preserve">Key Messages</w:t>
      </w:r>
    </w:p>
    <w:p>
      <w:pPr>
        <w:numPr>
          <w:numId w:val="1001"/>
          <w:ilvl w:val="0"/>
        </w:numPr>
      </w:pPr>
      <w:r>
        <w:t xml:space="preserve">There is little existing literature on the impact of withdrawing universal school-age BCG vaccination and introducing high-risk neonatal BCG vaccination on TB incidence rates in the populations directly affected by the vaccination programmes.</w:t>
      </w:r>
    </w:p>
    <w:p>
      <w:pPr>
        <w:numPr>
          <w:numId w:val="1001"/>
          <w:ilvl w:val="0"/>
        </w:numPr>
      </w:pPr>
      <w:r>
        <w:t xml:space="preserve">There was strong evidence that the change in policy was associated with a decrease in TB incidence rates in non-UK born neonates and school-age children. In the UK born individuals, there was some evidence that the change in policy was associated with an increase in TB incidence rates in those relevant to the universal school-age scheme, with little evidence of a decrease in incidence rates in those relevant to the high-risk neonatal vaccination scheme.</w:t>
      </w:r>
    </w:p>
    <w:p>
      <w:pPr>
        <w:numPr>
          <w:numId w:val="1001"/>
          <w:ilvl w:val="0"/>
        </w:numPr>
      </w:pPr>
      <w:r>
        <w:t xml:space="preserve">Overall the change in vaccination policy was associated with preventing TB cases, mainly in the non-UK born.</w:t>
      </w:r>
    </w:p>
    <w:p>
      <w:pPr>
        <w:numPr>
          <w:numId w:val="1001"/>
          <w:ilvl w:val="0"/>
        </w:numPr>
      </w:pPr>
      <w:r>
        <w:t xml:space="preserve">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w:t>
      </w:r>
      <w:r>
        <w:t xml:space="preserve">[1–3]</w:t>
      </w:r>
      <w:r>
        <w:t xml:space="preserve">, and high effectiveness of the BCG vaccine in children</w:t>
      </w:r>
      <w:r>
        <w:t xml:space="preserve">[4–6]</w:t>
      </w:r>
      <w:r>
        <w:t xml:space="preserve">, and variable effectiveness in adults</w:t>
      </w:r>
      <w:r>
        <w:t xml:space="preserve">[7]</w:t>
      </w:r>
      <w:r>
        <w:t xml:space="preserve">. Little work has been done to evaluate the impact of this change in vaccination policy.</w:t>
      </w:r>
    </w:p>
    <w:p>
      <w:pPr>
        <w:pStyle w:val="BodyText"/>
      </w:pPr>
      <w:r>
        <w:t xml:space="preserve">Globally, several countries with low TB incidence have moved from universal vaccination, either of those at school-age or neonates, to targeted vaccination of neonates considered at high-risk of TB</w:t>
      </w:r>
      <w:r>
        <w:t xml:space="preserve">[8]</w:t>
      </w:r>
      <w:r>
        <w:t xml:space="preserve">.In Sweden, which discontinued universal vaccination of neonates in favour of targeted vaccination of those at high risk, incidence rates in Swedish-born children increased slightly after the change in policy</w:t>
      </w:r>
      <w:r>
        <w:t xml:space="preserve">[9]</w:t>
      </w:r>
      <w:r>
        <w:t xml:space="preserve">. In France, which also switched from universal vaccination of neonates to targeted vaccination of those at high-risk, a study found that targeted vaccination of neonates may have reduced coverage in those most at risk</w:t>
      </w:r>
      <w:r>
        <w:t xml:space="preserve">[10]</w:t>
      </w:r>
      <w:r>
        <w:t xml:space="preserve">.</w:t>
      </w:r>
    </w:p>
    <w:p>
      <w:pPr>
        <w:pStyle w:val="BodyText"/>
      </w:pPr>
      <w:r>
        <w:t xml:space="preserve">The number of TB notifications in England increased from 6929 in 2004 to 8280 in 2011 but has since declined to 5137 in 2017</w:t>
      </w:r>
      <w:r>
        <w:t xml:space="preserve">[1]</w:t>
      </w:r>
      <w:r>
        <w:t xml:space="preserve">. A recent study found that this reduction may be linked to improved TB interventions</w:t>
      </w:r>
      <w:r>
        <w:t xml:space="preserve">[11]</w:t>
      </w:r>
      <w:r>
        <w:t xml:space="preserve">.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w:t>
      </w:r>
      <w:r>
        <w:t xml:space="preserve">[1]</w:t>
      </w:r>
      <w:r>
        <w:t xml:space="preserve">. However, this does not take into account the change in BCG policy, which is likely to have reduced incidence rates in children.</w:t>
      </w:r>
    </w:p>
    <w:p>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w:t>
      </w:r>
      <w:r>
        <w:t xml:space="preserve">[12]</w:t>
      </w:r>
      <w:r>
        <w:t xml:space="preserve">. Here, We aimed to estimate the impact of the 2005 change in BCG policy on incidence rates, in both the UK and non-UK born populations, directly affected by it.</w:t>
      </w:r>
    </w:p>
    <w:p>
      <w:pPr>
        <w:pStyle w:val="Heading5"/>
      </w:pPr>
      <w:bookmarkStart w:id="24" w:name="pagebreak-2"/>
      <w:bookmarkEnd w:id="24"/>
      <w:r>
        <w:t xml:space="preserve">PAGEBREAK</w:t>
      </w:r>
    </w:p>
    <w:p>
      <w:pPr>
        <w:pStyle w:val="FirstParagraph"/>
      </w:pPr>
      <w:r>
        <w:rPr>
          <w:b/>
        </w:rPr>
        <w:t xml:space="preserve">METHODS</w:t>
      </w:r>
    </w:p>
    <w:p>
      <w:pPr>
        <w:pStyle w:val="BodyText"/>
      </w:pPr>
      <w:r>
        <w:rPr>
          <w:b/>
        </w:rPr>
        <w:t xml:space="preserve">Data sources</w:t>
      </w:r>
    </w:p>
    <w:p>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w:t>
      </w:r>
      <w:r>
        <w:t xml:space="preserve">[1]</w:t>
      </w:r>
      <w:r>
        <w:t xml:space="preserve">.</w:t>
      </w:r>
    </w:p>
    <w:p>
      <w:pPr>
        <w:pStyle w:val="BodyText"/>
      </w:pPr>
      <w:r>
        <w:t xml:space="preserve">We obtained yearly population estimates from the April to June Labour Force Survey (LFS) for 2000-2015. The LFS is a household study of the employment circumstances of the UK population, and provides the official measures of employment and unemployment in the UK. It is also used to look at population demographics such as: ethnicity, country of birth, and age. Reporting practices have changed with time so the appropriate variables for age, country of origin, country of birth, and survey weight were extracted from each yearly extract, standardised, and combined into a single data-set.</w:t>
      </w:r>
    </w:p>
    <w:p>
      <w:pPr>
        <w:pStyle w:val="BodyText"/>
      </w:pPr>
      <w:r>
        <w:rPr>
          <w:b/>
        </w:rPr>
        <w:t xml:space="preserve">Constructing Retrospective cohorts</w:t>
      </w:r>
    </w:p>
    <w:p>
      <w:pPr>
        <w:pStyle w:val="BodyText"/>
      </w:pPr>
      <w:r>
        <w:t xml:space="preserve">We constructed retrospective cohorts of TB cases and individuals using the ETS and the LFS. TB cases were extracted from the ETS based on date of birth and date of TB notification.</w:t>
      </w:r>
    </w:p>
    <w:p>
      <w:pPr>
        <w:pStyle w:val="BodyText"/>
      </w:pPr>
      <w:r>
        <w:t xml:space="preserve">Cohort 1: individuals aged 14 between 2000 and 2004, who were notified with TB whilst aged between 14 and 19 years old.</w:t>
      </w:r>
    </w:p>
    <w:p>
      <w:pPr>
        <w:pStyle w:val="BodyText"/>
      </w:pPr>
      <w:r>
        <w:t xml:space="preserve">Comparison cohort 1: individuals aged 14 between 2005 and 2010, who were notified with TB whilst aged between 14 and 19 years old.</w:t>
      </w:r>
    </w:p>
    <w:p>
      <w:pPr>
        <w:pStyle w:val="BodyText"/>
      </w:pPr>
      <w:r>
        <w:t xml:space="preserve">Cohort 2: individuals born between 2005 and 2010, who were notified with TB whilst aged 0-5 years old</w:t>
      </w:r>
    </w:p>
    <w:p>
      <w:pPr>
        <w:pStyle w:val="BodyText"/>
      </w:pPr>
      <w:r>
        <w:t xml:space="preserve">Comparison cohort 2: individuals born between 2000 and 2004, who were notified with TB whilst aged 0-5 years old</w:t>
      </w:r>
    </w:p>
    <w:p>
      <w:pPr>
        <w:pStyle w:val="BodyText"/>
      </w:pPr>
      <w:r>
        <w:t xml:space="preserve">Each cohort was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pPr>
        <w:pStyle w:val="TableCaption"/>
      </w:pPr>
      <w:r>
        <w:t xml:space="preserve">Table 1: Summary of relevance and eligibility criteria for each cohort, England, 2000-2010 (n = xxx individuals).</w:t>
      </w:r>
    </w:p>
    <w:tbl>
      <w:tblPr>
        <w:tblStyle w:val="TableNormal"/>
        <w:tblW w:type="pct" w:w="5000.0"/>
        <w:tblLook w:firstRow="1"/>
        <w:tblCaption w:val="Table 1: Summary of relevance and eligibility criteria for each cohort, England, 2000-2010 (n = xxx individuals)."/>
      </w:tblPr>
      <w:tblGrid>
        <w:gridCol w:w="1772"/>
        <w:gridCol w:w="1329"/>
        <w:gridCol w:w="1661"/>
        <w:gridCol w:w="830"/>
        <w:gridCol w:w="1163"/>
        <w:gridCol w:w="1163"/>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Eligible for the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right"/>
            </w:pPr>
            <w:r>
              <w:t xml:space="preserve">Age at study entry</w:t>
            </w:r>
          </w:p>
        </w:tc>
        <w:tc>
          <w:tcPr>
            <w:tcBorders>
              <w:bottom w:val="single"/>
            </w:tcBorders>
            <w:vAlign w:val="bottom"/>
          </w:tcPr>
          <w:p>
            <w:pPr>
              <w:pStyle w:val="Compact"/>
              <w:jc w:val="right"/>
            </w:pPr>
            <w:r>
              <w:t xml:space="preserve">Year of study entry</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Non-UK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Non-UK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Non-UK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Non-UK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 Eligible signifies that the</w:t>
            </w:r>
            <w:r>
              <w:t xml:space="preserve"> </w:t>
            </w:r>
            <w:r>
              <w:t xml:space="preserve">cohort fit the criteria for</w:t>
            </w:r>
            <w:r>
              <w:t xml:space="preserve"> </w:t>
            </w:r>
            <w:r>
              <w:t xml:space="preserve">the programme and entered the</w:t>
            </w:r>
            <w:r>
              <w:t xml:space="preserve"> </w:t>
            </w:r>
            <w:r>
              <w:t xml:space="preserve">study during the time period</w:t>
            </w:r>
            <w:r>
              <w:t xml:space="preserve"> </w:t>
            </w:r>
            <w:r>
              <w:t xml:space="preserve">it was in operation not that</w:t>
            </w:r>
            <w:r>
              <w:t xml:space="preserve"> </w:t>
            </w:r>
            <w:r>
              <w:t xml:space="preserve">the cohort was vaccinated by</w:t>
            </w:r>
            <w:r>
              <w:t xml:space="preserve"> </w:t>
            </w:r>
            <w:r>
              <w:t xml:space="preserve">the programme.</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Statistical methods</w:t>
      </w:r>
    </w:p>
    <w:p>
      <w:pPr>
        <w:pStyle w:val="BodyText"/>
      </w:pPr>
      <w:r>
        <w:t xml:space="preserve">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(GBM;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pPr>
        <w:pStyle w:val="BodyText"/>
      </w:pPr>
      <w:r>
        <w:t xml:space="preserve">We calculated Incidence Rate Ratios (IRRs) with 95% credible intervals (95% CrIs) 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w:t>
      </w:r>
      <w:r>
        <w:t xml:space="preserve">[1,7]</w:t>
      </w:r>
      <w:r>
        <w:t xml:space="preserve">, incidence rates in both the UK born and non-UK born who were not in the age group of interest</w:t>
      </w:r>
      <w:r>
        <w:t xml:space="preserve">[1]</w:t>
      </w:r>
      <w:r>
        <w:t xml:space="preserve">, and year of study entry (as a random intercept). 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(LOOIC) and its standard error</w:t>
      </w:r>
      <w:r>
        <w:t xml:space="preserve">[13]</w:t>
      </w:r>
      <w:r>
        <w:t xml:space="preserve">.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pPr>
        <w:pStyle w:val="BodyText"/>
      </w:pPr>
      <w:r>
        <w:rPr>
          <w:b/>
        </w:rPr>
        <w:t xml:space="preserve">Implementation</w:t>
      </w:r>
    </w:p>
    <w:p>
      <w:pPr>
        <w:pStyle w:val="BodyText"/>
      </w:pPr>
      <w:r>
        <w:t xml:space="preserve">R 3.5.2 was used for all analysis</w:t>
      </w:r>
      <w:r>
        <w:t xml:space="preserve">[14]</w:t>
      </w:r>
      <w:r>
        <w:t xml:space="preserve">. Missing data imputation using a GBM was implemented using the h2o package</w:t>
      </w:r>
      <w:r>
        <w:t xml:space="preserve">[15]</w:t>
      </w:r>
      <w:r>
        <w:t xml:space="preserve">. Incidence rates, with 95% confidence intervals, were calculated using the epiR package</w:t>
      </w:r>
      <w:r>
        <w:t xml:space="preserve">[16]</w:t>
      </w:r>
      <w:r>
        <w:t xml:space="preserve">. The brms package</w:t>
      </w:r>
      <w:r>
        <w:t xml:space="preserve">[17]</w:t>
      </w:r>
      <w:r>
        <w:t xml:space="preserve">, and STAN</w:t>
      </w:r>
      <w:r>
        <w:t xml:space="preserve">[18]</w:t>
      </w:r>
      <w:r>
        <w:t xml:space="preserve">, was used to perform MCMC. Models were run until convergence (4 chains with a burn in of 10,000, and 10,000 sampled iterations each), with convergence being assessed using trace plots and the R hat diagnostic</w:t>
      </w:r>
      <w:r>
        <w:t xml:space="preserve">[18]</w:t>
      </w:r>
      <w:r>
        <w:t xml:space="preserve">. All numeric confounders were centered and scaled by their standard deviation, and age was adjusted for using single year of age categories.</w:t>
      </w:r>
    </w:p>
    <w:p>
      <w:pPr>
        <w:pStyle w:val="BodyText"/>
      </w:pPr>
      <w:r>
        <w:rPr>
          <w:b/>
        </w:rPr>
        <w:t xml:space="preserve">Ethical statement</w:t>
      </w:r>
    </w:p>
    <w:p>
      <w:pPr>
        <w:pStyle w:val="BodyText"/>
      </w:pPr>
      <w:r>
        <w:t xml:space="preserve">Ethical approval was not needed for this survey.</w:t>
      </w:r>
    </w:p>
    <w:p>
      <w:pPr>
        <w:pStyle w:val="Heading5"/>
      </w:pPr>
      <w:bookmarkStart w:id="25" w:name="pagebreak-3"/>
      <w:bookmarkEnd w:id="25"/>
      <w:r>
        <w:t xml:space="preserve">PAGEBREAK</w:t>
      </w:r>
    </w:p>
    <w:p>
      <w:pPr>
        <w:pStyle w:val="FirstParagraph"/>
      </w:pPr>
      <w:r>
        <w:rPr>
          <w:b/>
        </w:rPr>
        <w:t xml:space="preserve">RESULTS</w:t>
      </w:r>
    </w:p>
    <w:p>
      <w:pPr>
        <w:pStyle w:val="BodyText"/>
      </w:pPr>
      <w:r>
        <w:rPr>
          <w:b/>
        </w:rPr>
        <w:t xml:space="preserve">Descriptive analysis</w:t>
      </w:r>
    </w:p>
    <w:p>
      <w:pPr>
        <w:pStyle w:val="BodyText"/>
      </w:pPr>
      <w:r>
        <w:t xml:space="preserve">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pPr>
        <w:pStyle w:val="FigureWithCaption"/>
      </w:pPr>
      <w:r>
        <w:drawing>
          <wp:inline>
            <wp:extent cx="5943600" cy="5943600"/>
            <wp:effectExtent b="0" l="0" r="0" t="0"/>
            <wp:docPr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title="" id="1" name="Picture"/>
            <a:graphic>
              <a:graphicData uri="http://schemas.openxmlformats.org/drawingml/2006/picture">
                <pic:pic>
                  <pic:nvPicPr>
                    <pic:cNvPr descr="/home/seabbs/DirectEffBCGPolicyChange/vignettes/drafts/paper/paper_files/figure-docx/cohort-summary-plot-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pPr>
        <w:pStyle w:val="BodyText"/>
      </w:pPr>
      <w:r>
        <w:rPr>
          <w:b/>
        </w:rPr>
        <w:t xml:space="preserve">Adjusted estimates of the effects of the change in policy on school-age children</w:t>
      </w:r>
    </w:p>
    <w:p>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assocation between the change in policy and an increase in incidence rates in those at school-age who were UK born, with an IRR of 1.08 (95%CrI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pPr>
        <w:pStyle w:val="BodyText"/>
      </w:pPr>
      <w:r>
        <w:t xml:space="preserve">For the comparable non-UK born cohort who were relevant to the universal vaccination there was evidence, in the best fitting model, that ending the scheme was associated with a decrease in incidence rates (IRR: 0.74 (95%CrI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pPr>
        <w:pStyle w:val="TableCaption"/>
      </w:pPr>
      <w:r>
        <w:t xml:space="preserve">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England, 2000-2015</w:t>
      </w:r>
    </w:p>
    <w:tbl>
      <w:tblPr>
        <w:tblStyle w:val="TableNormal"/>
        <w:tblW w:type="pct" w:w="5000.0"/>
        <w:tblLook w:firstRow="1"/>
        <w:tblCaption w:val="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England, 2000-2015"/>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1.08 (0.97, 1.19)</w:t>
            </w:r>
          </w:p>
        </w:tc>
        <w:tc>
          <w:p>
            <w:pPr>
              <w:pStyle w:val="Compact"/>
              <w:jc w:val="center"/>
            </w:pPr>
            <w:r>
              <w:t xml:space="preserve">0.74 (0.61,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14</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15</w:t>
            </w:r>
          </w:p>
        </w:tc>
        <w:tc>
          <w:p>
            <w:pPr>
              <w:pStyle w:val="Compact"/>
              <w:jc w:val="center"/>
            </w:pPr>
            <w:r>
              <w:t xml:space="preserve">1.18 (0.98, 1.42)</w:t>
            </w:r>
          </w:p>
        </w:tc>
        <w:tc>
          <w:p>
            <w:pPr>
              <w:pStyle w:val="Compact"/>
              <w:jc w:val="center"/>
            </w:pPr>
            <w:r>
              <w:t xml:space="preserve">1.03 (0.87, 1.22)</w:t>
            </w:r>
          </w:p>
        </w:tc>
      </w:tr>
      <w:tr>
        <w:tc>
          <w:p>
            <w:pPr>
              <w:pStyle w:val="Compact"/>
              <w:jc w:val="left"/>
            </w:pPr>
            <w:r>
              <w:t xml:space="preserve">        16</w:t>
            </w:r>
          </w:p>
        </w:tc>
        <w:tc>
          <w:p>
            <w:pPr>
              <w:pStyle w:val="Compact"/>
              <w:jc w:val="center"/>
            </w:pPr>
            <w:r>
              <w:t xml:space="preserve">1.24 (1.03, 1.50)</w:t>
            </w:r>
          </w:p>
        </w:tc>
        <w:tc>
          <w:p>
            <w:pPr>
              <w:pStyle w:val="Compact"/>
              <w:jc w:val="center"/>
            </w:pPr>
            <w:r>
              <w:t xml:space="preserve">1.25 (1.07, 1.47)</w:t>
            </w:r>
          </w:p>
        </w:tc>
      </w:tr>
      <w:tr>
        <w:tc>
          <w:p>
            <w:pPr>
              <w:pStyle w:val="Compact"/>
              <w:jc w:val="left"/>
            </w:pPr>
            <w:r>
              <w:t xml:space="preserve">        17</w:t>
            </w:r>
          </w:p>
        </w:tc>
        <w:tc>
          <w:p>
            <w:pPr>
              <w:pStyle w:val="Compact"/>
              <w:jc w:val="center"/>
            </w:pPr>
            <w:r>
              <w:t xml:space="preserve">1.59 (1.33, 1.91)</w:t>
            </w:r>
          </w:p>
        </w:tc>
        <w:tc>
          <w:p>
            <w:pPr>
              <w:pStyle w:val="Compact"/>
              <w:jc w:val="center"/>
            </w:pPr>
            <w:r>
              <w:t xml:space="preserve">1.40 (1.19, 1.63)</w:t>
            </w:r>
          </w:p>
        </w:tc>
      </w:tr>
      <w:tr>
        <w:tc>
          <w:p>
            <w:pPr>
              <w:pStyle w:val="Compact"/>
              <w:jc w:val="left"/>
            </w:pPr>
            <w:r>
              <w:t xml:space="preserve">        18</w:t>
            </w:r>
          </w:p>
        </w:tc>
        <w:tc>
          <w:p>
            <w:pPr>
              <w:pStyle w:val="Compact"/>
              <w:jc w:val="center"/>
            </w:pPr>
            <w:r>
              <w:t xml:space="preserve">1.92 (1.60, 2.30)</w:t>
            </w:r>
          </w:p>
        </w:tc>
        <w:tc>
          <w:p>
            <w:pPr>
              <w:pStyle w:val="Compact"/>
              <w:jc w:val="center"/>
            </w:pPr>
            <w:r>
              <w:t xml:space="preserve">1.47 (1.26, 1.73)</w:t>
            </w:r>
          </w:p>
        </w:tc>
      </w:tr>
      <w:tr>
        <w:tc>
          <w:p>
            <w:pPr>
              <w:pStyle w:val="Compact"/>
              <w:jc w:val="left"/>
            </w:pPr>
            <w:r>
              <w:t xml:space="preserve">        19</w:t>
            </w:r>
          </w:p>
        </w:tc>
        <w:tc>
          <w:p>
            <w:pPr>
              <w:pStyle w:val="Compact"/>
              <w:jc w:val="center"/>
            </w:pPr>
            <w:r>
              <w:t xml:space="preserve">1.80 (1.49, 2.17)</w:t>
            </w:r>
          </w:p>
        </w:tc>
        <w:tc>
          <w:p>
            <w:pPr>
              <w:pStyle w:val="Compact"/>
              <w:jc w:val="center"/>
            </w:pPr>
            <w:r>
              <w:t xml:space="preserve">1.47 (1.24, 1.73)</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1.08 (1.03, 1.14)</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1.11 (1.03, 1.19)</w:t>
            </w:r>
          </w:p>
        </w:tc>
      </w:tr>
      <w:tr>
        <w:tc>
          <w:p>
            <w:pPr>
              <w:pStyle w:val="Compact"/>
              <w:jc w:val="left"/>
            </w:pPr>
            <w:r>
              <w:t xml:space="preserve">Year of study elibility, group</w:t>
            </w:r>
            <w:r>
              <w:t xml:space="preserve"> </w:t>
            </w:r>
            <w:r>
              <w:t xml:space="preserve">level</w:t>
            </w:r>
          </w:p>
        </w:tc>
        <w:tc>
          <w:p>
            <w:pPr>
              <w:pStyle w:val="Compact"/>
              <w:jc w:val="center"/>
            </w:pPr>
            <w:r>
              <w:t xml:space="preserve">-</w:t>
            </w:r>
          </w:p>
        </w:tc>
        <w:tc>
          <w:p>
            <w:pPr>
              <w:pStyle w:val="Compact"/>
            </w:pPr>
          </w:p>
        </w:tc>
      </w:tr>
      <w:tr>
        <w:tc>
          <w:p>
            <w:pPr>
              <w:pStyle w:val="Compact"/>
              <w:jc w:val="left"/>
            </w:pPr>
            <w:r>
              <w:t xml:space="preserve">        Intercept</w:t>
            </w:r>
            <w:r>
              <w:t xml:space="preserve"> </w:t>
            </w:r>
            <w:r>
              <w:t xml:space="preserve">(standard deviation)</w:t>
            </w:r>
          </w:p>
        </w:tc>
        <w:tc>
          <w:p>
            <w:pPr>
              <w:pStyle w:val="Compact"/>
              <w:jc w:val="center"/>
            </w:pPr>
            <w:r>
              <w:t xml:space="preserve">-</w:t>
            </w:r>
          </w:p>
        </w:tc>
        <w:tc>
          <w:p>
            <w:pPr>
              <w:pStyle w:val="Compact"/>
              <w:jc w:val="center"/>
            </w:pPr>
            <w:r>
              <w:t xml:space="preserve">1.13 (1.05, 1.26)</w:t>
            </w:r>
          </w:p>
        </w:tc>
      </w:tr>
      <w:tr>
        <w:tc>
          <w:p>
            <w:pPr>
              <w:pStyle w:val="Compact"/>
              <w:jc w:val="left"/>
            </w:pPr>
            <w:r>
              <w:t xml:space="preserve">Year of study elibility,</w:t>
            </w:r>
            <w:r>
              <w:t xml:space="preserve"> </w:t>
            </w:r>
            <w:r>
              <w:t xml:space="preserve">individual level</w:t>
            </w:r>
          </w:p>
        </w:tc>
        <w:tc>
          <w:p>
            <w:pPr>
              <w:pStyle w:val="Compact"/>
              <w:jc w:val="center"/>
            </w:pPr>
            <w:r>
              <w:t xml:space="preserve">-</w:t>
            </w:r>
          </w:p>
        </w:tc>
        <w:tc>
          <w:p>
            <w:pPr>
              <w:pStyle w:val="Compact"/>
            </w:pPr>
          </w:p>
        </w:tc>
      </w:tr>
      <w:tr>
        <w:tc>
          <w:p>
            <w:pPr>
              <w:pStyle w:val="Compact"/>
              <w:jc w:val="left"/>
            </w:pPr>
            <w:r>
              <w:t xml:space="preserve">        2000</w:t>
            </w:r>
          </w:p>
        </w:tc>
        <w:tc>
          <w:p>
            <w:pPr>
              <w:pStyle w:val="Compact"/>
              <w:jc w:val="center"/>
            </w:pPr>
            <w:r>
              <w:t xml:space="preserve">-</w:t>
            </w:r>
          </w:p>
        </w:tc>
        <w:tc>
          <w:p>
            <w:pPr>
              <w:pStyle w:val="Compact"/>
              <w:jc w:val="center"/>
            </w:pPr>
            <w:r>
              <w:t xml:space="preserve">1.10 (0.96, 1.29)</w:t>
            </w:r>
          </w:p>
        </w:tc>
      </w:tr>
      <w:tr>
        <w:tc>
          <w:p>
            <w:pPr>
              <w:pStyle w:val="Compact"/>
              <w:jc w:val="left"/>
            </w:pPr>
            <w:r>
              <w:t xml:space="preserve">        2001</w:t>
            </w:r>
          </w:p>
        </w:tc>
        <w:tc>
          <w:p>
            <w:pPr>
              <w:pStyle w:val="Compact"/>
              <w:jc w:val="center"/>
            </w:pPr>
            <w:r>
              <w:t xml:space="preserve">-</w:t>
            </w:r>
          </w:p>
        </w:tc>
        <w:tc>
          <w:p>
            <w:pPr>
              <w:pStyle w:val="Compact"/>
              <w:jc w:val="center"/>
            </w:pPr>
            <w:r>
              <w:t xml:space="preserve">1.06 (0.93, 1.24)</w:t>
            </w:r>
          </w:p>
        </w:tc>
      </w:tr>
      <w:tr>
        <w:tc>
          <w:p>
            <w:pPr>
              <w:pStyle w:val="Compact"/>
              <w:jc w:val="left"/>
            </w:pPr>
            <w:r>
              <w:t xml:space="preserve">        2002</w:t>
            </w:r>
          </w:p>
        </w:tc>
        <w:tc>
          <w:p>
            <w:pPr>
              <w:pStyle w:val="Compact"/>
              <w:jc w:val="center"/>
            </w:pPr>
            <w:r>
              <w:t xml:space="preserve">-</w:t>
            </w:r>
          </w:p>
        </w:tc>
        <w:tc>
          <w:p>
            <w:pPr>
              <w:pStyle w:val="Compact"/>
              <w:jc w:val="center"/>
            </w:pPr>
            <w:r>
              <w:t xml:space="preserve">1.07 (0.94, 1.25)</w:t>
            </w:r>
          </w:p>
        </w:tc>
      </w:tr>
      <w:tr>
        <w:tc>
          <w:p>
            <w:pPr>
              <w:pStyle w:val="Compact"/>
              <w:jc w:val="left"/>
            </w:pPr>
            <w:r>
              <w:t xml:space="preserve">        2003</w:t>
            </w:r>
          </w:p>
        </w:tc>
        <w:tc>
          <w:p>
            <w:pPr>
              <w:pStyle w:val="Compact"/>
              <w:jc w:val="center"/>
            </w:pPr>
            <w:r>
              <w:t xml:space="preserve">-</w:t>
            </w:r>
          </w:p>
        </w:tc>
        <w:tc>
          <w:p>
            <w:pPr>
              <w:pStyle w:val="Compact"/>
              <w:jc w:val="center"/>
            </w:pPr>
            <w:r>
              <w:t xml:space="preserve">0.90 (0.76, 1.03)</w:t>
            </w:r>
          </w:p>
        </w:tc>
      </w:tr>
      <w:tr>
        <w:tc>
          <w:p>
            <w:pPr>
              <w:pStyle w:val="Compact"/>
              <w:jc w:val="left"/>
            </w:pPr>
            <w:r>
              <w:t xml:space="preserve">        2004</w:t>
            </w:r>
          </w:p>
        </w:tc>
        <w:tc>
          <w:p>
            <w:pPr>
              <w:pStyle w:val="Compact"/>
              <w:jc w:val="center"/>
            </w:pPr>
            <w:r>
              <w:t xml:space="preserve">-</w:t>
            </w:r>
          </w:p>
        </w:tc>
        <w:tc>
          <w:p>
            <w:pPr>
              <w:pStyle w:val="Compact"/>
              <w:jc w:val="center"/>
            </w:pPr>
            <w:r>
              <w:t xml:space="preserve">0.89 (0.75, 1.02)</w:t>
            </w:r>
          </w:p>
        </w:tc>
      </w:tr>
      <w:tr>
        <w:tc>
          <w:p>
            <w:pPr>
              <w:pStyle w:val="Compact"/>
              <w:jc w:val="left"/>
            </w:pPr>
            <w:r>
              <w:t xml:space="preserve">        2005</w:t>
            </w:r>
          </w:p>
        </w:tc>
        <w:tc>
          <w:p>
            <w:pPr>
              <w:pStyle w:val="Compact"/>
              <w:jc w:val="center"/>
            </w:pPr>
            <w:r>
              <w:t xml:space="preserve">-</w:t>
            </w:r>
          </w:p>
        </w:tc>
        <w:tc>
          <w:p>
            <w:pPr>
              <w:pStyle w:val="Compact"/>
              <w:jc w:val="center"/>
            </w:pPr>
            <w:r>
              <w:t xml:space="preserve">0.98 (0.85, 1.12)</w:t>
            </w:r>
          </w:p>
        </w:tc>
      </w:tr>
      <w:tr>
        <w:tc>
          <w:p>
            <w:pPr>
              <w:pStyle w:val="Compact"/>
              <w:jc w:val="left"/>
            </w:pPr>
            <w:r>
              <w:t xml:space="preserve">        2006</w:t>
            </w:r>
          </w:p>
        </w:tc>
        <w:tc>
          <w:p>
            <w:pPr>
              <w:pStyle w:val="Compact"/>
              <w:jc w:val="center"/>
            </w:pPr>
            <w:r>
              <w:t xml:space="preserve">-</w:t>
            </w:r>
          </w:p>
        </w:tc>
        <w:tc>
          <w:p>
            <w:pPr>
              <w:pStyle w:val="Compact"/>
              <w:jc w:val="center"/>
            </w:pPr>
            <w:r>
              <w:t xml:space="preserve">1.13 (0.99, 1.33)</w:t>
            </w:r>
          </w:p>
        </w:tc>
      </w:tr>
      <w:tr>
        <w:tc>
          <w:p>
            <w:pPr>
              <w:pStyle w:val="Compact"/>
              <w:jc w:val="left"/>
            </w:pPr>
            <w:r>
              <w:t xml:space="preserve">        2007</w:t>
            </w:r>
          </w:p>
        </w:tc>
        <w:tc>
          <w:p>
            <w:pPr>
              <w:pStyle w:val="Compact"/>
              <w:jc w:val="center"/>
            </w:pPr>
            <w:r>
              <w:t xml:space="preserve">-</w:t>
            </w:r>
          </w:p>
        </w:tc>
        <w:tc>
          <w:p>
            <w:pPr>
              <w:pStyle w:val="Compact"/>
              <w:jc w:val="center"/>
            </w:pPr>
            <w:r>
              <w:t xml:space="preserve">1.04 (0.91, 1.20)</w:t>
            </w:r>
          </w:p>
        </w:tc>
      </w:tr>
      <w:tr>
        <w:tc>
          <w:p>
            <w:pPr>
              <w:pStyle w:val="Compact"/>
              <w:jc w:val="left"/>
            </w:pPr>
            <w:r>
              <w:t xml:space="preserve">        2008</w:t>
            </w:r>
          </w:p>
        </w:tc>
        <w:tc>
          <w:p>
            <w:pPr>
              <w:pStyle w:val="Compact"/>
              <w:jc w:val="center"/>
            </w:pPr>
            <w:r>
              <w:t xml:space="preserve">-</w:t>
            </w:r>
          </w:p>
        </w:tc>
        <w:tc>
          <w:p>
            <w:pPr>
              <w:pStyle w:val="Compact"/>
              <w:jc w:val="center"/>
            </w:pPr>
            <w:r>
              <w:t xml:space="preserve">0.96 (0.83, 1.09)</w:t>
            </w:r>
          </w:p>
        </w:tc>
      </w:tr>
      <w:tr>
        <w:tc>
          <w:p>
            <w:pPr>
              <w:pStyle w:val="Compact"/>
              <w:jc w:val="left"/>
            </w:pPr>
            <w:r>
              <w:t xml:space="preserve">        2009</w:t>
            </w:r>
          </w:p>
        </w:tc>
        <w:tc>
          <w:p>
            <w:pPr>
              <w:pStyle w:val="Compact"/>
              <w:jc w:val="center"/>
            </w:pPr>
            <w:r>
              <w:t xml:space="preserve">-</w:t>
            </w:r>
          </w:p>
        </w:tc>
        <w:tc>
          <w:p>
            <w:pPr>
              <w:pStyle w:val="Compact"/>
              <w:jc w:val="center"/>
            </w:pPr>
            <w:r>
              <w:t xml:space="preserve">0.95 (0.81, 1.08)</w:t>
            </w:r>
          </w:p>
        </w:tc>
      </w:tr>
      <w:tr>
        <w:tc>
          <w:p>
            <w:pPr>
              <w:pStyle w:val="Compact"/>
              <w:jc w:val="left"/>
            </w:pPr>
            <w:r>
              <w:t xml:space="preserve">        2010</w:t>
            </w:r>
          </w:p>
        </w:tc>
        <w:tc>
          <w:p>
            <w:pPr>
              <w:pStyle w:val="Compact"/>
              <w:jc w:val="center"/>
            </w:pPr>
            <w:r>
              <w:t xml:space="preserve">-</w:t>
            </w:r>
          </w:p>
        </w:tc>
        <w:tc>
          <w:p>
            <w:pPr>
              <w:pStyle w:val="Compact"/>
              <w:jc w:val="center"/>
            </w:pPr>
            <w:r>
              <w:t xml:space="preserve">0.96 (0.82, 1.11)</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0.52 (SE 2.63)</w:t>
            </w:r>
            <w:r>
              <w:t xml:space="preserve"> </w:t>
            </w:r>
            <w:r>
              <w:t xml:space="preserve">from dropping the change in</w:t>
            </w:r>
            <w:r>
              <w:t xml:space="preserve"> </w:t>
            </w:r>
            <w:r>
              <w:t xml:space="preserve">policy from the model in the</w:t>
            </w:r>
            <w:r>
              <w:t xml:space="preserve"> </w:t>
            </w:r>
            <w:r>
              <w:t xml:space="preserve">UK born cohort and a -3.02 (SE</w:t>
            </w:r>
            <w:r>
              <w:t xml:space="preserve"> </w:t>
            </w:r>
            <w:r>
              <w:t xml:space="preserve">3.52) improvement in the</w:t>
            </w:r>
            <w:r>
              <w:t xml:space="preserve"> </w:t>
            </w:r>
            <w:r>
              <w:t xml:space="preserve">non-UK born cohort.LOOIC -</w:t>
            </w:r>
            <w:r>
              <w:t xml:space="preserve"> </w:t>
            </w:r>
            <w:r>
              <w:t xml:space="preserve">Leave one out cross validation</w:t>
            </w:r>
            <w:r>
              <w:t xml:space="preserve"> </w:t>
            </w:r>
            <w:r>
              <w:t xml:space="preserve">information criterion; SE -</w:t>
            </w:r>
            <w:r>
              <w:t xml:space="preserve"> </w:t>
            </w:r>
            <w:r>
              <w:t xml:space="preserve">Standard error</w:t>
            </w:r>
          </w:p>
        </w:tc>
        <w:tc>
          <w:p>
            <w:pPr>
              <w:pStyle w:val="Compact"/>
            </w:pPr>
          </w:p>
        </w:tc>
        <w:tc>
          <w:p>
            <w:pPr>
              <w:pStyle w:val="Compact"/>
            </w:pPr>
          </w:p>
        </w:tc>
      </w:tr>
    </w:tbl>
    <w:p>
      <w:pPr>
        <w:pStyle w:val="BodyText"/>
      </w:pPr>
      <w:r>
        <w:rPr>
          <w:b/>
        </w:rPr>
        <w:t xml:space="preserve">Adjusted estimates of the effect of the change in policy in those relevant to the targeted neonatal programme</w:t>
      </w:r>
    </w:p>
    <w:p>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(95%CrI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pPr>
        <w:pStyle w:val="BodyText"/>
      </w:pPr>
      <w:r>
        <w:t xml:space="preserve">For the comparable non-UK born cohort who were relevant to the targeted neonatal vaccination programme there was evidence, across all models, that change in policy was associated with a large decrease in incidence rates (IRR: 0.62 (95%CrI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pPr>
        <w:pStyle w:val="TableCaption"/>
      </w:pPr>
      <w:r>
        <w:t xml:space="preserve">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England, 2000-2015</w:t>
      </w:r>
    </w:p>
    <w:tbl>
      <w:tblPr>
        <w:tblStyle w:val="TableNormal"/>
        <w:tblW w:type="pct" w:w="5000.0"/>
        <w:tblLook w:firstRow="1"/>
        <w:tblCaption w:val="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England, 2000-2015"/>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0.96 (0.82, 1.14)</w:t>
            </w:r>
          </w:p>
        </w:tc>
        <w:tc>
          <w:p>
            <w:pPr>
              <w:pStyle w:val="Compact"/>
              <w:jc w:val="center"/>
            </w:pPr>
            <w:r>
              <w:t xml:space="preserve">0.62 (0.44,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0</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w:t>
            </w:r>
          </w:p>
        </w:tc>
        <w:tc>
          <w:p>
            <w:pPr>
              <w:pStyle w:val="Compact"/>
              <w:jc w:val="center"/>
            </w:pPr>
            <w:r>
              <w:t xml:space="preserve">1.39 (1.20, 1.61)</w:t>
            </w:r>
          </w:p>
        </w:tc>
        <w:tc>
          <w:p>
            <w:pPr>
              <w:pStyle w:val="Compact"/>
              <w:jc w:val="center"/>
            </w:pPr>
            <w:r>
              <w:t xml:space="preserve">0.49 (0.30, 0.83)</w:t>
            </w:r>
          </w:p>
        </w:tc>
      </w:tr>
      <w:tr>
        <w:tc>
          <w:p>
            <w:pPr>
              <w:pStyle w:val="Compact"/>
              <w:jc w:val="left"/>
            </w:pPr>
            <w:r>
              <w:t xml:space="preserve">        2</w:t>
            </w:r>
          </w:p>
        </w:tc>
        <w:tc>
          <w:p>
            <w:pPr>
              <w:pStyle w:val="Compact"/>
              <w:jc w:val="center"/>
            </w:pPr>
            <w:r>
              <w:t xml:space="preserve">1.24 (1.06, 1.44)</w:t>
            </w:r>
          </w:p>
        </w:tc>
        <w:tc>
          <w:p>
            <w:pPr>
              <w:pStyle w:val="Compact"/>
              <w:jc w:val="center"/>
            </w:pPr>
            <w:r>
              <w:t xml:space="preserve">0.49 (0.30, 0.80)</w:t>
            </w:r>
          </w:p>
        </w:tc>
      </w:tr>
      <w:tr>
        <w:tc>
          <w:p>
            <w:pPr>
              <w:pStyle w:val="Compact"/>
              <w:jc w:val="left"/>
            </w:pPr>
            <w:r>
              <w:t xml:space="preserve">        3</w:t>
            </w:r>
          </w:p>
        </w:tc>
        <w:tc>
          <w:p>
            <w:pPr>
              <w:pStyle w:val="Compact"/>
              <w:jc w:val="center"/>
            </w:pPr>
            <w:r>
              <w:t xml:space="preserve">1.21 (1.03, 1.41)</w:t>
            </w:r>
          </w:p>
        </w:tc>
        <w:tc>
          <w:p>
            <w:pPr>
              <w:pStyle w:val="Compact"/>
              <w:jc w:val="center"/>
            </w:pPr>
            <w:r>
              <w:t xml:space="preserve">0.42 (0.26, 0.68)</w:t>
            </w:r>
          </w:p>
        </w:tc>
      </w:tr>
      <w:tr>
        <w:tc>
          <w:p>
            <w:pPr>
              <w:pStyle w:val="Compact"/>
              <w:jc w:val="left"/>
            </w:pPr>
            <w:r>
              <w:t xml:space="preserve">        4</w:t>
            </w:r>
          </w:p>
        </w:tc>
        <w:tc>
          <w:p>
            <w:pPr>
              <w:pStyle w:val="Compact"/>
              <w:jc w:val="center"/>
            </w:pPr>
            <w:r>
              <w:t xml:space="preserve">0.90 (0.76, 1.06)</w:t>
            </w:r>
          </w:p>
        </w:tc>
        <w:tc>
          <w:p>
            <w:pPr>
              <w:pStyle w:val="Compact"/>
              <w:jc w:val="center"/>
            </w:pPr>
            <w:r>
              <w:t xml:space="preserve">0.41 (0.25, 0.66)</w:t>
            </w:r>
          </w:p>
        </w:tc>
      </w:tr>
      <w:tr>
        <w:tc>
          <w:p>
            <w:pPr>
              <w:pStyle w:val="Compact"/>
              <w:jc w:val="left"/>
            </w:pPr>
            <w:r>
              <w:t xml:space="preserve">        5</w:t>
            </w:r>
          </w:p>
        </w:tc>
        <w:tc>
          <w:p>
            <w:pPr>
              <w:pStyle w:val="Compact"/>
              <w:jc w:val="center"/>
            </w:pPr>
            <w:r>
              <w:t xml:space="preserve">0.89 (0.75, 1.06)</w:t>
            </w:r>
          </w:p>
        </w:tc>
        <w:tc>
          <w:p>
            <w:pPr>
              <w:pStyle w:val="Compact"/>
              <w:jc w:val="center"/>
            </w:pPr>
            <w:r>
              <w:t xml:space="preserve">0.27 (0.16, 0.45)</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1.12 (1.06, 1.18)</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1.25 (1.04, 1.51)</w:t>
            </w:r>
          </w:p>
        </w:tc>
      </w:tr>
      <w:tr>
        <w:tc>
          <w:p>
            <w:pPr>
              <w:pStyle w:val="Compact"/>
              <w:jc w:val="left"/>
            </w:pPr>
            <w:r>
              <w:t xml:space="preserve">Year of study elibility, group</w:t>
            </w:r>
            <w:r>
              <w:t xml:space="preserve"> </w:t>
            </w:r>
            <w:r>
              <w:t xml:space="preserve">level</w:t>
            </w:r>
          </w:p>
        </w:tc>
        <w:tc>
          <w:p>
            <w:pPr>
              <w:pStyle w:val="Compact"/>
            </w:pPr>
          </w:p>
        </w:tc>
        <w:tc>
          <w:p>
            <w:pPr>
              <w:pStyle w:val="Compact"/>
              <w:jc w:val="center"/>
            </w:pPr>
            <w:r>
              <w:t xml:space="preserve">-</w:t>
            </w:r>
          </w:p>
        </w:tc>
      </w:tr>
      <w:tr>
        <w:tc>
          <w:p>
            <w:pPr>
              <w:pStyle w:val="Compact"/>
              <w:jc w:val="left"/>
            </w:pPr>
            <w:r>
              <w:t xml:space="preserve">        Intercept</w:t>
            </w:r>
            <w:r>
              <w:t xml:space="preserve"> </w:t>
            </w:r>
            <w:r>
              <w:t xml:space="preserve">(standard deviation)</w:t>
            </w:r>
          </w:p>
        </w:tc>
        <w:tc>
          <w:p>
            <w:pPr>
              <w:pStyle w:val="Compact"/>
              <w:jc w:val="center"/>
            </w:pPr>
            <w:r>
              <w:t xml:space="preserve">1.13 (1.04, 1.26)</w:t>
            </w:r>
          </w:p>
        </w:tc>
        <w:tc>
          <w:p>
            <w:pPr>
              <w:pStyle w:val="Compact"/>
              <w:jc w:val="center"/>
            </w:pPr>
            <w:r>
              <w:t xml:space="preserve">-</w:t>
            </w:r>
          </w:p>
        </w:tc>
      </w:tr>
      <w:tr>
        <w:tc>
          <w:p>
            <w:pPr>
              <w:pStyle w:val="Compact"/>
              <w:jc w:val="left"/>
            </w:pPr>
            <w:r>
              <w:t xml:space="preserve">Year of study elibility,</w:t>
            </w:r>
            <w:r>
              <w:t xml:space="preserve"> </w:t>
            </w:r>
            <w:r>
              <w:t xml:space="preserve">individual level</w:t>
            </w:r>
          </w:p>
        </w:tc>
        <w:tc>
          <w:p>
            <w:pPr>
              <w:pStyle w:val="Compact"/>
            </w:pPr>
          </w:p>
        </w:tc>
        <w:tc>
          <w:p>
            <w:pPr>
              <w:pStyle w:val="Compact"/>
              <w:jc w:val="center"/>
            </w:pPr>
            <w:r>
              <w:t xml:space="preserve">-</w:t>
            </w:r>
          </w:p>
        </w:tc>
      </w:tr>
      <w:tr>
        <w:tc>
          <w:p>
            <w:pPr>
              <w:pStyle w:val="Compact"/>
              <w:jc w:val="left"/>
            </w:pPr>
            <w:r>
              <w:t xml:space="preserve">        2000</w:t>
            </w:r>
          </w:p>
        </w:tc>
        <w:tc>
          <w:p>
            <w:pPr>
              <w:pStyle w:val="Compact"/>
              <w:jc w:val="center"/>
            </w:pPr>
            <w:r>
              <w:t xml:space="preserve">0.83 (0.68, 0.99)</w:t>
            </w:r>
          </w:p>
        </w:tc>
        <w:tc>
          <w:p>
            <w:pPr>
              <w:pStyle w:val="Compact"/>
              <w:jc w:val="center"/>
            </w:pPr>
            <w:r>
              <w:t xml:space="preserve">-</w:t>
            </w:r>
          </w:p>
        </w:tc>
      </w:tr>
      <w:tr>
        <w:tc>
          <w:p>
            <w:pPr>
              <w:pStyle w:val="Compact"/>
              <w:jc w:val="left"/>
            </w:pPr>
            <w:r>
              <w:t xml:space="preserve">        2001</w:t>
            </w:r>
          </w:p>
        </w:tc>
        <w:tc>
          <w:p>
            <w:pPr>
              <w:pStyle w:val="Compact"/>
              <w:jc w:val="center"/>
            </w:pPr>
            <w:r>
              <w:t xml:space="preserve">0.93 (0.79, 1.07)</w:t>
            </w:r>
          </w:p>
        </w:tc>
        <w:tc>
          <w:p>
            <w:pPr>
              <w:pStyle w:val="Compact"/>
              <w:jc w:val="center"/>
            </w:pPr>
            <w:r>
              <w:t xml:space="preserve">-</w:t>
            </w:r>
          </w:p>
        </w:tc>
      </w:tr>
      <w:tr>
        <w:tc>
          <w:p>
            <w:pPr>
              <w:pStyle w:val="Compact"/>
              <w:jc w:val="left"/>
            </w:pPr>
            <w:r>
              <w:t xml:space="preserve">        2002</w:t>
            </w:r>
          </w:p>
        </w:tc>
        <w:tc>
          <w:p>
            <w:pPr>
              <w:pStyle w:val="Compact"/>
              <w:jc w:val="center"/>
            </w:pPr>
            <w:r>
              <w:t xml:space="preserve">1.08 (0.95, 1.28)</w:t>
            </w:r>
          </w:p>
        </w:tc>
        <w:tc>
          <w:p>
            <w:pPr>
              <w:pStyle w:val="Compact"/>
              <w:jc w:val="center"/>
            </w:pPr>
            <w:r>
              <w:t xml:space="preserve">-</w:t>
            </w:r>
          </w:p>
        </w:tc>
      </w:tr>
      <w:tr>
        <w:tc>
          <w:p>
            <w:pPr>
              <w:pStyle w:val="Compact"/>
              <w:jc w:val="left"/>
            </w:pPr>
            <w:r>
              <w:t xml:space="preserve">        2003</w:t>
            </w:r>
          </w:p>
        </w:tc>
        <w:tc>
          <w:p>
            <w:pPr>
              <w:pStyle w:val="Compact"/>
              <w:jc w:val="center"/>
            </w:pPr>
            <w:r>
              <w:t xml:space="preserve">1.07 (0.93, 1.26)</w:t>
            </w:r>
          </w:p>
        </w:tc>
        <w:tc>
          <w:p>
            <w:pPr>
              <w:pStyle w:val="Compact"/>
              <w:jc w:val="center"/>
            </w:pPr>
            <w:r>
              <w:t xml:space="preserve">-</w:t>
            </w:r>
          </w:p>
        </w:tc>
      </w:tr>
      <w:tr>
        <w:tc>
          <w:p>
            <w:pPr>
              <w:pStyle w:val="Compact"/>
              <w:jc w:val="left"/>
            </w:pPr>
            <w:r>
              <w:t xml:space="preserve">        2004</w:t>
            </w:r>
          </w:p>
        </w:tc>
        <w:tc>
          <w:p>
            <w:pPr>
              <w:pStyle w:val="Compact"/>
              <w:jc w:val="center"/>
            </w:pPr>
            <w:r>
              <w:t xml:space="preserve">1.12 (0.97, 1.32)</w:t>
            </w:r>
          </w:p>
        </w:tc>
        <w:tc>
          <w:p>
            <w:pPr>
              <w:pStyle w:val="Compact"/>
              <w:jc w:val="center"/>
            </w:pPr>
            <w:r>
              <w:t xml:space="preserve">-</w:t>
            </w:r>
          </w:p>
        </w:tc>
      </w:tr>
      <w:tr>
        <w:tc>
          <w:p>
            <w:pPr>
              <w:pStyle w:val="Compact"/>
              <w:jc w:val="left"/>
            </w:pPr>
            <w:r>
              <w:t xml:space="preserve">        2005</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2006</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2007</w:t>
            </w:r>
          </w:p>
        </w:tc>
        <w:tc>
          <w:p>
            <w:pPr>
              <w:pStyle w:val="Compact"/>
              <w:jc w:val="center"/>
            </w:pPr>
            <w:r>
              <w:t xml:space="preserve">0.97 (0.83, 1.11)</w:t>
            </w:r>
          </w:p>
        </w:tc>
        <w:tc>
          <w:p>
            <w:pPr>
              <w:pStyle w:val="Compact"/>
              <w:jc w:val="center"/>
            </w:pPr>
            <w:r>
              <w:t xml:space="preserve">-</w:t>
            </w:r>
          </w:p>
        </w:tc>
      </w:tr>
      <w:tr>
        <w:tc>
          <w:p>
            <w:pPr>
              <w:pStyle w:val="Compact"/>
              <w:jc w:val="left"/>
            </w:pPr>
            <w:r>
              <w:t xml:space="preserve">        2008</w:t>
            </w:r>
          </w:p>
        </w:tc>
        <w:tc>
          <w:p>
            <w:pPr>
              <w:pStyle w:val="Compact"/>
              <w:jc w:val="center"/>
            </w:pPr>
            <w:r>
              <w:t xml:space="preserve">1.01 (0.88, 1.15)</w:t>
            </w:r>
          </w:p>
        </w:tc>
        <w:tc>
          <w:p>
            <w:pPr>
              <w:pStyle w:val="Compact"/>
              <w:jc w:val="center"/>
            </w:pPr>
            <w:r>
              <w:t xml:space="preserve">-</w:t>
            </w:r>
          </w:p>
        </w:tc>
      </w:tr>
      <w:tr>
        <w:tc>
          <w:p>
            <w:pPr>
              <w:pStyle w:val="Compact"/>
              <w:jc w:val="left"/>
            </w:pPr>
            <w:r>
              <w:t xml:space="preserve">        2009</w:t>
            </w:r>
          </w:p>
        </w:tc>
        <w:tc>
          <w:p>
            <w:pPr>
              <w:pStyle w:val="Compact"/>
              <w:jc w:val="center"/>
            </w:pPr>
            <w:r>
              <w:t xml:space="preserve">1.01 (0.88, 1.16)</w:t>
            </w:r>
          </w:p>
        </w:tc>
        <w:tc>
          <w:p>
            <w:pPr>
              <w:pStyle w:val="Compact"/>
              <w:jc w:val="center"/>
            </w:pPr>
            <w:r>
              <w:t xml:space="preserve">-</w:t>
            </w:r>
          </w:p>
        </w:tc>
      </w:tr>
      <w:tr>
        <w:tc>
          <w:p>
            <w:pPr>
              <w:pStyle w:val="Compact"/>
              <w:jc w:val="left"/>
            </w:pPr>
            <w:r>
              <w:t xml:space="preserve">        2010</w:t>
            </w:r>
          </w:p>
        </w:tc>
        <w:tc>
          <w:p>
            <w:pPr>
              <w:pStyle w:val="Compact"/>
              <w:jc w:val="center"/>
            </w:pPr>
            <w:r>
              <w:t xml:space="preserve">0.98 (0.85, 1.13)</w:t>
            </w:r>
          </w:p>
        </w:tc>
        <w:tc>
          <w:p>
            <w:pPr>
              <w:pStyle w:val="Compact"/>
              <w:jc w:val="center"/>
            </w:pPr>
            <w:r>
              <w:t xml:space="preserve">-</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0.92 (SE 1.07)</w:t>
            </w:r>
            <w:r>
              <w:t xml:space="preserve"> </w:t>
            </w:r>
            <w:r>
              <w:t xml:space="preserve">from dropping the change in</w:t>
            </w:r>
            <w:r>
              <w:t xml:space="preserve"> </w:t>
            </w:r>
            <w:r>
              <w:t xml:space="preserve">policy from the model in the</w:t>
            </w:r>
            <w:r>
              <w:t xml:space="preserve"> </w:t>
            </w:r>
            <w:r>
              <w:t xml:space="preserve">UK born cohort and a -3.45 (SE</w:t>
            </w:r>
            <w:r>
              <w:t xml:space="preserve"> </w:t>
            </w:r>
            <w:r>
              <w:t xml:space="preserve">4.63) improvement in the</w:t>
            </w:r>
            <w:r>
              <w:t xml:space="preserve"> </w:t>
            </w:r>
            <w:r>
              <w:t xml:space="preserve">non-UK born cohort.LOOIC -</w:t>
            </w:r>
            <w:r>
              <w:t xml:space="preserve"> </w:t>
            </w:r>
            <w:r>
              <w:t xml:space="preserve">Leave one out cross validation</w:t>
            </w:r>
            <w:r>
              <w:t xml:space="preserve"> </w:t>
            </w:r>
            <w:r>
              <w:t xml:space="preserve">information criterion; SE -</w:t>
            </w:r>
            <w:r>
              <w:t xml:space="preserve"> </w:t>
            </w:r>
            <w:r>
              <w:t xml:space="preserve">Standard error</w:t>
            </w:r>
          </w:p>
        </w:tc>
        <w:tc>
          <w:p>
            <w:pPr>
              <w:pStyle w:val="Compact"/>
            </w:pPr>
          </w:p>
        </w:tc>
        <w:tc>
          <w:p>
            <w:pPr>
              <w:pStyle w:val="Compact"/>
            </w:pPr>
          </w:p>
        </w:tc>
      </w:tr>
    </w:tbl>
    <w:p>
      <w:pPr>
        <w:pStyle w:val="BodyText"/>
      </w:pPr>
      <w:r>
        <w:rPr>
          <w:b/>
        </w:rPr>
        <w:t xml:space="preserve">Magnitude of the estimated impact of the change in BCG policy</w:t>
      </w:r>
    </w:p>
    <w:p>
      <w:pPr>
        <w:pStyle w:val="BodyText"/>
      </w:pPr>
      <w:r>
        <w:t xml:space="preserve">We estimate that the change in vaccination policy was associated with preventing 385 (95%CrI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pPr>
        <w:pStyle w:val="TableCaption"/>
      </w:pPr>
      <w:r>
        <w:t xml:space="preserve">Table 4: Estimated number of cases prevented, from 2005 until 2015, for each vaccination programme in the study population relevant to that programme, using the best fitting model for each cohort. England, 2000-2015</w:t>
      </w:r>
    </w:p>
    <w:tbl>
      <w:tblPr>
        <w:tblStyle w:val="TableNormal"/>
        <w:tblW w:type="pct" w:w="5000.0"/>
        <w:tblLook w:firstRow="1"/>
        <w:tblCaption w:val="Table 4: Estimated number of cases prevented, from 2005 until 2015, for each vaccination programme in the study population relevant to that programme, using the best fitting model for each cohort. England, 2000-2015"/>
      </w:tblPr>
      <w:tblGrid>
        <w:gridCol w:w="4525"/>
        <w:gridCol w:w="848"/>
        <w:gridCol w:w="1640"/>
        <w:gridCol w:w="905"/>
      </w:tblGrid>
      <w:tr>
        <w:trPr>
          <w:cnfStyle w:firstRow="1"/>
        </w:trPr>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Cases Prevented (95% CrI*)</w:t>
            </w:r>
          </w:p>
        </w:tc>
        <w:tc>
          <w:tcPr>
            <w:tcBorders>
              <w:bottom w:val="single"/>
            </w:tcBorders>
            <w:vAlign w:val="bottom"/>
          </w:tcPr>
          <w:p>
            <w:pPr>
              <w:pStyle w:val="Compact"/>
              <w:jc w:val="center"/>
            </w:pPr>
            <w:r>
              <w:t xml:space="preserve">Notified Cases</w:t>
            </w:r>
          </w:p>
        </w:tc>
      </w:tr>
      <w:tr>
        <w:tc>
          <w:p>
            <w:pPr>
              <w:pStyle w:val="Compact"/>
              <w:jc w:val="left"/>
            </w:pPr>
            <w:r>
              <w:t xml:space="preserve">Universal school-age (14)</w:t>
            </w:r>
          </w:p>
        </w:tc>
        <w:tc>
          <w:p>
            <w:pPr>
              <w:pStyle w:val="Compact"/>
            </w:pPr>
          </w:p>
        </w:tc>
        <w:tc>
          <w:p>
            <w:pPr>
              <w:pStyle w:val="Compact"/>
              <w:jc w:val="center"/>
            </w:pPr>
            <w:r>
              <w:t xml:space="preserve">-291 (24, -571)</w:t>
            </w:r>
          </w:p>
        </w:tc>
        <w:tc>
          <w:p>
            <w:pPr>
              <w:pStyle w:val="Compact"/>
              <w:jc w:val="center"/>
            </w:pPr>
            <w:r>
              <w:t xml:space="preserve">2364</w:t>
            </w:r>
          </w:p>
        </w:tc>
      </w:tr>
      <w:tr>
        <w:tc>
          <w:p>
            <w:pPr>
              <w:pStyle w:val="Compact"/>
            </w:pPr>
          </w:p>
        </w:tc>
        <w:tc>
          <w:p>
            <w:pPr>
              <w:pStyle w:val="Compact"/>
              <w:jc w:val="left"/>
            </w:pPr>
            <w:r>
              <w:t xml:space="preserve">UK born</w:t>
            </w:r>
          </w:p>
        </w:tc>
        <w:tc>
          <w:p>
            <w:pPr>
              <w:pStyle w:val="Compact"/>
              <w:jc w:val="center"/>
            </w:pPr>
            <w:r>
              <w:t xml:space="preserve">76 (188, -26)</w:t>
            </w:r>
          </w:p>
        </w:tc>
        <w:tc>
          <w:p>
            <w:pPr>
              <w:pStyle w:val="Compact"/>
              <w:jc w:val="center"/>
            </w:pPr>
            <w:r>
              <w:t xml:space="preserve">969</w:t>
            </w:r>
          </w:p>
        </w:tc>
      </w:tr>
      <w:tr>
        <w:tc>
          <w:p>
            <w:pPr>
              <w:pStyle w:val="Compact"/>
            </w:pPr>
          </w:p>
        </w:tc>
        <w:tc>
          <w:p>
            <w:pPr>
              <w:pStyle w:val="Compact"/>
              <w:jc w:val="left"/>
            </w:pPr>
            <w:r>
              <w:t xml:space="preserve">Non-UK born</w:t>
            </w:r>
          </w:p>
        </w:tc>
        <w:tc>
          <w:p>
            <w:pPr>
              <w:pStyle w:val="Compact"/>
              <w:jc w:val="center"/>
            </w:pPr>
            <w:r>
              <w:t xml:space="preserve">-367 (-165, -546)</w:t>
            </w:r>
          </w:p>
        </w:tc>
        <w:tc>
          <w:p>
            <w:pPr>
              <w:pStyle w:val="Compact"/>
              <w:jc w:val="center"/>
            </w:pPr>
            <w:r>
              <w:t xml:space="preserve">1395</w:t>
            </w:r>
          </w:p>
        </w:tc>
      </w:tr>
      <w:tr>
        <w:tc>
          <w:p>
            <w:pPr>
              <w:pStyle w:val="Compact"/>
              <w:jc w:val="left"/>
            </w:pPr>
            <w:r>
              <w:t xml:space="preserve">Targeted high-risk neonates (0)</w:t>
            </w:r>
          </w:p>
        </w:tc>
        <w:tc>
          <w:p>
            <w:pPr>
              <w:pStyle w:val="Compact"/>
            </w:pPr>
          </w:p>
        </w:tc>
        <w:tc>
          <w:p>
            <w:pPr>
              <w:pStyle w:val="Compact"/>
              <w:jc w:val="center"/>
            </w:pPr>
            <w:r>
              <w:t xml:space="preserve">94 (-81, 310)</w:t>
            </w:r>
          </w:p>
        </w:tc>
        <w:tc>
          <w:p>
            <w:pPr>
              <w:pStyle w:val="Compact"/>
              <w:jc w:val="center"/>
            </w:pPr>
            <w:r>
              <w:t xml:space="preserve">906</w:t>
            </w:r>
          </w:p>
        </w:tc>
      </w:tr>
      <w:tr>
        <w:tc>
          <w:p>
            <w:pPr>
              <w:pStyle w:val="Compact"/>
            </w:pPr>
          </w:p>
        </w:tc>
        <w:tc>
          <w:p>
            <w:pPr>
              <w:pStyle w:val="Compact"/>
              <w:jc w:val="left"/>
            </w:pPr>
            <w:r>
              <w:t xml:space="preserve">UK born</w:t>
            </w:r>
          </w:p>
        </w:tc>
        <w:tc>
          <w:p>
            <w:pPr>
              <w:pStyle w:val="Compact"/>
              <w:jc w:val="center"/>
            </w:pPr>
            <w:r>
              <w:t xml:space="preserve">30 (-95, 173)</w:t>
            </w:r>
          </w:p>
        </w:tc>
        <w:tc>
          <w:p>
            <w:pPr>
              <w:pStyle w:val="Compact"/>
              <w:jc w:val="center"/>
            </w:pPr>
            <w:r>
              <w:t xml:space="preserve">800</w:t>
            </w:r>
          </w:p>
        </w:tc>
      </w:tr>
      <w:tr>
        <w:tc>
          <w:p>
            <w:pPr>
              <w:pStyle w:val="Compact"/>
            </w:pPr>
          </w:p>
        </w:tc>
        <w:tc>
          <w:p>
            <w:pPr>
              <w:pStyle w:val="Compact"/>
              <w:jc w:val="left"/>
            </w:pPr>
            <w:r>
              <w:t xml:space="preserve">Non-UK born</w:t>
            </w:r>
          </w:p>
        </w:tc>
        <w:tc>
          <w:p>
            <w:pPr>
              <w:pStyle w:val="Compact"/>
              <w:jc w:val="center"/>
            </w:pPr>
            <w:r>
              <w:t xml:space="preserve">65 (14, 137)</w:t>
            </w:r>
          </w:p>
        </w:tc>
        <w:tc>
          <w:p>
            <w:pPr>
              <w:pStyle w:val="Compact"/>
              <w:jc w:val="center"/>
            </w:pPr>
            <w:r>
              <w:t xml:space="preserve">106</w:t>
            </w:r>
          </w:p>
        </w:tc>
      </w:tr>
      <w:tr>
        <w:tc>
          <w:p>
            <w:pPr>
              <w:pStyle w:val="Compact"/>
              <w:jc w:val="left"/>
            </w:pPr>
            <w:r>
              <w:t xml:space="preserve">Change in Policy†</w:t>
            </w:r>
          </w:p>
        </w:tc>
        <w:tc>
          <w:p>
            <w:pPr>
              <w:pStyle w:val="Compact"/>
            </w:pPr>
          </w:p>
        </w:tc>
        <w:tc>
          <w:p>
            <w:pPr>
              <w:pStyle w:val="Compact"/>
              <w:jc w:val="center"/>
            </w:pPr>
            <w:r>
              <w:t xml:space="preserve">385 (-105, 881)</w:t>
            </w:r>
          </w:p>
        </w:tc>
        <w:tc>
          <w:p>
            <w:pPr>
              <w:pStyle w:val="Compact"/>
              <w:jc w:val="center"/>
            </w:pPr>
            <w:r>
              <w:t xml:space="preserve">3270</w:t>
            </w:r>
          </w:p>
        </w:tc>
      </w:tr>
      <w:tr>
        <w:tc>
          <w:p>
            <w:pPr>
              <w:pStyle w:val="Compact"/>
            </w:pPr>
          </w:p>
        </w:tc>
        <w:tc>
          <w:p>
            <w:pPr>
              <w:pStyle w:val="Compact"/>
              <w:jc w:val="left"/>
            </w:pPr>
            <w:r>
              <w:t xml:space="preserve">UK born</w:t>
            </w:r>
          </w:p>
        </w:tc>
        <w:tc>
          <w:p>
            <w:pPr>
              <w:pStyle w:val="Compact"/>
              <w:jc w:val="center"/>
            </w:pPr>
            <w:r>
              <w:t xml:space="preserve">-46 (-284, 199)</w:t>
            </w:r>
          </w:p>
        </w:tc>
        <w:tc>
          <w:p>
            <w:pPr>
              <w:pStyle w:val="Compact"/>
              <w:jc w:val="center"/>
            </w:pPr>
            <w:r>
              <w:t xml:space="preserve">1769</w:t>
            </w:r>
          </w:p>
        </w:tc>
      </w:tr>
      <w:tr>
        <w:tc>
          <w:p>
            <w:pPr>
              <w:pStyle w:val="Compact"/>
            </w:pPr>
          </w:p>
        </w:tc>
        <w:tc>
          <w:p>
            <w:pPr>
              <w:pStyle w:val="Compact"/>
              <w:jc w:val="left"/>
            </w:pPr>
            <w:r>
              <w:t xml:space="preserve">Non-UK born</w:t>
            </w:r>
          </w:p>
        </w:tc>
        <w:tc>
          <w:p>
            <w:pPr>
              <w:pStyle w:val="Compact"/>
              <w:jc w:val="center"/>
            </w:pPr>
            <w:r>
              <w:t xml:space="preserve">431 (179, 682)</w:t>
            </w:r>
          </w:p>
        </w:tc>
        <w:tc>
          <w:p>
            <w:pPr>
              <w:pStyle w:val="Compact"/>
              <w:jc w:val="center"/>
            </w:pPr>
            <w:r>
              <w:t xml:space="preserve">1501</w:t>
            </w:r>
          </w:p>
        </w:tc>
      </w:tr>
      <w:tr>
        <w:tc>
          <w:p>
            <w:pPr>
              <w:pStyle w:val="Compact"/>
              <w:jc w:val="left"/>
            </w:pPr>
            <w:r>
              <w:t xml:space="preserve">*95% CrI: 95% credible interval, † Estimated total number of cases prevented</w:t>
            </w:r>
            <w:r>
              <w:t xml:space="preserve"> </w:t>
            </w:r>
            <w:r>
              <w:t xml:space="preserve">due to the change in vaccination policy in 2005</w:t>
            </w:r>
          </w:p>
        </w:tc>
        <w:tc>
          <w:p>
            <w:pPr>
              <w:pStyle w:val="Compact"/>
            </w:pPr>
          </w:p>
        </w:tc>
        <w:tc>
          <w:p>
            <w:pPr>
              <w:pStyle w:val="Compact"/>
            </w:pPr>
          </w:p>
        </w:tc>
        <w:tc>
          <w:p>
            <w:pPr>
              <w:pStyle w:val="Compact"/>
            </w:pPr>
          </w:p>
        </w:tc>
      </w:tr>
    </w:tbl>
    <w:p>
      <w:pPr>
        <w:pStyle w:val="Heading5"/>
      </w:pPr>
      <w:bookmarkStart w:id="27" w:name="pagebreak-4"/>
      <w:bookmarkEnd w:id="27"/>
      <w:r>
        <w:t xml:space="preserve">PAGEBREAK</w:t>
      </w:r>
    </w:p>
    <w:p>
      <w:pPr>
        <w:pStyle w:val="FirstParagraph"/>
      </w:pPr>
      <w:r>
        <w:rPr>
          <w:b/>
        </w:rPr>
        <w:t xml:space="preserve">DISCUSSION</w:t>
      </w:r>
    </w:p>
    <w:p>
      <w:pPr>
        <w:pStyle w:val="BodyText"/>
      </w:pPr>
      <w:r>
        <w:t xml:space="preserve">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(95%CrI -105, 881) cases in the study population, from 2005 until the end of the study period, with the majority of the cases prevented in the non-UK born.</w:t>
      </w:r>
    </w:p>
    <w:p>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w:t>
      </w:r>
      <w:r>
        <w:t xml:space="preserve">[19,20]</w:t>
      </w:r>
      <w:r>
        <w:t xml:space="preserve">.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w:t>
      </w:r>
      <w:r>
        <w:t xml:space="preserve">[21–23]</w:t>
      </w:r>
      <w:r>
        <w:t xml:space="preserve">,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missing not at random mechanisms captured by variables included in the imputation model. We were unable to adjust for known demographic risk factors for TB, notably socio-economic status</w:t>
      </w:r>
      <w:r>
        <w:t xml:space="preserve">[24,25]</w:t>
      </w:r>
      <w:r>
        <w:t xml:space="preserve">, and ethnicity</w:t>
      </w:r>
      <w:r>
        <w:t xml:space="preserve">[24–26]</w:t>
      </w:r>
      <w:r>
        <w:t xml:space="preserve">.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w:t>
      </w:r>
      <w:r>
        <w:t xml:space="preserve">[27]</w:t>
      </w:r>
      <w:r>
        <w:t xml:space="preserve">. 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risk</w:t>
      </w:r>
      <w:r>
        <w:t xml:space="preserve">[28]</w:t>
      </w:r>
      <w:r>
        <w:t xml:space="preserve">,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w:t>
      </w:r>
      <w:r>
        <w:t xml:space="preserve">[29]</w:t>
      </w:r>
      <w:r>
        <w:t xml:space="preserve">.</w:t>
      </w:r>
    </w:p>
    <w:p>
      <w:pPr>
        <w:pStyle w:val="BodyText"/>
      </w:pPr>
      <w:r>
        <w:t xml:space="preserve">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p>
    <w:p>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r>
        <w:t xml:space="preserve"> </w:t>
      </w:r>
      <w:r>
        <w:t xml:space="preserve">The code used to clean the data used in this paper can be found at:</w:t>
      </w:r>
      <w:r>
        <w:t xml:space="preserve"> </w:t>
      </w:r>
      <w:hyperlink r:id="rId28">
        <w:r>
          <w:rPr>
            <w:rStyle w:val="Hyperlink"/>
          </w:rPr>
          <w:t xml:space="preserve">DOI:10.5281/zenodo.2551555</w:t>
        </w:r>
      </w:hyperlink>
      <w:r>
        <w:t xml:space="preserve"> </w:t>
      </w:r>
      <w:r>
        <w:t xml:space="preserve">The code for this analysis, interim results, and final results can be found at:</w:t>
      </w:r>
      <w:r>
        <w:t xml:space="preserve"> </w:t>
      </w:r>
      <w:hyperlink r:id="rId29">
        <w:r>
          <w:rPr>
            <w:rStyle w:val="Hyperlink"/>
          </w:rPr>
          <w:t xml:space="preserve">DOI:10.5281/zenodo.2583056</w:t>
        </w:r>
      </w:hyperlink>
    </w:p>
    <w:p>
      <w:pPr>
        <w:pStyle w:val="BodyText"/>
      </w:pPr>
      <w:r>
        <w:rPr>
          <w:b/>
        </w:rPr>
        <w:t xml:space="preserve">Results</w:t>
      </w:r>
      <w:r>
        <w:t xml:space="preserve"> </w:t>
      </w:r>
      <w:r>
        <w:rPr>
          <w:i/>
        </w:rPr>
        <w:t xml:space="preserve">copy to top of paper</w:t>
      </w:r>
    </w:p>
    <w:p>
      <w:pPr>
        <w:pStyle w:val="BodyText"/>
      </w:pPr>
      <w:r>
        <w:t xml:space="preserve">In the non-UK born, we found evidence for an association between a reduction in incidence rates and the change in BCG policy (school-age incidence rate ratio (IRR): 0.74 (95% credible interval (CrI) 0.61,0.88), neonatal IRR: 0.62 (95%CrI 0.44,0.88)). We found some evidence that the change in policy was associated with an increase in incidence rates in the UK born school-age population (IRR: 1.08 (95%CrI 0.97,1.19)) and weaker evidence of an association with a reduction in incidence rates in UK born neonates (IRR: 0.96 (95%CrI 0.82,1.14)). Overall, we found that the change in policy was associated with directly preventing 385 (95%CrI -105,881) cases.</w:t>
      </w:r>
    </w:p>
    <w:p>
      <w:pPr>
        <w:pStyle w:val="Heading5"/>
      </w:pPr>
      <w:bookmarkStart w:id="30" w:name="pagebreak-5"/>
      <w:bookmarkEnd w:id="30"/>
      <w:r>
        <w:t xml:space="preserve">PAGEBREAK</w:t>
      </w:r>
    </w:p>
    <w:p>
      <w:pPr>
        <w:pStyle w:val="FirstParagraph"/>
      </w:pPr>
      <w:r>
        <w:rPr>
          <w:b/>
        </w:rPr>
        <w:t xml:space="preserve">REFERENCES</w:t>
      </w:r>
    </w:p>
    <w:p>
      <w:pPr>
        <w:pStyle w:val="BodyText"/>
      </w:pPr>
      <w:r>
        <w:t xml:space="preserve">1 PHE. Tuberculosis in England 2016 Report (presenting data to end of 2015).</w:t>
      </w:r>
      <w:r>
        <w:t xml:space="preserve"> </w:t>
      </w:r>
      <w:r>
        <w:rPr>
          <w:i/>
        </w:rPr>
        <w:t xml:space="preserve">Public Heal Engl</w:t>
      </w:r>
      <w:r>
        <w:t xml:space="preserve"> </w:t>
      </w:r>
      <w:r>
        <w:t xml:space="preserve">2016;</w:t>
      </w:r>
      <w:r>
        <w:rPr>
          <w:b/>
        </w:rPr>
        <w:t xml:space="preserve">Version 1.</w:t>
      </w:r>
      <w:r>
        <w:t xml:space="preserve">:173.</w:t>
      </w:r>
    </w:p>
    <w:p>
      <w:pPr>
        <w:pStyle w:val="BodyText"/>
      </w:pPr>
      <w:r>
        <w:t xml:space="preserve">2 Fine P. Stopping routine vaccination for tuberculosis in schools.</w:t>
      </w:r>
      <w:r>
        <w:t xml:space="preserve"> </w:t>
      </w:r>
      <w:r>
        <w:rPr>
          <w:i/>
        </w:rPr>
        <w:t xml:space="preserve">BMJ</w:t>
      </w:r>
      <w:r>
        <w:t xml:space="preserve"> </w:t>
      </w:r>
      <w:r>
        <w:t xml:space="preserve">2005;</w:t>
      </w:r>
      <w:r>
        <w:rPr>
          <w:b/>
        </w:rPr>
        <w:t xml:space="preserve">331</w:t>
      </w:r>
      <w:r>
        <w:t xml:space="preserve">:647–8. doi:</w:t>
      </w:r>
      <w:hyperlink r:id="rId31">
        <w:r>
          <w:rPr>
            <w:rStyle w:val="Hyperlink"/>
          </w:rPr>
          <w:t xml:space="preserve">10.1136/bmj.331.7518.647</w:t>
        </w:r>
      </w:hyperlink>
    </w:p>
    <w:p>
      <w:pPr>
        <w:pStyle w:val="BodyText"/>
      </w:pPr>
      <w:r>
        <w:t xml:space="preserve">3 Teo SSS. Does BCG have a role in tuberculosis control and prevention in the United Kingdom?</w:t>
      </w:r>
      <w:r>
        <w:t xml:space="preserve"> </w:t>
      </w:r>
      <w:r>
        <w:rPr>
          <w:i/>
        </w:rPr>
        <w:t xml:space="preserve">Arch Dis Child</w:t>
      </w:r>
      <w:r>
        <w:t xml:space="preserve"> </w:t>
      </w:r>
      <w:r>
        <w:t xml:space="preserve">2006;</w:t>
      </w:r>
      <w:r>
        <w:rPr>
          <w:b/>
        </w:rPr>
        <w:t xml:space="preserve">91</w:t>
      </w:r>
      <w:r>
        <w:t xml:space="preserve">:529–31. doi:</w:t>
      </w:r>
      <w:hyperlink r:id="rId32">
        <w:r>
          <w:rPr>
            <w:rStyle w:val="Hyperlink"/>
          </w:rPr>
          <w:t xml:space="preserve">10.1136/adc.2005.085043</w:t>
        </w:r>
      </w:hyperlink>
    </w:p>
    <w:p>
      <w:pPr>
        <w:pStyle w:val="BodyText"/>
      </w:pPr>
      <w:r>
        <w:t xml:space="preserve">4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33">
        <w:r>
          <w:rPr>
            <w:rStyle w:val="Hyperlink"/>
          </w:rPr>
          <w:t xml:space="preserve">http://www.ncbi.nlm.nih.gov/pubmed/8144299</w:t>
        </w:r>
      </w:hyperlink>
    </w:p>
    <w:p>
      <w:pPr>
        <w:pStyle w:val="BodyText"/>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34">
        <w:r>
          <w:rPr>
            <w:rStyle w:val="Hyperlink"/>
          </w:rPr>
          <w:t xml:space="preserve">10.1001/jama.1994.03510330076038</w:t>
        </w:r>
      </w:hyperlink>
    </w:p>
    <w:p>
      <w:pPr>
        <w:pStyle w:val="BodyText"/>
      </w:pPr>
      <w:r>
        <w:t xml:space="preserve">6 Roy a, Eisenhut M, Harris RJ</w:t>
      </w:r>
      <w:r>
        <w:t xml:space="preserve"> </w:t>
      </w:r>
      <w:r>
        <w:rPr>
          <w:i/>
        </w:rPr>
        <w:t xml:space="preserve">et al.</w:t>
      </w:r>
      <w:r>
        <w:t xml:space="preserve"> </w:t>
      </w:r>
      <w:r>
        <w:t xml:space="preserve">Effect of BCG vaccination against Mycobacterium tuberculosis infection in children: systematic review and meta-analysis.</w:t>
      </w:r>
      <w:r>
        <w:t xml:space="preserve"> </w:t>
      </w:r>
      <w:r>
        <w:rPr>
          <w:i/>
        </w:rPr>
        <w:t xml:space="preserve">Bmj</w:t>
      </w:r>
      <w:r>
        <w:t xml:space="preserve"> </w:t>
      </w:r>
      <w:r>
        <w:t xml:space="preserve">2014;</w:t>
      </w:r>
      <w:r>
        <w:rPr>
          <w:b/>
        </w:rPr>
        <w:t xml:space="preserve">349</w:t>
      </w:r>
      <w:r>
        <w:t xml:space="preserve">:g4643–3. doi:</w:t>
      </w:r>
      <w:hyperlink r:id="rId35">
        <w:r>
          <w:rPr>
            <w:rStyle w:val="Hyperlink"/>
          </w:rPr>
          <w:t xml:space="preserve">10.1136/bmj.g4643</w:t>
        </w:r>
      </w:hyperlink>
    </w:p>
    <w:p>
      <w:pPr>
        <w:pStyle w:val="BodyText"/>
      </w:pPr>
      <w:r>
        <w:t xml:space="preserve">7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:e1001012. doi:</w:t>
      </w:r>
      <w:hyperlink r:id="rId36">
        <w:r>
          <w:rPr>
            <w:rStyle w:val="Hyperlink"/>
          </w:rPr>
          <w:t xml:space="preserve">10.1371/journal.pmed.1001012</w:t>
        </w:r>
      </w:hyperlink>
    </w:p>
    <w:p>
      <w:pPr>
        <w:pStyle w:val="BodyText"/>
      </w:pPr>
      <w:r>
        <w:t xml:space="preserve">8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 doi:</w:t>
      </w:r>
      <w:hyperlink r:id="rId36">
        <w:r>
          <w:rPr>
            <w:rStyle w:val="Hyperlink"/>
          </w:rPr>
          <w:t xml:space="preserve">10.1371/journal.pmed.1001012</w:t>
        </w:r>
      </w:hyperlink>
    </w:p>
    <w:p>
      <w:pPr>
        <w:pStyle w:val="BodyText"/>
      </w:pPr>
      <w:r>
        <w:t xml:space="preserve">9 Romanus V, Svensson Å, Hallander HO. The impact of changing BCG coverage on tuberculosis incidence in Swedish-born children between 1969 and 1989.</w:t>
      </w:r>
      <w:r>
        <w:t xml:space="preserve"> </w:t>
      </w:r>
      <w:r>
        <w:rPr>
          <w:i/>
        </w:rPr>
        <w:t xml:space="preserve">Tuber Lung Dis</w:t>
      </w:r>
      <w:r>
        <w:t xml:space="preserve"> </w:t>
      </w:r>
      <w:r>
        <w:t xml:space="preserve">1992;</w:t>
      </w:r>
      <w:r>
        <w:rPr>
          <w:b/>
        </w:rPr>
        <w:t xml:space="preserve">73</w:t>
      </w:r>
      <w:r>
        <w:t xml:space="preserve">:150–61. doi:</w:t>
      </w:r>
      <w:hyperlink r:id="rId37">
        <w:r>
          <w:rPr>
            <w:rStyle w:val="Hyperlink"/>
          </w:rPr>
          <w:t xml:space="preserve">10.1016/0962-8479(92)90149-E</w:t>
        </w:r>
      </w:hyperlink>
    </w:p>
    <w:p>
      <w:pPr>
        <w:pStyle w:val="BodyText"/>
      </w:pPr>
      <w:r>
        <w:t xml:space="preserve">10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w:t>
      </w:r>
      <w:r>
        <w:t xml:space="preserve"> </w:t>
      </w:r>
      <w:r>
        <w:rPr>
          <w:i/>
        </w:rPr>
        <w:t xml:space="preserve">Eurosurveillance</w:t>
      </w:r>
      <w:r>
        <w:t xml:space="preserve"> </w:t>
      </w:r>
      <w:r>
        <w:t xml:space="preserve">2011;</w:t>
      </w:r>
      <w:r>
        <w:rPr>
          <w:b/>
        </w:rPr>
        <w:t xml:space="preserve">16</w:t>
      </w:r>
      <w:r>
        <w:t xml:space="preserve">:1–6.</w:t>
      </w:r>
    </w:p>
    <w:p>
      <w:pPr>
        <w:pStyle w:val="BodyText"/>
      </w:pPr>
      <w:r>
        <w:t xml:space="preserve">11 Thomas HL, Harris RJ, Muzyamba MC</w:t>
      </w:r>
      <w:r>
        <w:t xml:space="preserve"> </w:t>
      </w:r>
      <w:r>
        <w:rPr>
          <w:i/>
        </w:rPr>
        <w:t xml:space="preserve">et al.</w:t>
      </w:r>
      <w:r>
        <w:t xml:space="preserve"> </w:t>
      </w:r>
      <w:r>
        <w:t xml:space="preserve">Reduction in tuberculosis incidence in the UK from 2011 to 2015: a population-based study.</w:t>
      </w:r>
      <w:r>
        <w:t xml:space="preserve"> </w:t>
      </w:r>
      <w:r>
        <w:rPr>
          <w:i/>
        </w:rPr>
        <w:t xml:space="preserve">Thorax</w:t>
      </w:r>
      <w:r>
        <w:t xml:space="preserve"> </w:t>
      </w:r>
      <w:r>
        <w:t xml:space="preserve">2018;thoraxjnl–2017–211074. doi:</w:t>
      </w:r>
      <w:hyperlink r:id="rId38">
        <w:r>
          <w:rPr>
            <w:rStyle w:val="Hyperlink"/>
          </w:rPr>
          <w:t xml:space="preserve">10.1136/THORAXJNL-2017-211074</w:t>
        </w:r>
      </w:hyperlink>
    </w:p>
    <w:p>
      <w:pPr>
        <w:pStyle w:val="BodyText"/>
      </w:pPr>
      <w:r>
        <w:t xml:space="preserve">12 Parikh SR, Andrews NJ, Beebeejaun K</w:t>
      </w:r>
      <w:r>
        <w:t xml:space="preserve"> </w:t>
      </w:r>
      <w:r>
        <w:rPr>
          <w:i/>
        </w:rPr>
        <w:t xml:space="preserve">et al.</w:t>
      </w:r>
      <w:r>
        <w:t xml:space="preserve"> </w:t>
      </w:r>
      <w:r>
        <w:t xml:space="preserve">Effectiveness and impact of a reduced infant schedule of 4CMenB vaccine against group B meningococcal disease in England: a national observational cohort study.</w:t>
      </w:r>
      <w:r>
        <w:t xml:space="preserve"> </w:t>
      </w:r>
      <w:r>
        <w:rPr>
          <w:i/>
        </w:rPr>
        <w:t xml:space="preserve">Lancet</w:t>
      </w:r>
      <w:r>
        <w:t xml:space="preserve"> </w:t>
      </w:r>
      <w:r>
        <w:t xml:space="preserve">2016;</w:t>
      </w:r>
      <w:r>
        <w:rPr>
          <w:b/>
        </w:rPr>
        <w:t xml:space="preserve">388</w:t>
      </w:r>
      <w:r>
        <w:t xml:space="preserve">:2775–82. doi:</w:t>
      </w:r>
      <w:hyperlink r:id="rId39">
        <w:r>
          <w:rPr>
            <w:rStyle w:val="Hyperlink"/>
          </w:rPr>
          <w:t xml:space="preserve">10.1016/S0140-6736(16)31921-3</w:t>
        </w:r>
      </w:hyperlink>
    </w:p>
    <w:p>
      <w:pPr>
        <w:pStyle w:val="BodyText"/>
      </w:pPr>
      <w:r>
        <w:t xml:space="preserve">13 Vehtari A, Gelman A, Gabry J. Practical Bayesian model evaluation using leave-one-out cross-validation and WAIC.</w:t>
      </w:r>
      <w:r>
        <w:t xml:space="preserve"> </w:t>
      </w:r>
      <w:r>
        <w:rPr>
          <w:i/>
        </w:rPr>
        <w:t xml:space="preserve">Stat Comput</w:t>
      </w:r>
      <w:r>
        <w:t xml:space="preserve"> </w:t>
      </w:r>
      <w:r>
        <w:t xml:space="preserve">2016;1–20. doi:</w:t>
      </w:r>
      <w:hyperlink r:id="rId40">
        <w:r>
          <w:rPr>
            <w:rStyle w:val="Hyperlink"/>
          </w:rPr>
          <w:t xml:space="preserve">10.1007/s11222-016-9696-4</w:t>
        </w:r>
      </w:hyperlink>
    </w:p>
    <w:p>
      <w:pPr>
        <w:pStyle w:val="BodyText"/>
      </w:pPr>
      <w:r>
        <w:t xml:space="preserve">14 R Core Team. R: A Language and Environment for Statistical Computing. 2016.</w:t>
      </w:r>
      <w:hyperlink r:id="rId41">
        <w:r>
          <w:rPr>
            <w:rStyle w:val="Hyperlink"/>
          </w:rPr>
          <w:t xml:space="preserve">https://www.r-project.org/</w:t>
        </w:r>
      </w:hyperlink>
    </w:p>
    <w:p>
      <w:pPr>
        <w:pStyle w:val="BodyText"/>
      </w:pPr>
      <w:r>
        <w:t xml:space="preserve">15 H2O.ai.</w:t>
      </w:r>
      <w:r>
        <w:t xml:space="preserve"> </w:t>
      </w:r>
      <w:r>
        <w:rPr>
          <w:i/>
        </w:rPr>
        <w:t xml:space="preserve">R Interface for H2O</w:t>
      </w:r>
      <w:r>
        <w:t xml:space="preserve">. 2018.</w:t>
      </w:r>
      <w:r>
        <w:t xml:space="preserve"> </w:t>
      </w:r>
      <w:hyperlink r:id="rId42">
        <w:r>
          <w:rPr>
            <w:rStyle w:val="Hyperlink"/>
          </w:rPr>
          <w:t xml:space="preserve">https://github.com/h2oai/h2o-3</w:t>
        </w:r>
      </w:hyperlink>
    </w:p>
    <w:p>
      <w:pPr>
        <w:pStyle w:val="BodyText"/>
      </w:pPr>
      <w:r>
        <w:t xml:space="preserve">16 Stevenson M, Nunes T, Heuer C</w:t>
      </w:r>
      <w:r>
        <w:t xml:space="preserve"> </w:t>
      </w:r>
      <w:r>
        <w:rPr>
          <w:i/>
        </w:rPr>
        <w:t xml:space="preserve">et al.</w:t>
      </w:r>
      <w:r>
        <w:t xml:space="preserve"> </w:t>
      </w:r>
      <w:r>
        <w:t xml:space="preserve">epiR: Tools for the Analysis of Epidemiological Data. 2017.</w:t>
      </w:r>
      <w:hyperlink r:id="rId43">
        <w:r>
          <w:rPr>
            <w:rStyle w:val="Hyperlink"/>
          </w:rPr>
          <w:t xml:space="preserve">https://cran.r-project.org/package=epiR</w:t>
        </w:r>
      </w:hyperlink>
    </w:p>
    <w:p>
      <w:pPr>
        <w:pStyle w:val="BodyText"/>
      </w:pPr>
      <w:r>
        <w:t xml:space="preserve">17 Bürkner P-C. {brms}: An {R} Package for Bayesian Multilevel Models using Stan.</w:t>
      </w:r>
      <w:r>
        <w:t xml:space="preserve"> </w:t>
      </w:r>
      <w:r>
        <w:rPr>
          <w:i/>
        </w:rPr>
        <w:t xml:space="preserve">J Stat Softw</w:t>
      </w:r>
    </w:p>
    <w:p>
      <w:pPr>
        <w:pStyle w:val="BodyText"/>
      </w:pPr>
      <w:r>
        <w:t xml:space="preserve">18 Stan Development Team. {RStan}: the {R} interface to {Stan}. 2016.</w:t>
      </w:r>
      <w:hyperlink r:id="rId44">
        <w:r>
          <w:rPr>
            <w:rStyle w:val="Hyperlink"/>
          </w:rPr>
          <w:t xml:space="preserve">http://mc-stan.org/</w:t>
        </w:r>
      </w:hyperlink>
    </w:p>
    <w:p>
      <w:pPr>
        <w:pStyle w:val="BodyText"/>
      </w:pPr>
      <w:r>
        <w:t xml:space="preserve">19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5">
        <w:r>
          <w:rPr>
            <w:rStyle w:val="Hyperlink"/>
          </w:rPr>
          <w:t xml:space="preserve">10.1093/cid/cit790</w:t>
        </w:r>
      </w:hyperlink>
    </w:p>
    <w:p>
      <w:pPr>
        <w:pStyle w:val="BodyText"/>
      </w:pPr>
      <w:r>
        <w:t xml:space="preserve">20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46">
        <w:r>
          <w:rPr>
            <w:rStyle w:val="Hyperlink"/>
          </w:rPr>
          <w:t xml:space="preserve">10.3310/hta17370</w:t>
        </w:r>
      </w:hyperlink>
    </w:p>
    <w:p>
      <w:pPr>
        <w:pStyle w:val="BodyText"/>
      </w:pPr>
      <w:r>
        <w:t xml:space="preserve">21 French CE, Antoine D, Gelb D</w:t>
      </w:r>
      <w:r>
        <w:t xml:space="preserve"> </w:t>
      </w:r>
      <w:r>
        <w:rPr>
          <w:i/>
        </w:rPr>
        <w:t xml:space="preserve">et al.</w:t>
      </w:r>
      <w:r>
        <w:t xml:space="preserve"> </w:t>
      </w:r>
      <w:r>
        <w:t xml:space="preserve">Tuberculosis in non-UK-born persons, England and Wales, 2001-2003.</w:t>
      </w:r>
      <w:r>
        <w:t xml:space="preserve"> </w:t>
      </w:r>
      <w:r>
        <w:rPr>
          <w:i/>
        </w:rPr>
        <w:t xml:space="preserve">Int J Tuberc Lung Dis</w:t>
      </w:r>
      <w:r>
        <w:t xml:space="preserve"> </w:t>
      </w:r>
      <w:r>
        <w:t xml:space="preserve">2007;</w:t>
      </w:r>
      <w:r>
        <w:rPr>
          <w:b/>
        </w:rPr>
        <w:t xml:space="preserve">11</w:t>
      </w:r>
      <w:r>
        <w:t xml:space="preserve">:577–84.</w:t>
      </w:r>
    </w:p>
    <w:p>
      <w:pPr>
        <w:pStyle w:val="BodyText"/>
      </w:pPr>
      <w:r>
        <w:t xml:space="preserve">22 Davies R, Jones M, Lloyd-Williams H. Age and Work-Related Health: Insights from the UK Labour Force Survey.</w:t>
      </w:r>
      <w:r>
        <w:t xml:space="preserve"> </w:t>
      </w:r>
      <w:r>
        <w:rPr>
          <w:i/>
        </w:rPr>
        <w:t xml:space="preserve">Br J Ind Relations</w:t>
      </w:r>
      <w:r>
        <w:t xml:space="preserve"> </w:t>
      </w:r>
      <w:r>
        <w:t xml:space="preserve">2016;</w:t>
      </w:r>
      <w:r>
        <w:rPr>
          <w:b/>
        </w:rPr>
        <w:t xml:space="preserve">54</w:t>
      </w:r>
      <w:r>
        <w:t xml:space="preserve">:136–59. doi:</w:t>
      </w:r>
      <w:hyperlink r:id="rId47">
        <w:r>
          <w:rPr>
            <w:rStyle w:val="Hyperlink"/>
          </w:rPr>
          <w:t xml:space="preserve">10.1111/bjir.12059</w:t>
        </w:r>
      </w:hyperlink>
    </w:p>
    <w:p>
      <w:pPr>
        <w:pStyle w:val="BodyText"/>
      </w:pPr>
      <w:r>
        <w:t xml:space="preserve">23 Lindley J. The over-education of UK immigrants and minority ethnic groups: Evidence from the Labour Force Survey.</w:t>
      </w:r>
      <w:r>
        <w:t xml:space="preserve"> </w:t>
      </w:r>
      <w:r>
        <w:rPr>
          <w:i/>
        </w:rPr>
        <w:t xml:space="preserve">Econ Educ Rev</w:t>
      </w:r>
      <w:r>
        <w:t xml:space="preserve"> </w:t>
      </w:r>
      <w:r>
        <w:t xml:space="preserve">2009;</w:t>
      </w:r>
      <w:r>
        <w:rPr>
          <w:b/>
        </w:rPr>
        <w:t xml:space="preserve">28</w:t>
      </w:r>
      <w:r>
        <w:t xml:space="preserve">:80–9. doi:</w:t>
      </w:r>
      <w:hyperlink r:id="rId48">
        <w:r>
          <w:rPr>
            <w:rStyle w:val="Hyperlink"/>
          </w:rPr>
          <w:t xml:space="preserve">10.1016/j.econedurev.2007.11.003</w:t>
        </w:r>
      </w:hyperlink>
    </w:p>
    <w:p>
      <w:pPr>
        <w:pStyle w:val="BodyText"/>
      </w:pPr>
      <w:r>
        <w:t xml:space="preserve">24 Parslow R, El-Shimy NA, Cundall DB</w:t>
      </w:r>
      <w:r>
        <w:t xml:space="preserve"> </w:t>
      </w:r>
      <w:r>
        <w:rPr>
          <w:i/>
        </w:rPr>
        <w:t xml:space="preserve">et al.</w:t>
      </w:r>
      <w:r>
        <w:t xml:space="preserve"> </w:t>
      </w:r>
      <w:r>
        <w:t xml:space="preserve">Tuberculosis, deprivation, and ethnicity in Leeds, UK, 1982-1997.</w:t>
      </w:r>
      <w:r>
        <w:t xml:space="preserve"> </w:t>
      </w:r>
      <w:r>
        <w:rPr>
          <w:i/>
        </w:rPr>
        <w:t xml:space="preserve">Arch Dis Child</w:t>
      </w:r>
      <w:r>
        <w:t xml:space="preserve"> </w:t>
      </w:r>
      <w:r>
        <w:t xml:space="preserve">2001;</w:t>
      </w:r>
      <w:r>
        <w:rPr>
          <w:b/>
        </w:rPr>
        <w:t xml:space="preserve">84</w:t>
      </w:r>
      <w:r>
        <w:t xml:space="preserve">:109–13. doi:</w:t>
      </w:r>
      <w:hyperlink r:id="rId49">
        <w:r>
          <w:rPr>
            <w:rStyle w:val="Hyperlink"/>
          </w:rPr>
          <w:t xml:space="preserve">10.1136/adc.84.2.109</w:t>
        </w:r>
      </w:hyperlink>
    </w:p>
    <w:p>
      <w:pPr>
        <w:pStyle w:val="BodyText"/>
      </w:pPr>
      <w:r>
        <w:t xml:space="preserve">25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50">
        <w:r>
          <w:rPr>
            <w:rStyle w:val="Hyperlink"/>
          </w:rPr>
          <w:t xml:space="preserve">10.1136/bmj.310.6985.967</w:t>
        </w:r>
      </w:hyperlink>
    </w:p>
    <w:p>
      <w:pPr>
        <w:pStyle w:val="BodyText"/>
      </w:pPr>
      <w:r>
        <w:t xml:space="preserve">26 Abubakar I, Laundy MT, French CE</w:t>
      </w:r>
      <w:r>
        <w:t xml:space="preserve"> </w:t>
      </w:r>
      <w:r>
        <w:rPr>
          <w:i/>
        </w:rPr>
        <w:t xml:space="preserve">et al.</w:t>
      </w:r>
      <w:r>
        <w:t xml:space="preserve"> </w:t>
      </w:r>
      <w:r>
        <w:t xml:space="preserve">Epidemiology and treatment outcome of childhood tuberculosis in England and Wales: 1999-2006.</w:t>
      </w:r>
      <w:r>
        <w:t xml:space="preserve"> </w:t>
      </w:r>
      <w:r>
        <w:rPr>
          <w:i/>
        </w:rPr>
        <w:t xml:space="preserve">Arch Dis Child</w:t>
      </w:r>
      <w:r>
        <w:t xml:space="preserve"> </w:t>
      </w:r>
      <w:r>
        <w:t xml:space="preserve">2008;</w:t>
      </w:r>
      <w:r>
        <w:rPr>
          <w:b/>
        </w:rPr>
        <w:t xml:space="preserve">93</w:t>
      </w:r>
      <w:r>
        <w:t xml:space="preserve">:1017–21. doi:</w:t>
      </w:r>
      <w:hyperlink r:id="rId51">
        <w:r>
          <w:rPr>
            <w:rStyle w:val="Hyperlink"/>
          </w:rPr>
          <w:t xml:space="preserve">10.1136/adc.2008.139543</w:t>
        </w:r>
      </w:hyperlink>
    </w:p>
    <w:p>
      <w:pPr>
        <w:pStyle w:val="BodyText"/>
      </w:pPr>
      <w:r>
        <w:t xml:space="preserve">27 Manissero D, Lopalco PL, Levy-Bruhl D</w:t>
      </w:r>
      <w:r>
        <w:t xml:space="preserve"> </w:t>
      </w:r>
      <w:r>
        <w:rPr>
          <w:i/>
        </w:rPr>
        <w:t xml:space="preserve">et al.</w:t>
      </w:r>
      <w:r>
        <w:t xml:space="preserve"> </w:t>
      </w:r>
      <w:r>
        <w:t xml:space="preserve">Assessing the impact of different BCG vaccination strategies on severe childhood TB in low-intermediate prevalence settings.</w:t>
      </w:r>
      <w:r>
        <w:t xml:space="preserve"> </w:t>
      </w:r>
      <w:r>
        <w:rPr>
          <w:i/>
        </w:rPr>
        <w:t xml:space="preserve">Vaccine</w:t>
      </w:r>
      <w:r>
        <w:t xml:space="preserve"> </w:t>
      </w:r>
      <w:r>
        <w:t xml:space="preserve">2008;</w:t>
      </w:r>
      <w:r>
        <w:rPr>
          <w:b/>
        </w:rPr>
        <w:t xml:space="preserve">26</w:t>
      </w:r>
      <w:r>
        <w:t xml:space="preserve">:2253–9. doi:</w:t>
      </w:r>
      <w:hyperlink r:id="rId52">
        <w:r>
          <w:rPr>
            <w:rStyle w:val="Hyperlink"/>
          </w:rPr>
          <w:t xml:space="preserve">10.1016/j.vaccine.2008.02.038</w:t>
        </w:r>
      </w:hyperlink>
    </w:p>
    <w:p>
      <w:pPr>
        <w:pStyle w:val="BodyText"/>
      </w:pPr>
      <w:r>
        <w:t xml:space="preserve">28 Feiring B, Laake I, Molden T</w:t>
      </w:r>
      <w:r>
        <w:t xml:space="preserve"> </w:t>
      </w:r>
      <w:r>
        <w:rPr>
          <w:i/>
        </w:rPr>
        <w:t xml:space="preserve">et al.</w:t>
      </w:r>
      <w:r>
        <w:t xml:space="preserve"> </w:t>
      </w:r>
      <w:r>
        <w:t xml:space="preserve">Do selective immunisation against tuberculosis and hepatitis B reach the targeted populations? A nationwide register-based study evaluating the recommendations in the Norwegian Childhood Immunisation Programme.</w:t>
      </w:r>
      <w:r>
        <w:t xml:space="preserve"> </w:t>
      </w:r>
      <w:r>
        <w:rPr>
          <w:i/>
        </w:rPr>
        <w:t xml:space="preserve">Vaccine</w:t>
      </w:r>
      <w:r>
        <w:t xml:space="preserve"> </w:t>
      </w:r>
      <w:r>
        <w:t xml:space="preserve">2016;</w:t>
      </w:r>
      <w:r>
        <w:rPr>
          <w:b/>
        </w:rPr>
        <w:t xml:space="preserve">34</w:t>
      </w:r>
      <w:r>
        <w:t xml:space="preserve">:2015–20. doi:</w:t>
      </w:r>
      <w:hyperlink r:id="rId53">
        <w:r>
          <w:rPr>
            <w:rStyle w:val="Hyperlink"/>
          </w:rPr>
          <w:t xml:space="preserve">10.1016/j.vaccine.2016.02.060</w:t>
        </w:r>
      </w:hyperlink>
    </w:p>
    <w:p>
      <w:pPr>
        <w:pStyle w:val="BodyText"/>
      </w:pPr>
      <w:r>
        <w:t xml:space="preserve">29 Nguipdop-Djomo P, Mangtani P, Pedrazzoli D</w:t>
      </w:r>
      <w:r>
        <w:t xml:space="preserve"> </w:t>
      </w:r>
      <w:r>
        <w:rPr>
          <w:i/>
        </w:rPr>
        <w:t xml:space="preserve">et al.</w:t>
      </w:r>
      <w:r>
        <w:t xml:space="preserve"> </w:t>
      </w:r>
      <w:r>
        <w:t xml:space="preserve">Uptake of neonatal BCG vaccination in England: Performance of the current policy recommendations.</w:t>
      </w:r>
      <w:r>
        <w:t xml:space="preserve"> </w:t>
      </w:r>
      <w:r>
        <w:rPr>
          <w:i/>
        </w:rPr>
        <w:t xml:space="preserve">Thorax</w:t>
      </w:r>
      <w:r>
        <w:t xml:space="preserve"> </w:t>
      </w:r>
      <w:r>
        <w:t xml:space="preserve">2014;</w:t>
      </w:r>
      <w:r>
        <w:rPr>
          <w:b/>
        </w:rPr>
        <w:t xml:space="preserve">69</w:t>
      </w:r>
      <w:r>
        <w:t xml:space="preserve">:87–9. doi:</w:t>
      </w:r>
      <w:hyperlink r:id="rId54">
        <w:r>
          <w:rPr>
            <w:rStyle w:val="Hyperlink"/>
          </w:rPr>
          <w:t xml:space="preserve">10.1136/thoraxjnl-2013-203931</w:t>
        </w:r>
      </w:hyperlink>
    </w:p>
    <w:p>
      <w:pPr>
        <w:pStyle w:val="Heading5"/>
      </w:pPr>
      <w:bookmarkStart w:id="55" w:name="pagebreak-6"/>
      <w:bookmarkEnd w:id="55"/>
      <w:r>
        <w:t xml:space="preserve">PAGEBREAK</w:t>
      </w:r>
    </w:p>
    <w:p>
      <w:pPr>
        <w:pStyle w:val="Heading2"/>
      </w:pPr>
      <w:bookmarkStart w:id="56" w:name="online-supplementary-appendix-estimating-the-effect-of-the-2005-change-in-bcg-policy-in-england-a-retrospective-cohort-study"/>
      <w:bookmarkEnd w:id="56"/>
      <w:r>
        <w:t xml:space="preserve">Online supplementary appendix: Estimating the effect of the 2005 change in BCG policy in England: A retrospective cohort study</w:t>
      </w:r>
    </w:p>
    <w:p>
      <w:pPr>
        <w:pStyle w:val="FirstParagraph"/>
      </w:pPr>
      <w:r>
        <w:t xml:space="preserve">Sam Abbott, Hannah Christensen, Nicky Welton, Ellen Brooks-Pollock</w:t>
      </w:r>
    </w:p>
    <w:p>
      <w:pPr>
        <w:pStyle w:val="BodyText"/>
      </w:pPr>
      <w:r>
        <w:rPr>
          <w:b/>
        </w:rPr>
        <w:t xml:space="preserve">Model Definitions</w:t>
      </w:r>
    </w:p>
    <w:p>
      <w:pPr>
        <w:pStyle w:val="TableCaption"/>
      </w:pPr>
      <w:r>
        <w:t xml:space="preserve">Supplementary Table S1: Full definition of each model, ordered by increasing complexity.</w:t>
      </w:r>
    </w:p>
    <w:tbl>
      <w:tblPr>
        <w:tblStyle w:val="TableNormal"/>
        <w:tblW w:type="pct" w:w="5000.0"/>
        <w:tblLook w:firstRow="1"/>
        <w:tblCaption w:val="Supplementary Table S1: Full definition of each model, ordered by increasing complexity."/>
      </w:tblPr>
      <w:tblGrid>
        <w:gridCol w:w="1284"/>
        <w:gridCol w:w="6635"/>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r>
      <w:tr>
        <w:tc>
          <w:p>
            <w:pPr>
              <w:pStyle w:val="Compact"/>
              <w:jc w:val="left"/>
            </w:pPr>
            <w:r>
              <w:t xml:space="preserve">Model 1</w:t>
            </w:r>
          </w:p>
        </w:tc>
        <w:tc>
          <w:p>
            <w:pPr>
              <w:pStyle w:val="Compact"/>
              <w:jc w:val="left"/>
            </w:pPr>
            <w:r>
              <w:t xml:space="preserve">Poisson model adjusting for no fixed effects.</w:t>
            </w:r>
          </w:p>
        </w:tc>
      </w:tr>
      <w:tr>
        <w:tc>
          <w:p>
            <w:pPr>
              <w:pStyle w:val="Compact"/>
              <w:jc w:val="left"/>
            </w:pPr>
            <w:r>
              <w:t xml:space="preserve">Model 2</w:t>
            </w:r>
          </w:p>
        </w:tc>
        <w:tc>
          <w:p>
            <w:pPr>
              <w:pStyle w:val="Compact"/>
              <w:jc w:val="left"/>
            </w:pPr>
            <w:r>
              <w:t xml:space="preserve">Poisson model adjusting with fixed effects for</w:t>
            </w:r>
            <w:r>
              <w:t xml:space="preserve"> </w:t>
            </w:r>
            <w:r>
              <w:t xml:space="preserve">the change in policy.</w:t>
            </w:r>
          </w:p>
        </w:tc>
      </w:tr>
      <w:tr>
        <w:tc>
          <w:p>
            <w:pPr>
              <w:pStyle w:val="Compact"/>
              <w:jc w:val="left"/>
            </w:pPr>
            <w:r>
              <w:t xml:space="preserve">Model 3</w:t>
            </w:r>
          </w:p>
        </w:tc>
        <w:tc>
          <w:p>
            <w:pPr>
              <w:pStyle w:val="Compact"/>
              <w:jc w:val="left"/>
            </w:pPr>
            <w:r>
              <w:t xml:space="preserve">Poisson model adjusting with fixed effects for the change in</w:t>
            </w:r>
            <w:r>
              <w:t xml:space="preserve"> </w:t>
            </w:r>
            <w:r>
              <w:t xml:space="preserve">policy and incidence rates in the UK born.</w:t>
            </w:r>
          </w:p>
        </w:tc>
      </w:tr>
      <w:tr>
        <w:tc>
          <w:p>
            <w:pPr>
              <w:pStyle w:val="Compact"/>
              <w:jc w:val="left"/>
            </w:pPr>
            <w:r>
              <w:t xml:space="preserve">Model 4</w:t>
            </w:r>
          </w:p>
        </w:tc>
        <w:tc>
          <w:p>
            <w:pPr>
              <w:pStyle w:val="Compact"/>
              <w:jc w:val="left"/>
            </w:pPr>
            <w:r>
              <w:t xml:space="preserve">Poisson model adjusting with fixed effects for the change in</w:t>
            </w:r>
            <w:r>
              <w:t xml:space="preserve"> </w:t>
            </w:r>
            <w:r>
              <w:t xml:space="preserve">policy and incidence rates in the non-UK born.</w:t>
            </w:r>
          </w:p>
        </w:tc>
      </w:tr>
      <w:tr>
        <w:tc>
          <w:p>
            <w:pPr>
              <w:pStyle w:val="Compact"/>
              <w:jc w:val="left"/>
            </w:pPr>
            <w:r>
              <w:t xml:space="preserve">Model 5</w:t>
            </w:r>
          </w:p>
        </w:tc>
        <w:tc>
          <w:p>
            <w:pPr>
              <w:pStyle w:val="Compact"/>
              <w:jc w:val="left"/>
            </w:pPr>
            <w:r>
              <w:t xml:space="preserve">Poisson model adjusting with fixed effects for the change in</w:t>
            </w:r>
            <w:r>
              <w:t xml:space="preserve"> </w:t>
            </w:r>
            <w:r>
              <w:t xml:space="preserve">policy and incidence rates in the UK born and non-UK born</w:t>
            </w:r>
            <w:r>
              <w:t xml:space="preserve"> </w:t>
            </w:r>
            <w:r>
              <w:t xml:space="preserve">populations.</w:t>
            </w:r>
          </w:p>
        </w:tc>
      </w:tr>
      <w:tr>
        <w:tc>
          <w:p>
            <w:pPr>
              <w:pStyle w:val="Compact"/>
              <w:jc w:val="left"/>
            </w:pPr>
            <w:r>
              <w:t xml:space="preserve">Model 6</w:t>
            </w:r>
          </w:p>
        </w:tc>
        <w:tc>
          <w:p>
            <w:pPr>
              <w:pStyle w:val="Compact"/>
              <w:jc w:val="left"/>
            </w:pPr>
            <w:r>
              <w:t xml:space="preserve">Poisson model adjusting with fixed effects for the change in</w:t>
            </w:r>
            <w:r>
              <w:t xml:space="preserve"> </w:t>
            </w:r>
            <w:r>
              <w:t xml:space="preserve">policy and age.</w:t>
            </w:r>
          </w:p>
        </w:tc>
      </w:tr>
      <w:tr>
        <w:tc>
          <w:p>
            <w:pPr>
              <w:pStyle w:val="Compact"/>
              <w:jc w:val="left"/>
            </w:pPr>
            <w:r>
              <w:t xml:space="preserve">Model 7</w:t>
            </w:r>
          </w:p>
        </w:tc>
        <w:tc>
          <w:p>
            <w:pPr>
              <w:pStyle w:val="Compact"/>
              <w:jc w:val="left"/>
            </w:pPr>
            <w:r>
              <w:t xml:space="preserve">Poisson model adjusting with fixed effects for the change in</w:t>
            </w:r>
            <w:r>
              <w:t xml:space="preserve"> </w:t>
            </w:r>
            <w:r>
              <w:t xml:space="preserve">policy, age, and incidence rates in the UK born.</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UK born.</w:t>
            </w:r>
          </w:p>
        </w:tc>
      </w:tr>
      <w:tr>
        <w:tc>
          <w:p>
            <w:pPr>
              <w:pStyle w:val="Compact"/>
              <w:jc w:val="left"/>
            </w:pPr>
            <w:r>
              <w:t xml:space="preserve">Model 8</w:t>
            </w:r>
          </w:p>
        </w:tc>
        <w:tc>
          <w:p>
            <w:pPr>
              <w:pStyle w:val="Compact"/>
              <w:jc w:val="left"/>
            </w:pPr>
            <w:r>
              <w:t xml:space="preserve">Poisson model adjusting with fixed effects for the change in</w:t>
            </w:r>
            <w:r>
              <w:t xml:space="preserve"> </w:t>
            </w:r>
            <w:r>
              <w:t xml:space="preserve">policy, age, and incidence rates in the non-UK born.</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non-UK</w:t>
            </w:r>
            <w:r>
              <w:t xml:space="preserve"> </w:t>
            </w:r>
            <w:r>
              <w:t xml:space="preserve">born.</w:t>
            </w:r>
          </w:p>
        </w:tc>
      </w:tr>
      <w:tr>
        <w:tc>
          <w:p>
            <w:pPr>
              <w:pStyle w:val="Compact"/>
              <w:jc w:val="left"/>
            </w:pPr>
            <w:r>
              <w:t xml:space="preserve">Model 9</w:t>
            </w:r>
          </w:p>
        </w:tc>
        <w:tc>
          <w:p>
            <w:pPr>
              <w:pStyle w:val="Compact"/>
              <w:jc w:val="left"/>
            </w:pPr>
            <w:r>
              <w:t xml:space="preserve">Poisson model adjusting with fixed effects for the change in</w:t>
            </w:r>
            <w:r>
              <w:t xml:space="preserve"> </w:t>
            </w:r>
            <w:r>
              <w:t xml:space="preserve">policy, age, and incidence rates in the UK born and non-UK</w:t>
            </w:r>
            <w:r>
              <w:t xml:space="preserve"> </w:t>
            </w:r>
            <w:r>
              <w:t xml:space="preserve">born populations.</w:t>
            </w:r>
          </w:p>
        </w:tc>
      </w:tr>
      <w:tr>
        <w:tc>
          <w:p>
            <w:pPr>
              <w:pStyle w:val="Compact"/>
              <w:jc w:val="left"/>
            </w:pPr>
            <w:r>
              <w:t xml:space="preserve">Model 10</w:t>
            </w:r>
          </w:p>
        </w:tc>
        <w:tc>
          <w:p>
            <w:pPr>
              <w:pStyle w:val="Compact"/>
              <w:jc w:val="left"/>
            </w:pPr>
            <w:r>
              <w:t xml:space="preserve">Poisson model with a random intercept for year of study</w:t>
            </w:r>
            <w:r>
              <w:t xml:space="preserve"> </w:t>
            </w:r>
            <w:r>
              <w:t xml:space="preserve">entry, adjusting for no fixed effects.</w:t>
            </w:r>
          </w:p>
        </w:tc>
      </w:tr>
      <w:tr>
        <w:tc>
          <w:p>
            <w:pPr>
              <w:pStyle w:val="Compact"/>
              <w:jc w:val="left"/>
            </w:pPr>
            <w:r>
              <w:t xml:space="preserve">Model 11</w:t>
            </w:r>
          </w:p>
        </w:tc>
        <w:tc>
          <w:p>
            <w:pPr>
              <w:pStyle w:val="Compact"/>
              <w:jc w:val="left"/>
            </w:pPr>
            <w:r>
              <w:t xml:space="preserve">Poisson model with a random intercept for year of study</w:t>
            </w:r>
            <w:r>
              <w:t xml:space="preserve"> </w:t>
            </w:r>
            <w:r>
              <w:t xml:space="preserve">entry, adjusting with fixed effects for</w:t>
            </w:r>
            <w:r>
              <w:t xml:space="preserve"> </w:t>
            </w:r>
            <w:r>
              <w:t xml:space="preserve">the change in policy.</w:t>
            </w:r>
          </w:p>
        </w:tc>
      </w:tr>
      <w:tr>
        <w:tc>
          <w:p>
            <w:pPr>
              <w:pStyle w:val="Compact"/>
              <w:jc w:val="left"/>
            </w:pPr>
            <w:r>
              <w:t xml:space="preserve">Model 12</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w:t>
            </w:r>
          </w:p>
        </w:tc>
      </w:tr>
      <w:tr>
        <w:tc>
          <w:p>
            <w:pPr>
              <w:pStyle w:val="Compact"/>
              <w:jc w:val="left"/>
            </w:pPr>
            <w:r>
              <w:t xml:space="preserve">Model 13</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non-UK born.</w:t>
            </w:r>
          </w:p>
        </w:tc>
      </w:tr>
      <w:tr>
        <w:tc>
          <w:p>
            <w:pPr>
              <w:pStyle w:val="Compact"/>
              <w:jc w:val="left"/>
            </w:pPr>
            <w:r>
              <w:t xml:space="preserve">Model 14</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 and non-UK born</w:t>
            </w:r>
            <w:r>
              <w:t xml:space="preserve"> </w:t>
            </w:r>
            <w:r>
              <w:t xml:space="preserve">populations.</w:t>
            </w:r>
          </w:p>
        </w:tc>
      </w:tr>
      <w:tr>
        <w:tc>
          <w:p>
            <w:pPr>
              <w:pStyle w:val="Compact"/>
              <w:jc w:val="left"/>
            </w:pPr>
            <w:r>
              <w:t xml:space="preserve">Model 15</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age.</w:t>
            </w:r>
          </w:p>
        </w:tc>
      </w:tr>
      <w:tr>
        <w:tc>
          <w:p>
            <w:pPr>
              <w:pStyle w:val="Compact"/>
              <w:jc w:val="left"/>
            </w:pPr>
            <w:r>
              <w:t xml:space="preserve">Model 16</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UK born.</w:t>
            </w:r>
          </w:p>
        </w:tc>
      </w:tr>
      <w:tr>
        <w:tc>
          <w:p>
            <w:pPr>
              <w:pStyle w:val="Compact"/>
              <w:jc w:val="left"/>
            </w:pPr>
            <w:r>
              <w:t xml:space="preserve">Model 17</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non-UK born.</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non-UK born.</w:t>
            </w:r>
          </w:p>
        </w:tc>
      </w:tr>
      <w:tr>
        <w:tc>
          <w:p>
            <w:pPr>
              <w:pStyle w:val="Compact"/>
              <w:jc w:val="left"/>
            </w:pPr>
            <w:r>
              <w:t xml:space="preserve">Model 18</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 and non-UK</w:t>
            </w:r>
            <w:r>
              <w:t xml:space="preserve"> </w:t>
            </w:r>
            <w:r>
              <w:t xml:space="preserve">born populations.</w:t>
            </w:r>
          </w:p>
        </w:tc>
      </w:tr>
    </w:tbl>
    <w:p>
      <w:pPr>
        <w:pStyle w:val="Heading5"/>
      </w:pPr>
      <w:bookmarkStart w:id="57" w:name="pagebreak-7"/>
      <w:bookmarkEnd w:id="57"/>
      <w:r>
        <w:t xml:space="preserve">PAGEBREAK</w:t>
      </w:r>
    </w:p>
    <w:p>
      <w:pPr>
        <w:pStyle w:val="FirstParagraph"/>
      </w:pPr>
      <w:r>
        <w:rPr>
          <w:b/>
        </w:rPr>
        <w:t xml:space="preserve">Imputation of UK birth status</w:t>
      </w:r>
    </w:p>
    <w:p>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categorised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w:t>
      </w:r>
      <w:r>
        <w:t xml:space="preserve"> </w:t>
      </w:r>
      <m:oMath>
        <m:r>
          <m:t>1</m:t>
        </m:r>
        <m:r>
          <m:t>e</m:t>
        </m:r>
        <m:r>
          <m:t>−</m:t>
        </m:r>
        <m:r>
          <m:t>5</m:t>
        </m:r>
      </m:oMath>
      <w:r>
        <w:t xml:space="preserve">, with 10 stopping rounds), a learning rate of 0.1, and a learn rate annealing of 0.99. Gradient boosted machines are a tree based method that can incorporate complex non-linear relationships and interactions. Much like a random forest model they work by ensembling a group of trees, but unlike a random forest model each tree is additive aiming to reduce the residual loss from previous trees. Once the model had been fit to the training set we performed platt scaling using the calibration data set. Our fitted imputation model had a Logloss of 0.28 on the test set, with an AUC of 0.93, both of which indicate a robust out of bag performance. We found that ethnic group was the most important variable for predicting UK birth status, followed by age and PHEC.</w:t>
      </w:r>
    </w:p>
    <w:p>
      <w:pPr>
        <w:pStyle w:val="BodyText"/>
      </w:pPr>
      <w:r>
        <w:t xml:space="preserve">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w:t>
      </w:r>
      <w:r>
        <w:t xml:space="preserve">[11]</w:t>
      </w:r>
      <w:r>
        <w:t xml:space="preserve">. We found that cases with imputed birth status had a similar proportion of UK born to non-UK born cases as in the complete data (Supplementary Table S6).</w:t>
      </w:r>
    </w:p>
    <w:p>
      <w:pPr>
        <w:pStyle w:val="TableCaption"/>
      </w:pPr>
      <w:r>
        <w:t xml:space="preserve">Supplementary Table S6: Comparison of UK birth status in cases with complete or imputed records.</w:t>
      </w:r>
    </w:p>
    <w:tbl>
      <w:tblPr>
        <w:tblStyle w:val="TableNormal"/>
        <w:tblW w:type="pct" w:w="4166.666666666667"/>
        <w:tblLook w:firstRow="1"/>
        <w:tblCaption w:val="Supplementary Table S6: Comparison of UK birth status in cases with complete or imputed records."/>
      </w:tblPr>
      <w:tblGrid>
        <w:gridCol w:w="1210"/>
        <w:gridCol w:w="1650"/>
        <w:gridCol w:w="2860"/>
        <w:gridCol w:w="880"/>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Proportion of Cases (%)</w:t>
            </w:r>
          </w:p>
        </w:tc>
        <w:tc>
          <w:tcPr>
            <w:tcBorders>
              <w:bottom w:val="single"/>
            </w:tcBorders>
            <w:vAlign w:val="bottom"/>
          </w:tcPr>
          <w:p>
            <w:pPr>
              <w:pStyle w:val="Compact"/>
              <w:jc w:val="center"/>
            </w:pPr>
            <w:r>
              <w:t xml:space="preserve">Cases</w:t>
            </w:r>
          </w:p>
        </w:tc>
      </w:tr>
      <w:tr>
        <w:tc>
          <w:p>
            <w:pPr>
              <w:pStyle w:val="Compact"/>
              <w:jc w:val="left"/>
            </w:pPr>
            <w:r>
              <w:t xml:space="preserve">Complete</w:t>
            </w:r>
          </w:p>
        </w:tc>
        <w:tc>
          <w:p>
            <w:pPr>
              <w:pStyle w:val="Compact"/>
            </w:pPr>
          </w:p>
        </w:tc>
        <w:tc>
          <w:p>
            <w:pPr>
              <w:pStyle w:val="Compact"/>
            </w:pPr>
          </w:p>
        </w:tc>
        <w:tc>
          <w:p>
            <w:pPr>
              <w:pStyle w:val="Compact"/>
              <w:jc w:val="center"/>
            </w:pPr>
            <w:r>
              <w:t xml:space="preserve">106765</w:t>
            </w:r>
          </w:p>
        </w:tc>
      </w:tr>
      <w:tr>
        <w:tc>
          <w:p>
            <w:pPr>
              <w:pStyle w:val="Compact"/>
            </w:pPr>
          </w:p>
        </w:tc>
        <w:tc>
          <w:p>
            <w:pPr>
              <w:pStyle w:val="Compact"/>
              <w:jc w:val="left"/>
            </w:pPr>
            <w:r>
              <w:t xml:space="preserve">UK Born</w:t>
            </w:r>
          </w:p>
        </w:tc>
        <w:tc>
          <w:p>
            <w:pPr>
              <w:pStyle w:val="Compact"/>
              <w:jc w:val="center"/>
            </w:pPr>
            <w:r>
              <w:t xml:space="preserve">27.3</w:t>
            </w:r>
          </w:p>
        </w:tc>
        <w:tc>
          <w:p>
            <w:pPr>
              <w:pStyle w:val="Compact"/>
              <w:jc w:val="center"/>
            </w:pPr>
            <w:r>
              <w:t xml:space="preserve">29096</w:t>
            </w:r>
          </w:p>
        </w:tc>
      </w:tr>
      <w:tr>
        <w:tc>
          <w:p>
            <w:pPr>
              <w:pStyle w:val="Compact"/>
            </w:pPr>
          </w:p>
        </w:tc>
        <w:tc>
          <w:p>
            <w:pPr>
              <w:pStyle w:val="Compact"/>
              <w:jc w:val="left"/>
            </w:pPr>
            <w:r>
              <w:t xml:space="preserve">Non-UK Born</w:t>
            </w:r>
          </w:p>
        </w:tc>
        <w:tc>
          <w:p>
            <w:pPr>
              <w:pStyle w:val="Compact"/>
              <w:jc w:val="center"/>
            </w:pPr>
            <w:r>
              <w:t xml:space="preserve">72.7</w:t>
            </w:r>
          </w:p>
        </w:tc>
        <w:tc>
          <w:p>
            <w:pPr>
              <w:pStyle w:val="Compact"/>
              <w:jc w:val="center"/>
            </w:pPr>
            <w:r>
              <w:t xml:space="preserve">77669</w:t>
            </w:r>
          </w:p>
        </w:tc>
      </w:tr>
      <w:tr>
        <w:tc>
          <w:p>
            <w:pPr>
              <w:pStyle w:val="Compact"/>
              <w:jc w:val="left"/>
            </w:pPr>
            <w:r>
              <w:t xml:space="preserve">Imputed</w:t>
            </w:r>
          </w:p>
        </w:tc>
        <w:tc>
          <w:p>
            <w:pPr>
              <w:pStyle w:val="Compact"/>
            </w:pPr>
          </w:p>
        </w:tc>
        <w:tc>
          <w:p>
            <w:pPr>
              <w:pStyle w:val="Compact"/>
            </w:pPr>
          </w:p>
        </w:tc>
        <w:tc>
          <w:p>
            <w:pPr>
              <w:pStyle w:val="Compact"/>
              <w:jc w:val="center"/>
            </w:pPr>
            <w:r>
              <w:t xml:space="preserve">8055</w:t>
            </w:r>
          </w:p>
        </w:tc>
      </w:tr>
      <w:tr>
        <w:tc>
          <w:p>
            <w:pPr>
              <w:pStyle w:val="Compact"/>
            </w:pPr>
          </w:p>
        </w:tc>
        <w:tc>
          <w:p>
            <w:pPr>
              <w:pStyle w:val="Compact"/>
              <w:jc w:val="left"/>
            </w:pPr>
            <w:r>
              <w:t xml:space="preserve">UK Born</w:t>
            </w:r>
          </w:p>
        </w:tc>
        <w:tc>
          <w:p>
            <w:pPr>
              <w:pStyle w:val="Compact"/>
              <w:jc w:val="center"/>
            </w:pPr>
            <w:r>
              <w:t xml:space="preserve">32.7</w:t>
            </w:r>
          </w:p>
        </w:tc>
        <w:tc>
          <w:p>
            <w:pPr>
              <w:pStyle w:val="Compact"/>
              <w:jc w:val="center"/>
            </w:pPr>
            <w:r>
              <w:t xml:space="preserve">2634</w:t>
            </w:r>
          </w:p>
        </w:tc>
      </w:tr>
      <w:tr>
        <w:tc>
          <w:p>
            <w:pPr>
              <w:pStyle w:val="Compact"/>
            </w:pPr>
          </w:p>
        </w:tc>
        <w:tc>
          <w:p>
            <w:pPr>
              <w:pStyle w:val="Compact"/>
              <w:jc w:val="left"/>
            </w:pPr>
            <w:r>
              <w:t xml:space="preserve">Non-UK Born</w:t>
            </w:r>
          </w:p>
        </w:tc>
        <w:tc>
          <w:p>
            <w:pPr>
              <w:pStyle w:val="Compact"/>
              <w:jc w:val="center"/>
            </w:pPr>
            <w:r>
              <w:t xml:space="preserve">67.3</w:t>
            </w:r>
          </w:p>
        </w:tc>
        <w:tc>
          <w:p>
            <w:pPr>
              <w:pStyle w:val="Compact"/>
              <w:jc w:val="center"/>
            </w:pPr>
            <w:r>
              <w:t xml:space="preserve">5421</w:t>
            </w:r>
          </w:p>
        </w:tc>
      </w:tr>
    </w:tbl>
    <w:p>
      <w:pPr>
        <w:pStyle w:val="BodyText"/>
      </w:pPr>
      <w:r>
        <w:t xml:space="preserve">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pPr>
        <w:pStyle w:val="Heading5"/>
      </w:pPr>
      <w:bookmarkStart w:id="58" w:name="pagebreak-8"/>
      <w:bookmarkEnd w:id="58"/>
      <w:r>
        <w:t xml:space="preserve">PAGEBREAK</w:t>
      </w:r>
    </w:p>
    <w:p>
      <w:pPr>
        <w:pStyle w:val="FirstParagraph"/>
      </w:pPr>
      <w:r>
        <w:rPr>
          <w:b/>
        </w:rPr>
        <w:t xml:space="preserve">Prior choice</w:t>
      </w:r>
    </w:p>
    <w:p>
      <w:pPr>
        <w:pStyle w:val="BodyText"/>
      </w:pPr>
      <w:r>
        <w:t xml:space="preserve">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pPr>
        <w:pStyle w:val="BodyText"/>
      </w:pPr>
      <w:r>
        <w:rPr>
          <w:b/>
        </w:rPr>
        <w:t xml:space="preserve">Estimating the magnitude of the estimated impact of the change in BCG policy</w:t>
      </w:r>
    </w:p>
    <w:p>
      <w:pPr>
        <w:pStyle w:val="BodyText"/>
      </w:pPr>
      <w:r>
        <w:t xml:space="preserve">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e>
            <m:r>
              <m:t>C</m:t>
            </m:r>
          </m:e>
          <m:sub>
            <m:r>
              <m:t>O</m:t>
            </m:r>
          </m:sub>
        </m:sSub>
      </m:oMath>
      <w:r>
        <w:t xml:space="preserve">) and then using the following equation,</w:t>
      </w:r>
    </w:p>
    <w:p>
      <w:pPr>
        <w:pStyle w:val="BodyText"/>
      </w:pPr>
      <m:oMathPara>
        <m:oMathParaPr>
          <m:jc m:val="center"/>
        </m:oMathParaPr>
        <m:oMath>
          <m:sSubSup>
            <m:e>
              <m:r>
                <m:t>C</m:t>
              </m:r>
            </m:e>
            <m:sub>
              <m:r>
                <m:t>P</m:t>
              </m:r>
            </m:sub>
            <m:sup>
              <m:r>
                <m:t>i</m:t>
              </m:r>
            </m:sup>
          </m:sSubSup>
          <m:r>
            <m:t>=</m:t>
          </m:r>
          <m:sSub>
            <m:e>
              <m:r>
                <m:t>C</m:t>
              </m:r>
            </m:e>
            <m:sub>
              <m:r>
                <m:t>O</m:t>
              </m:r>
            </m:sub>
          </m:sSub>
          <m:r>
            <m:t>*</m:t>
          </m:r>
          <m:r>
            <m:t>(</m:t>
          </m:r>
          <m:r>
            <m:t>1</m:t>
          </m:r>
          <m:r>
            <m:t>−</m:t>
          </m:r>
          <m:sSup>
            <m:e>
              <m:r>
                <m:t>I</m:t>
              </m:r>
            </m:e>
            <m:sup>
              <m:r>
                <m:t>i</m:t>
              </m:r>
            </m:sup>
          </m:sSup>
          <m:r>
            <m:t>)</m:t>
          </m:r>
          <m:r>
            <m:t>,</m:t>
          </m:r>
          <m:r>
            <m:t> </m:t>
          </m:r>
          <m:r>
            <m:rPr>
              <m:sty m:val="p"/>
            </m:rPr>
            <m:t>Where</m:t>
          </m:r>
          <m:r>
            <m:t> </m:t>
          </m:r>
          <m:r>
            <m:t>i</m:t>
          </m:r>
          <m:r>
            <m:t>=</m:t>
          </m:r>
          <m:r>
            <m:t>e</m:t>
          </m:r>
          <m:r>
            <m:t>,</m:t>
          </m:r>
          <m:r>
            <m:t> </m:t>
          </m:r>
          <m:r>
            <m:t>l</m:t>
          </m:r>
          <m:r>
            <m:t>,</m:t>
          </m:r>
          <m:r>
            <m:t> </m:t>
          </m:r>
          <m:r>
            <m:t>u</m:t>
          </m:r>
          <m:r>
            <m:t>.</m:t>
          </m:r>
        </m:oMath>
      </m:oMathPara>
    </w:p>
    <w:p>
      <w:pPr>
        <w:pStyle w:val="FirstParagraph"/>
      </w:pPr>
      <w:r>
        <w:t xml:space="preserve">Where</w:t>
      </w:r>
      <w:r>
        <w:t xml:space="preserve"> </w:t>
      </w:r>
      <m:oMath>
        <m:sSubSup>
          <m:e>
            <m:r>
              <m:t>C</m:t>
            </m:r>
          </m:e>
          <m:sub>
            <m:r>
              <m:t>P</m:t>
            </m:r>
          </m:sub>
          <m:sup>
            <m:r>
              <m:t>i</m:t>
            </m:r>
          </m:sup>
        </m:sSubSup>
      </m:oMath>
      <w:r>
        <w:t xml:space="preserve"> </w:t>
      </w:r>
      <w:r>
        <w:t xml:space="preserve">is the predicted number of cases prevented using the mean (</w:t>
      </w:r>
      <m:oMath>
        <m:r>
          <m:t>e</m:t>
        </m:r>
      </m:oMath>
      <w:r>
        <w:t xml:space="preserve">), 2.5% bound (</w:t>
      </w:r>
      <m:oMath>
        <m:r>
          <m:t>l</m:t>
        </m:r>
      </m:oMath>
      <w:r>
        <w:t xml:space="preserve">) and 97.5% bound (</w:t>
      </w:r>
      <m:oMath>
        <m:r>
          <m:t>u</m:t>
        </m:r>
      </m:oMath>
      <w:r>
        <w:t xml:space="preserve">) of the IRR estimate</w:t>
      </w:r>
      <w:r>
        <w:t xml:space="preserve"> </w:t>
      </w:r>
      <m:oMath>
        <m:sSup>
          <m:e>
            <m:r>
              <m:t>I</m:t>
            </m:r>
          </m:e>
          <m:sup>
            <m:r>
              <m:t>i</m:t>
            </m:r>
          </m:sup>
        </m:sSup>
      </m:oMath>
      <w:r>
        <w:t xml:space="preserve">.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pPr>
        <w:pStyle w:val="BodyText"/>
      </w:pPr>
      <m:oMathPara>
        <m:oMathParaPr>
          <m:jc m:val="center"/>
        </m:oMathParaPr>
        <m:oMath>
          <m:sSubSup>
            <m:e>
              <m:r>
                <m:t>C</m:t>
              </m:r>
            </m:e>
            <m:sub>
              <m:r>
                <m:t>P</m:t>
              </m:r>
            </m:sub>
            <m:sup>
              <m:r>
                <m:t>i</m:t>
              </m:r>
            </m:sup>
          </m:sSubSup>
          <m:r>
            <m:t>=</m:t>
          </m:r>
          <m:sSub>
            <m:e>
              <m:r>
                <m:t>C</m:t>
              </m:r>
            </m:e>
            <m:sub>
              <m:r>
                <m:t>0</m:t>
              </m:r>
            </m:sub>
          </m:sSub>
          <m:d>
            <m:dPr>
              <m:begChr m:val="("/>
              <m:endChr m:val=")"/>
              <m:grow/>
            </m:dPr>
            <m:e>
              <m:f>
                <m:fPr>
                  <m:type m:val="bar"/>
                </m:fPr>
                <m:num>
                  <m:r>
                    <m:t>1</m:t>
                  </m:r>
                </m:num>
                <m:den>
                  <m:sSup>
                    <m:e>
                      <m:r>
                        <m:t>I</m:t>
                      </m:r>
                    </m:e>
                    <m:sup>
                      <m:r>
                        <m:t>i</m:t>
                      </m:r>
                    </m:sup>
                  </m:sSup>
                </m:den>
              </m:f>
              <m:r>
                <m:t>−</m:t>
              </m:r>
              <m:r>
                <m:t>1</m:t>
              </m:r>
            </m:e>
          </m:d>
          <m:r>
            <m:t>,</m:t>
          </m:r>
          <m:r>
            <m:t> </m:t>
          </m:r>
          <m:r>
            <m:rPr>
              <m:sty m:val="p"/>
            </m:rPr>
            <m:t>Where</m:t>
          </m:r>
          <m:r>
            <m:t> </m:t>
          </m:r>
          <m:r>
            <m:t>i</m:t>
          </m:r>
          <m:r>
            <m:t>=</m:t>
          </m:r>
          <m:r>
            <m:t>e</m:t>
          </m:r>
          <m:r>
            <m:t>,</m:t>
          </m:r>
          <m:r>
            <m:t> </m:t>
          </m:r>
          <m:r>
            <m:t>l</m:t>
          </m:r>
          <m:r>
            <m:t>,</m:t>
          </m:r>
          <m:r>
            <m:t> </m:t>
          </m:r>
          <m:r>
            <m:t>u</m:t>
          </m:r>
          <m:r>
            <m:t>.</m:t>
          </m:r>
        </m:oMath>
      </m:oMathPara>
    </w:p>
    <w:p>
      <w:pPr>
        <w:pStyle w:val="Heading5"/>
      </w:pPr>
      <w:bookmarkStart w:id="59" w:name="pagebreak-9"/>
      <w:bookmarkEnd w:id="59"/>
      <w:r>
        <w:t xml:space="preserve">PAGEBREAK</w:t>
      </w:r>
    </w:p>
    <w:p>
      <w:pPr>
        <w:pStyle w:val="FirstParagraph"/>
      </w:pPr>
      <w:r>
        <w:rPr>
          <w:b/>
        </w:rPr>
        <w:t xml:space="preserve">Descriptive analysis of age-specific incidence rates</w:t>
      </w:r>
    </w:p>
    <w:p>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pPr>
        <w:pStyle w:val="FigureWithCaption"/>
      </w:pPr>
      <w:r>
        <w:drawing>
          <wp:inline>
            <wp:extent cx="5943600" cy="5943600"/>
            <wp:effectExtent b="0" l="0" r="0" t="0"/>
            <wp:docPr descr="Supplementary Figure S1: Incidence rates per 100,000 for UK born population and non-UK born population, aged 0-5 and therefore directly affected by the targeted neonatal vaccination programme, and aged 14-19 and therefore directly affected by the universal school-age scheme." title="" id="1" name="Picture"/>
            <a:graphic>
              <a:graphicData uri="http://schemas.openxmlformats.org/drawingml/2006/picture">
                <pic:pic>
                  <pic:nvPicPr>
                    <pic:cNvPr descr="/home/seabbs/DirectEffBCGPolicyChange/vignettes/drafts/paper/paper_files/figure-docx/inc-rate-summary-plot-1.png" id="0" name="Picture"/>
                    <pic:cNvPicPr>
                      <a:picLocks noChangeArrowheads="1" noChangeAspect="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Supplementary Figure S1: Incidence rates per 100,000 for UK born population and non-UK born population, aged 0-5 and therefore directly affected by the targeted neonatal vaccination programme, and aged 14-19 and therefore directly affected by the universal school-age scheme.</w:t>
      </w:r>
    </w:p>
    <w:p>
      <w:pPr>
        <w:pStyle w:val="Heading5"/>
      </w:pPr>
      <w:bookmarkStart w:id="61" w:name="pagebreak-10"/>
      <w:bookmarkEnd w:id="61"/>
      <w:r>
        <w:t xml:space="preserve">PAGEBREAK</w:t>
      </w:r>
    </w:p>
    <w:p>
      <w:pPr>
        <w:pStyle w:val="FirstParagraph"/>
      </w:pPr>
      <w:r>
        <w:rPr>
          <w:b/>
        </w:rPr>
        <w:t xml:space="preserve">Incidence estimates for all cases, those aged 0-5 and those aged 14-19</w:t>
      </w:r>
    </w:p>
    <w:p>
      <w:pPr>
        <w:pStyle w:val="TableCaption"/>
      </w:pPr>
      <w:r>
        <w:t xml:space="preserve">Supplementary Table S7: Incidence rates per 100,000 in the UK born for all cases, those aged 0-5, and those aged 14-19, who were directly affected by the change in vaccination policy in 2005</w:t>
      </w:r>
    </w:p>
    <w:tbl>
      <w:tblPr>
        <w:tblStyle w:val="TableNormal"/>
        <w:tblW w:type="pct" w:w="4999.999999999999"/>
        <w:tblLook w:firstRow="1"/>
        <w:tblCaption w:val="Supplementary Table S7: Incidence rates per 100,000 in the UK born for all cases, those aged 0-5, and those aged 14-19, who were directly affected by the change in vaccination policy in 2005"/>
      </w:tblPr>
      <w:tblGrid>
        <w:gridCol w:w="1440"/>
        <w:gridCol w:w="2365"/>
        <w:gridCol w:w="2057"/>
        <w:gridCol w:w="2057"/>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4.86 (4.66, 5.07)</w:t>
            </w:r>
          </w:p>
        </w:tc>
        <w:tc>
          <w:p>
            <w:pPr>
              <w:pStyle w:val="Compact"/>
              <w:jc w:val="center"/>
            </w:pPr>
            <w:r>
              <w:t xml:space="preserve">3.12 (2.58, 3.73)</w:t>
            </w:r>
          </w:p>
        </w:tc>
        <w:tc>
          <w:p>
            <w:pPr>
              <w:pStyle w:val="Compact"/>
              <w:jc w:val="center"/>
            </w:pPr>
            <w:r>
              <w:t xml:space="preserve">4.43 (3.77, 5.16)</w:t>
            </w:r>
          </w:p>
        </w:tc>
      </w:tr>
      <w:tr>
        <w:tc>
          <w:p>
            <w:pPr>
              <w:pStyle w:val="Compact"/>
              <w:jc w:val="left"/>
            </w:pPr>
            <w:r>
              <w:t xml:space="preserve">2001</w:t>
            </w:r>
          </w:p>
        </w:tc>
        <w:tc>
          <w:p>
            <w:pPr>
              <w:pStyle w:val="Compact"/>
              <w:jc w:val="center"/>
            </w:pPr>
            <w:r>
              <w:t xml:space="preserve">4.81 (4.61, 5.02)</w:t>
            </w:r>
          </w:p>
        </w:tc>
        <w:tc>
          <w:p>
            <w:pPr>
              <w:pStyle w:val="Compact"/>
              <w:jc w:val="center"/>
            </w:pPr>
            <w:r>
              <w:t xml:space="preserve">4.06 (3.44, 4.76)</w:t>
            </w:r>
          </w:p>
        </w:tc>
        <w:tc>
          <w:p>
            <w:pPr>
              <w:pStyle w:val="Compact"/>
              <w:jc w:val="center"/>
            </w:pPr>
            <w:r>
              <w:t xml:space="preserve">4.65 (3.98, 5.40)</w:t>
            </w:r>
          </w:p>
        </w:tc>
      </w:tr>
      <w:tr>
        <w:tc>
          <w:p>
            <w:pPr>
              <w:pStyle w:val="Compact"/>
              <w:jc w:val="left"/>
            </w:pPr>
            <w:r>
              <w:t xml:space="preserve">2002</w:t>
            </w:r>
          </w:p>
        </w:tc>
        <w:tc>
          <w:p>
            <w:pPr>
              <w:pStyle w:val="Compact"/>
              <w:jc w:val="center"/>
            </w:pPr>
            <w:r>
              <w:t xml:space="preserve">4.58 (4.39, 4.78)</w:t>
            </w:r>
          </w:p>
        </w:tc>
        <w:tc>
          <w:p>
            <w:pPr>
              <w:pStyle w:val="Compact"/>
              <w:jc w:val="center"/>
            </w:pPr>
            <w:r>
              <w:t xml:space="preserve">3.45 (2.88, 4.10)</w:t>
            </w:r>
          </w:p>
        </w:tc>
        <w:tc>
          <w:p>
            <w:pPr>
              <w:pStyle w:val="Compact"/>
              <w:jc w:val="center"/>
            </w:pPr>
            <w:r>
              <w:t xml:space="preserve">4.71 (4.05, 5.46)</w:t>
            </w:r>
          </w:p>
        </w:tc>
      </w:tr>
      <w:tr>
        <w:tc>
          <w:p>
            <w:pPr>
              <w:pStyle w:val="Compact"/>
              <w:jc w:val="left"/>
            </w:pPr>
            <w:r>
              <w:t xml:space="preserve">2003</w:t>
            </w:r>
          </w:p>
        </w:tc>
        <w:tc>
          <w:p>
            <w:pPr>
              <w:pStyle w:val="Compact"/>
              <w:jc w:val="center"/>
            </w:pPr>
            <w:r>
              <w:t xml:space="preserve">4.23 (4.04, 4.42)</w:t>
            </w:r>
          </w:p>
        </w:tc>
        <w:tc>
          <w:p>
            <w:pPr>
              <w:pStyle w:val="Compact"/>
              <w:jc w:val="center"/>
            </w:pPr>
            <w:r>
              <w:t xml:space="preserve">2.76 (2.26, 3.34)</w:t>
            </w:r>
          </w:p>
        </w:tc>
        <w:tc>
          <w:p>
            <w:pPr>
              <w:pStyle w:val="Compact"/>
              <w:jc w:val="center"/>
            </w:pPr>
            <w:r>
              <w:t xml:space="preserve">3.67 (3.09, 4.33)</w:t>
            </w:r>
          </w:p>
        </w:tc>
      </w:tr>
      <w:tr>
        <w:tc>
          <w:p>
            <w:pPr>
              <w:pStyle w:val="Compact"/>
              <w:jc w:val="left"/>
            </w:pPr>
            <w:r>
              <w:t xml:space="preserve">2004</w:t>
            </w:r>
          </w:p>
        </w:tc>
        <w:tc>
          <w:p>
            <w:pPr>
              <w:pStyle w:val="Compact"/>
              <w:jc w:val="center"/>
            </w:pPr>
            <w:r>
              <w:t xml:space="preserve">4.36 (4.17, 4.56)</w:t>
            </w:r>
          </w:p>
        </w:tc>
        <w:tc>
          <w:p>
            <w:pPr>
              <w:pStyle w:val="Compact"/>
              <w:jc w:val="center"/>
            </w:pPr>
            <w:r>
              <w:t xml:space="preserve">4.19 (3.56, 4.91)</w:t>
            </w:r>
          </w:p>
        </w:tc>
        <w:tc>
          <w:p>
            <w:pPr>
              <w:pStyle w:val="Compact"/>
              <w:jc w:val="center"/>
            </w:pPr>
            <w:r>
              <w:t xml:space="preserve">4.00 (3.40, 4.68)</w:t>
            </w:r>
          </w:p>
        </w:tc>
      </w:tr>
      <w:tr>
        <w:tc>
          <w:p>
            <w:pPr>
              <w:pStyle w:val="Compact"/>
              <w:jc w:val="left"/>
            </w:pPr>
            <w:r>
              <w:t xml:space="preserve">2005</w:t>
            </w:r>
          </w:p>
        </w:tc>
        <w:tc>
          <w:p>
            <w:pPr>
              <w:pStyle w:val="Compact"/>
              <w:jc w:val="center"/>
            </w:pPr>
            <w:r>
              <w:t xml:space="preserve">4.40 (4.21, 4.60)</w:t>
            </w:r>
          </w:p>
        </w:tc>
        <w:tc>
          <w:p>
            <w:pPr>
              <w:pStyle w:val="Compact"/>
              <w:jc w:val="center"/>
            </w:pPr>
            <w:r>
              <w:t xml:space="preserve">3.72 (3.13, 4.40)</w:t>
            </w:r>
          </w:p>
        </w:tc>
        <w:tc>
          <w:p>
            <w:pPr>
              <w:pStyle w:val="Compact"/>
              <w:jc w:val="center"/>
            </w:pPr>
            <w:r>
              <w:t xml:space="preserve">4.61 (3.96, 5.34)</w:t>
            </w:r>
          </w:p>
        </w:tc>
      </w:tr>
      <w:tr>
        <w:tc>
          <w:p>
            <w:pPr>
              <w:pStyle w:val="Compact"/>
              <w:jc w:val="left"/>
            </w:pPr>
            <w:r>
              <w:t xml:space="preserve">2006</w:t>
            </w:r>
          </w:p>
        </w:tc>
        <w:tc>
          <w:p>
            <w:pPr>
              <w:pStyle w:val="Compact"/>
              <w:jc w:val="center"/>
            </w:pPr>
            <w:r>
              <w:t xml:space="preserve">4.36 (4.17, 4.56)</w:t>
            </w:r>
          </w:p>
        </w:tc>
        <w:tc>
          <w:p>
            <w:pPr>
              <w:pStyle w:val="Compact"/>
              <w:jc w:val="center"/>
            </w:pPr>
            <w:r>
              <w:t xml:space="preserve">3.29 (2.74, 3.93)</w:t>
            </w:r>
          </w:p>
        </w:tc>
        <w:tc>
          <w:p>
            <w:pPr>
              <w:pStyle w:val="Compact"/>
              <w:jc w:val="center"/>
            </w:pPr>
            <w:r>
              <w:t xml:space="preserve">4.17 (3.56, 4.86)</w:t>
            </w:r>
          </w:p>
        </w:tc>
      </w:tr>
      <w:tr>
        <w:tc>
          <w:p>
            <w:pPr>
              <w:pStyle w:val="Compact"/>
              <w:jc w:val="left"/>
            </w:pPr>
            <w:r>
              <w:t xml:space="preserve">2007</w:t>
            </w:r>
          </w:p>
        </w:tc>
        <w:tc>
          <w:p>
            <w:pPr>
              <w:pStyle w:val="Compact"/>
              <w:jc w:val="center"/>
            </w:pPr>
            <w:r>
              <w:t xml:space="preserve">4.42 (4.23, 4.62)</w:t>
            </w:r>
          </w:p>
        </w:tc>
        <w:tc>
          <w:p>
            <w:pPr>
              <w:pStyle w:val="Compact"/>
              <w:jc w:val="center"/>
            </w:pPr>
            <w:r>
              <w:t xml:space="preserve">4.57 (3.91, 5.30)</w:t>
            </w:r>
          </w:p>
        </w:tc>
        <w:tc>
          <w:p>
            <w:pPr>
              <w:pStyle w:val="Compact"/>
              <w:jc w:val="center"/>
            </w:pPr>
            <w:r>
              <w:t xml:space="preserve">4.07 (3.46, 4.75)</w:t>
            </w:r>
          </w:p>
        </w:tc>
      </w:tr>
      <w:tr>
        <w:tc>
          <w:p>
            <w:pPr>
              <w:pStyle w:val="Compact"/>
              <w:jc w:val="left"/>
            </w:pPr>
            <w:r>
              <w:t xml:space="preserve">2008</w:t>
            </w:r>
          </w:p>
        </w:tc>
        <w:tc>
          <w:p>
            <w:pPr>
              <w:pStyle w:val="Compact"/>
              <w:jc w:val="center"/>
            </w:pPr>
            <w:r>
              <w:t xml:space="preserve">4.56 (4.37, 4.76)</w:t>
            </w:r>
          </w:p>
        </w:tc>
        <w:tc>
          <w:p>
            <w:pPr>
              <w:pStyle w:val="Compact"/>
              <w:jc w:val="center"/>
            </w:pPr>
            <w:r>
              <w:t xml:space="preserve">4.56 (3.91, 5.28)</w:t>
            </w:r>
          </w:p>
        </w:tc>
        <w:tc>
          <w:p>
            <w:pPr>
              <w:pStyle w:val="Compact"/>
              <w:jc w:val="center"/>
            </w:pPr>
            <w:r>
              <w:t xml:space="preserve">5.31 (4.61, 6.09)</w:t>
            </w:r>
          </w:p>
        </w:tc>
      </w:tr>
      <w:tr>
        <w:tc>
          <w:p>
            <w:pPr>
              <w:pStyle w:val="Compact"/>
              <w:jc w:val="left"/>
            </w:pPr>
            <w:r>
              <w:t xml:space="preserve">2009</w:t>
            </w:r>
          </w:p>
        </w:tc>
        <w:tc>
          <w:p>
            <w:pPr>
              <w:pStyle w:val="Compact"/>
              <w:jc w:val="center"/>
            </w:pPr>
            <w:r>
              <w:t xml:space="preserve">4.63 (4.43, 4.83)</w:t>
            </w:r>
          </w:p>
        </w:tc>
        <w:tc>
          <w:p>
            <w:pPr>
              <w:pStyle w:val="Compact"/>
              <w:jc w:val="center"/>
            </w:pPr>
            <w:r>
              <w:t xml:space="preserve">4.05 (3.45, 4.73)</w:t>
            </w:r>
          </w:p>
        </w:tc>
        <w:tc>
          <w:p>
            <w:pPr>
              <w:pStyle w:val="Compact"/>
              <w:jc w:val="center"/>
            </w:pPr>
            <w:r>
              <w:t xml:space="preserve">5.25 (4.55, 6.02)</w:t>
            </w:r>
          </w:p>
        </w:tc>
      </w:tr>
      <w:tr>
        <w:tc>
          <w:p>
            <w:pPr>
              <w:pStyle w:val="Compact"/>
              <w:jc w:val="left"/>
            </w:pPr>
            <w:r>
              <w:t xml:space="preserve">2010</w:t>
            </w:r>
          </w:p>
        </w:tc>
        <w:tc>
          <w:p>
            <w:pPr>
              <w:pStyle w:val="Compact"/>
              <w:jc w:val="center"/>
            </w:pPr>
            <w:r>
              <w:t xml:space="preserve">4.28 (4.09, 4.47)</w:t>
            </w:r>
          </w:p>
        </w:tc>
        <w:tc>
          <w:p>
            <w:pPr>
              <w:pStyle w:val="Compact"/>
              <w:jc w:val="center"/>
            </w:pPr>
            <w:r>
              <w:t xml:space="preserve">3.33 (2.80, 3.94)</w:t>
            </w:r>
          </w:p>
        </w:tc>
        <w:tc>
          <w:p>
            <w:pPr>
              <w:pStyle w:val="Compact"/>
              <w:jc w:val="center"/>
            </w:pPr>
            <w:r>
              <w:t xml:space="preserve">4.00 (3.40, 4.68)</w:t>
            </w:r>
          </w:p>
        </w:tc>
      </w:tr>
      <w:tr>
        <w:tc>
          <w:p>
            <w:pPr>
              <w:pStyle w:val="Compact"/>
              <w:jc w:val="left"/>
            </w:pPr>
            <w:r>
              <w:t xml:space="preserve">2011</w:t>
            </w:r>
          </w:p>
        </w:tc>
        <w:tc>
          <w:p>
            <w:pPr>
              <w:pStyle w:val="Compact"/>
              <w:jc w:val="center"/>
            </w:pPr>
            <w:r>
              <w:t xml:space="preserve">4.51 (4.32, 4.71)</w:t>
            </w:r>
          </w:p>
        </w:tc>
        <w:tc>
          <w:p>
            <w:pPr>
              <w:pStyle w:val="Compact"/>
              <w:jc w:val="center"/>
            </w:pPr>
            <w:r>
              <w:t xml:space="preserve">3.20 (2.69, 3.79)</w:t>
            </w:r>
          </w:p>
        </w:tc>
        <w:tc>
          <w:p>
            <w:pPr>
              <w:pStyle w:val="Compact"/>
              <w:jc w:val="center"/>
            </w:pPr>
            <w:r>
              <w:t xml:space="preserve">4.32 (3.69, 5.03)</w:t>
            </w:r>
          </w:p>
        </w:tc>
      </w:tr>
      <w:tr>
        <w:tc>
          <w:p>
            <w:pPr>
              <w:pStyle w:val="Compact"/>
              <w:jc w:val="left"/>
            </w:pPr>
            <w:r>
              <w:t xml:space="preserve">2012</w:t>
            </w:r>
          </w:p>
        </w:tc>
        <w:tc>
          <w:p>
            <w:pPr>
              <w:pStyle w:val="Compact"/>
              <w:jc w:val="center"/>
            </w:pPr>
            <w:r>
              <w:t xml:space="preserve">4.59 (4.39, 4.78)</w:t>
            </w:r>
          </w:p>
        </w:tc>
        <w:tc>
          <w:p>
            <w:pPr>
              <w:pStyle w:val="Compact"/>
              <w:jc w:val="center"/>
            </w:pPr>
            <w:r>
              <w:t xml:space="preserve">4.10 (3.51, 4.76)</w:t>
            </w:r>
          </w:p>
        </w:tc>
        <w:tc>
          <w:p>
            <w:pPr>
              <w:pStyle w:val="Compact"/>
              <w:jc w:val="center"/>
            </w:pPr>
            <w:r>
              <w:t xml:space="preserve">4.67 (4.00, 5.41)</w:t>
            </w:r>
          </w:p>
        </w:tc>
      </w:tr>
      <w:tr>
        <w:tc>
          <w:p>
            <w:pPr>
              <w:pStyle w:val="Compact"/>
              <w:jc w:val="left"/>
            </w:pPr>
            <w:r>
              <w:t xml:space="preserve">2013</w:t>
            </w:r>
          </w:p>
        </w:tc>
        <w:tc>
          <w:p>
            <w:pPr>
              <w:pStyle w:val="Compact"/>
              <w:jc w:val="center"/>
            </w:pPr>
            <w:r>
              <w:t xml:space="preserve">4.15 (3.97, 4.34)</w:t>
            </w:r>
          </w:p>
        </w:tc>
        <w:tc>
          <w:p>
            <w:pPr>
              <w:pStyle w:val="Compact"/>
              <w:jc w:val="center"/>
            </w:pPr>
            <w:r>
              <w:t xml:space="preserve">2.60 (2.15, 3.13)</w:t>
            </w:r>
          </w:p>
        </w:tc>
        <w:tc>
          <w:p>
            <w:pPr>
              <w:pStyle w:val="Compact"/>
              <w:jc w:val="center"/>
            </w:pPr>
            <w:r>
              <w:t xml:space="preserve">4.36 (3.72, 5.09)</w:t>
            </w:r>
          </w:p>
        </w:tc>
      </w:tr>
      <w:tr>
        <w:tc>
          <w:p>
            <w:pPr>
              <w:pStyle w:val="Compact"/>
              <w:jc w:val="left"/>
            </w:pPr>
            <w:r>
              <w:t xml:space="preserve">2014</w:t>
            </w:r>
          </w:p>
        </w:tc>
        <w:tc>
          <w:p>
            <w:pPr>
              <w:pStyle w:val="Compact"/>
              <w:jc w:val="center"/>
            </w:pPr>
            <w:r>
              <w:t xml:space="preserve">3.92 (3.74, 4.10)</w:t>
            </w:r>
          </w:p>
        </w:tc>
        <w:tc>
          <w:p>
            <w:pPr>
              <w:pStyle w:val="Compact"/>
              <w:jc w:val="center"/>
            </w:pPr>
            <w:r>
              <w:t xml:space="preserve">2.27 (1.85, 2.76)</w:t>
            </w:r>
          </w:p>
        </w:tc>
        <w:tc>
          <w:p>
            <w:pPr>
              <w:pStyle w:val="Compact"/>
              <w:jc w:val="center"/>
            </w:pPr>
            <w:r>
              <w:t xml:space="preserve">4.41 (3.76, 5.14)</w:t>
            </w:r>
          </w:p>
        </w:tc>
      </w:tr>
      <w:tr>
        <w:tc>
          <w:p>
            <w:pPr>
              <w:pStyle w:val="Compact"/>
              <w:jc w:val="left"/>
            </w:pPr>
            <w:r>
              <w:t xml:space="preserve">2015</w:t>
            </w:r>
          </w:p>
        </w:tc>
        <w:tc>
          <w:p>
            <w:pPr>
              <w:pStyle w:val="Compact"/>
              <w:jc w:val="center"/>
            </w:pPr>
            <w:r>
              <w:t xml:space="preserve">3.46 (3.30, 3.63)</w:t>
            </w:r>
          </w:p>
        </w:tc>
        <w:tc>
          <w:p>
            <w:pPr>
              <w:pStyle w:val="Compact"/>
              <w:jc w:val="center"/>
            </w:pPr>
            <w:r>
              <w:t xml:space="preserve">2.16 (1.75, 2.64)</w:t>
            </w:r>
          </w:p>
        </w:tc>
        <w:tc>
          <w:p>
            <w:pPr>
              <w:pStyle w:val="Compact"/>
              <w:jc w:val="center"/>
            </w:pPr>
            <w:r>
              <w:t xml:space="preserve">4.07 (3.44, 4.78)</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TableCaption"/>
      </w:pPr>
      <w:r>
        <w:t xml:space="preserve">Supplementary Table S8: Incidence rates per 100,000 in the non-UK born for all cases, those aged 0-5, and those aged 14-19, who would have been directly affected by the change in vaccination policy in 2005 had they been UK born</w:t>
      </w:r>
    </w:p>
    <w:tbl>
      <w:tblPr>
        <w:tblStyle w:val="TableNormal"/>
        <w:tblW w:type="pct" w:w="5000.0"/>
        <w:tblLook w:firstRow="1"/>
        <w:tblCaption w:val="Supplementary Table S8: Incidence rates per 100,000 in the non-UK born for all cases, those aged 0-5, and those aged 14-19, who would have been directly affected by the change in vaccination policy in 2005 had they been UK born"/>
      </w:tblPr>
      <w:tblGrid>
        <w:gridCol w:w="1260"/>
        <w:gridCol w:w="2340"/>
        <w:gridCol w:w="2070"/>
        <w:gridCol w:w="2250"/>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92.98 (90.10, 95.92)</w:t>
            </w:r>
          </w:p>
        </w:tc>
        <w:tc>
          <w:p>
            <w:pPr>
              <w:pStyle w:val="Compact"/>
              <w:jc w:val="center"/>
            </w:pPr>
            <w:r>
              <w:t xml:space="preserve">40.45 (28.56, 55.88)</w:t>
            </w:r>
          </w:p>
        </w:tc>
        <w:tc>
          <w:p>
            <w:pPr>
              <w:pStyle w:val="Compact"/>
              <w:jc w:val="center"/>
            </w:pPr>
            <w:r>
              <w:t xml:space="preserve">103.14 (89.60, 118.19)</w:t>
            </w:r>
          </w:p>
        </w:tc>
      </w:tr>
      <w:tr>
        <w:tc>
          <w:p>
            <w:pPr>
              <w:pStyle w:val="Compact"/>
              <w:jc w:val="left"/>
            </w:pPr>
            <w:r>
              <w:t xml:space="preserve">2001</w:t>
            </w:r>
          </w:p>
        </w:tc>
        <w:tc>
          <w:p>
            <w:pPr>
              <w:pStyle w:val="Compact"/>
              <w:jc w:val="center"/>
            </w:pPr>
            <w:r>
              <w:t xml:space="preserve">92.95 (90.12, 95.84)</w:t>
            </w:r>
          </w:p>
        </w:tc>
        <w:tc>
          <w:p>
            <w:pPr>
              <w:pStyle w:val="Compact"/>
              <w:jc w:val="center"/>
            </w:pPr>
            <w:r>
              <w:t xml:space="preserve">26.36 (16.95, 39.47)</w:t>
            </w:r>
          </w:p>
        </w:tc>
        <w:tc>
          <w:p>
            <w:pPr>
              <w:pStyle w:val="Compact"/>
              <w:jc w:val="center"/>
            </w:pPr>
            <w:r>
              <w:t xml:space="preserve">122.40 (108.32, 137.85)</w:t>
            </w:r>
          </w:p>
        </w:tc>
      </w:tr>
      <w:tr>
        <w:tc>
          <w:p>
            <w:pPr>
              <w:pStyle w:val="Compact"/>
              <w:jc w:val="left"/>
            </w:pPr>
            <w:r>
              <w:t xml:space="preserve">2002</w:t>
            </w:r>
          </w:p>
        </w:tc>
        <w:tc>
          <w:p>
            <w:pPr>
              <w:pStyle w:val="Compact"/>
              <w:jc w:val="center"/>
            </w:pPr>
            <w:r>
              <w:t xml:space="preserve">102.07 (99.18, 105.03)</w:t>
            </w:r>
          </w:p>
        </w:tc>
        <w:tc>
          <w:p>
            <w:pPr>
              <w:pStyle w:val="Compact"/>
              <w:jc w:val="center"/>
            </w:pPr>
            <w:r>
              <w:t xml:space="preserve">47.63 (34.62, 64.16)</w:t>
            </w:r>
          </w:p>
        </w:tc>
        <w:tc>
          <w:p>
            <w:pPr>
              <w:pStyle w:val="Compact"/>
              <w:jc w:val="center"/>
            </w:pPr>
            <w:r>
              <w:t xml:space="preserve">127.03 (112.59, 142.83)</w:t>
            </w:r>
          </w:p>
        </w:tc>
      </w:tr>
      <w:tr>
        <w:tc>
          <w:p>
            <w:pPr>
              <w:pStyle w:val="Compact"/>
              <w:jc w:val="left"/>
            </w:pPr>
            <w:r>
              <w:t xml:space="preserve">2003</w:t>
            </w:r>
          </w:p>
        </w:tc>
        <w:tc>
          <w:p>
            <w:pPr>
              <w:pStyle w:val="Compact"/>
              <w:jc w:val="center"/>
            </w:pPr>
            <w:r>
              <w:t xml:space="preserve">99.65 (96.85, 102.50)</w:t>
            </w:r>
          </w:p>
        </w:tc>
        <w:tc>
          <w:p>
            <w:pPr>
              <w:pStyle w:val="Compact"/>
              <w:jc w:val="center"/>
            </w:pPr>
            <w:r>
              <w:t xml:space="preserve">24.81 (16.59, 35.94)</w:t>
            </w:r>
          </w:p>
        </w:tc>
        <w:tc>
          <w:p>
            <w:pPr>
              <w:pStyle w:val="Compact"/>
              <w:jc w:val="center"/>
            </w:pPr>
            <w:r>
              <w:t xml:space="preserve">127.53 (113.57, 142.75)</w:t>
            </w:r>
          </w:p>
        </w:tc>
      </w:tr>
      <w:tr>
        <w:tc>
          <w:p>
            <w:pPr>
              <w:pStyle w:val="Compact"/>
              <w:jc w:val="left"/>
            </w:pPr>
            <w:r>
              <w:t xml:space="preserve">2004</w:t>
            </w:r>
          </w:p>
        </w:tc>
        <w:tc>
          <w:p>
            <w:pPr>
              <w:pStyle w:val="Compact"/>
              <w:jc w:val="center"/>
            </w:pPr>
            <w:r>
              <w:t xml:space="preserve">103.66 (100.82, 106.56)</w:t>
            </w:r>
          </w:p>
        </w:tc>
        <w:tc>
          <w:p>
            <w:pPr>
              <w:pStyle w:val="Compact"/>
              <w:jc w:val="center"/>
            </w:pPr>
            <w:r>
              <w:t xml:space="preserve">34.58 (24.13, 48.25)</w:t>
            </w:r>
          </w:p>
        </w:tc>
        <w:tc>
          <w:p>
            <w:pPr>
              <w:pStyle w:val="Compact"/>
              <w:jc w:val="center"/>
            </w:pPr>
            <w:r>
              <w:t xml:space="preserve">119.66 (106.18, 134.41)</w:t>
            </w:r>
          </w:p>
        </w:tc>
      </w:tr>
      <w:tr>
        <w:tc>
          <w:p>
            <w:pPr>
              <w:pStyle w:val="Compact"/>
              <w:jc w:val="left"/>
            </w:pPr>
            <w:r>
              <w:t xml:space="preserve">2005</w:t>
            </w:r>
          </w:p>
        </w:tc>
        <w:tc>
          <w:p>
            <w:pPr>
              <w:pStyle w:val="Compact"/>
              <w:jc w:val="center"/>
            </w:pPr>
            <w:r>
              <w:t xml:space="preserve">110.48 (107.64, 113.37)</w:t>
            </w:r>
          </w:p>
        </w:tc>
        <w:tc>
          <w:p>
            <w:pPr>
              <w:pStyle w:val="Compact"/>
              <w:jc w:val="center"/>
            </w:pPr>
            <w:r>
              <w:t xml:space="preserve">42.83 (30.99, 57.91)</w:t>
            </w:r>
          </w:p>
        </w:tc>
        <w:tc>
          <w:p>
            <w:pPr>
              <w:pStyle w:val="Compact"/>
              <w:jc w:val="center"/>
            </w:pPr>
            <w:r>
              <w:t xml:space="preserve">127.26 (113.69, 142.04)</w:t>
            </w:r>
          </w:p>
        </w:tc>
      </w:tr>
      <w:tr>
        <w:tc>
          <w:p>
            <w:pPr>
              <w:pStyle w:val="Compact"/>
              <w:jc w:val="left"/>
            </w:pPr>
            <w:r>
              <w:t xml:space="preserve">2006</w:t>
            </w:r>
          </w:p>
        </w:tc>
        <w:tc>
          <w:p>
            <w:pPr>
              <w:pStyle w:val="Compact"/>
              <w:jc w:val="center"/>
            </w:pPr>
            <w:r>
              <w:t xml:space="preserve">102.91 (100.28, 105.59)</w:t>
            </w:r>
          </w:p>
        </w:tc>
        <w:tc>
          <w:p>
            <w:pPr>
              <w:pStyle w:val="Compact"/>
              <w:jc w:val="center"/>
            </w:pPr>
            <w:r>
              <w:t xml:space="preserve">17.32 (11.13, 25.93)</w:t>
            </w:r>
          </w:p>
        </w:tc>
        <w:tc>
          <w:p>
            <w:pPr>
              <w:pStyle w:val="Compact"/>
              <w:jc w:val="center"/>
            </w:pPr>
            <w:r>
              <w:t xml:space="preserve">116.54 (103.91, 130.31)</w:t>
            </w:r>
          </w:p>
        </w:tc>
      </w:tr>
      <w:tr>
        <w:tc>
          <w:p>
            <w:pPr>
              <w:pStyle w:val="Compact"/>
              <w:jc w:val="left"/>
            </w:pPr>
            <w:r>
              <w:t xml:space="preserve">2007</w:t>
            </w:r>
          </w:p>
        </w:tc>
        <w:tc>
          <w:p>
            <w:pPr>
              <w:pStyle w:val="Compact"/>
              <w:jc w:val="center"/>
            </w:pPr>
            <w:r>
              <w:t xml:space="preserve">93.26 (90.85, 95.71)</w:t>
            </w:r>
          </w:p>
        </w:tc>
        <w:tc>
          <w:p>
            <w:pPr>
              <w:pStyle w:val="Compact"/>
              <w:jc w:val="center"/>
            </w:pPr>
            <w:r>
              <w:t xml:space="preserve">12.69 (7.74, 19.87)</w:t>
            </w:r>
          </w:p>
        </w:tc>
        <w:tc>
          <w:p>
            <w:pPr>
              <w:pStyle w:val="Compact"/>
              <w:jc w:val="center"/>
            </w:pPr>
            <w:r>
              <w:t xml:space="preserve">92.99 (82.40, 104.58)</w:t>
            </w:r>
          </w:p>
        </w:tc>
      </w:tr>
      <w:tr>
        <w:tc>
          <w:p>
            <w:pPr>
              <w:pStyle w:val="Compact"/>
              <w:jc w:val="left"/>
            </w:pPr>
            <w:r>
              <w:t xml:space="preserve">2008</w:t>
            </w:r>
          </w:p>
        </w:tc>
        <w:tc>
          <w:p>
            <w:pPr>
              <w:pStyle w:val="Compact"/>
              <w:jc w:val="center"/>
            </w:pPr>
            <w:r>
              <w:t xml:space="preserve">91.52 (89.19, 93.90)</w:t>
            </w:r>
          </w:p>
        </w:tc>
        <w:tc>
          <w:p>
            <w:pPr>
              <w:pStyle w:val="Compact"/>
              <w:jc w:val="center"/>
            </w:pPr>
            <w:r>
              <w:t xml:space="preserve">17.59 (11.66, 25.67)</w:t>
            </w:r>
          </w:p>
        </w:tc>
        <w:tc>
          <w:p>
            <w:pPr>
              <w:pStyle w:val="Compact"/>
              <w:jc w:val="center"/>
            </w:pPr>
            <w:r>
              <w:t xml:space="preserve">87.92 (77.84, 98.97)</w:t>
            </w:r>
          </w:p>
        </w:tc>
      </w:tr>
      <w:tr>
        <w:tc>
          <w:p>
            <w:pPr>
              <w:pStyle w:val="Compact"/>
              <w:jc w:val="left"/>
            </w:pPr>
            <w:r>
              <w:t xml:space="preserve">2009</w:t>
            </w:r>
          </w:p>
        </w:tc>
        <w:tc>
          <w:p>
            <w:pPr>
              <w:pStyle w:val="Compact"/>
              <w:jc w:val="center"/>
            </w:pPr>
            <w:r>
              <w:t xml:space="preserve">92.47 (90.17, 94.82)</w:t>
            </w:r>
          </w:p>
        </w:tc>
        <w:tc>
          <w:p>
            <w:pPr>
              <w:pStyle w:val="Compact"/>
              <w:jc w:val="center"/>
            </w:pPr>
            <w:r>
              <w:t xml:space="preserve">17.69 (11.92, 25.44)</w:t>
            </w:r>
          </w:p>
        </w:tc>
        <w:tc>
          <w:p>
            <w:pPr>
              <w:pStyle w:val="Compact"/>
              <w:jc w:val="center"/>
            </w:pPr>
            <w:r>
              <w:t xml:space="preserve">84.34 (74.71, 94.90)</w:t>
            </w:r>
          </w:p>
        </w:tc>
      </w:tr>
      <w:tr>
        <w:tc>
          <w:p>
            <w:pPr>
              <w:pStyle w:val="Compact"/>
              <w:jc w:val="left"/>
            </w:pPr>
            <w:r>
              <w:t xml:space="preserve">2010</w:t>
            </w:r>
          </w:p>
        </w:tc>
        <w:tc>
          <w:p>
            <w:pPr>
              <w:pStyle w:val="Compact"/>
              <w:jc w:val="center"/>
            </w:pPr>
            <w:r>
              <w:t xml:space="preserve">86.41 (84.21, 88.67)</w:t>
            </w:r>
          </w:p>
        </w:tc>
        <w:tc>
          <w:p>
            <w:pPr>
              <w:pStyle w:val="Compact"/>
              <w:jc w:val="center"/>
            </w:pPr>
            <w:r>
              <w:t xml:space="preserve">9.07 (5.11, 15.16)</w:t>
            </w:r>
          </w:p>
        </w:tc>
        <w:tc>
          <w:p>
            <w:pPr>
              <w:pStyle w:val="Compact"/>
              <w:jc w:val="center"/>
            </w:pPr>
            <w:r>
              <w:t xml:space="preserve">75.00 (66.19, 84.68)</w:t>
            </w:r>
          </w:p>
        </w:tc>
      </w:tr>
      <w:tr>
        <w:tc>
          <w:p>
            <w:pPr>
              <w:pStyle w:val="Compact"/>
              <w:jc w:val="left"/>
            </w:pPr>
            <w:r>
              <w:t xml:space="preserve">2011</w:t>
            </w:r>
          </w:p>
        </w:tc>
        <w:tc>
          <w:p>
            <w:pPr>
              <w:pStyle w:val="Compact"/>
              <w:jc w:val="center"/>
            </w:pPr>
            <w:r>
              <w:t xml:space="preserve">88.88 (86.70, 91.10)</w:t>
            </w:r>
          </w:p>
        </w:tc>
        <w:tc>
          <w:p>
            <w:pPr>
              <w:pStyle w:val="Compact"/>
              <w:jc w:val="center"/>
            </w:pPr>
            <w:r>
              <w:t xml:space="preserve">16.65 (10.82, 24.70)</w:t>
            </w:r>
          </w:p>
        </w:tc>
        <w:tc>
          <w:p>
            <w:pPr>
              <w:pStyle w:val="Compact"/>
              <w:jc w:val="center"/>
            </w:pPr>
            <w:r>
              <w:t xml:space="preserve">74.41 (65.59, 84.12)</w:t>
            </w:r>
          </w:p>
        </w:tc>
      </w:tr>
      <w:tr>
        <w:tc>
          <w:p>
            <w:pPr>
              <w:pStyle w:val="Compact"/>
              <w:jc w:val="left"/>
            </w:pPr>
            <w:r>
              <w:t xml:space="preserve">2012</w:t>
            </w:r>
          </w:p>
        </w:tc>
        <w:tc>
          <w:p>
            <w:pPr>
              <w:pStyle w:val="Compact"/>
              <w:jc w:val="center"/>
            </w:pPr>
            <w:r>
              <w:t xml:space="preserve">83.60 (81.51, 85.73)</w:t>
            </w:r>
          </w:p>
        </w:tc>
        <w:tc>
          <w:p>
            <w:pPr>
              <w:pStyle w:val="Compact"/>
              <w:jc w:val="center"/>
            </w:pPr>
            <w:r>
              <w:t xml:space="preserve">15.05 (9.97, 21.96)</w:t>
            </w:r>
          </w:p>
        </w:tc>
        <w:tc>
          <w:p>
            <w:pPr>
              <w:pStyle w:val="Compact"/>
              <w:jc w:val="center"/>
            </w:pPr>
            <w:r>
              <w:t xml:space="preserve">74.12 (65.45, 83.65)</w:t>
            </w:r>
          </w:p>
        </w:tc>
      </w:tr>
      <w:tr>
        <w:tc>
          <w:p>
            <w:pPr>
              <w:pStyle w:val="Compact"/>
              <w:jc w:val="left"/>
            </w:pPr>
            <w:r>
              <w:t xml:space="preserve">2013</w:t>
            </w:r>
          </w:p>
        </w:tc>
        <w:tc>
          <w:p>
            <w:pPr>
              <w:pStyle w:val="Compact"/>
              <w:jc w:val="center"/>
            </w:pPr>
            <w:r>
              <w:t xml:space="preserve">72.03 (70.13, 73.97)</w:t>
            </w:r>
          </w:p>
        </w:tc>
        <w:tc>
          <w:p>
            <w:pPr>
              <w:pStyle w:val="Compact"/>
              <w:jc w:val="center"/>
            </w:pPr>
            <w:r>
              <w:t xml:space="preserve">10.80 (6.36, 17.41)</w:t>
            </w:r>
          </w:p>
        </w:tc>
        <w:tc>
          <w:p>
            <w:pPr>
              <w:pStyle w:val="Compact"/>
              <w:jc w:val="center"/>
            </w:pPr>
            <w:r>
              <w:t xml:space="preserve">63.04 (55.16, 71.77)</w:t>
            </w:r>
          </w:p>
        </w:tc>
      </w:tr>
      <w:tr>
        <w:tc>
          <w:p>
            <w:pPr>
              <w:pStyle w:val="Compact"/>
              <w:jc w:val="left"/>
            </w:pPr>
            <w:r>
              <w:t xml:space="preserve">2014</w:t>
            </w:r>
          </w:p>
        </w:tc>
        <w:tc>
          <w:p>
            <w:pPr>
              <w:pStyle w:val="Compact"/>
              <w:jc w:val="center"/>
            </w:pPr>
            <w:r>
              <w:t xml:space="preserve">61.01 (59.29, 62.78)</w:t>
            </w:r>
          </w:p>
        </w:tc>
        <w:tc>
          <w:p>
            <w:pPr>
              <w:pStyle w:val="Compact"/>
              <w:jc w:val="center"/>
            </w:pPr>
            <w:r>
              <w:t xml:space="preserve">8.82 (5.19, 14.22)</w:t>
            </w:r>
          </w:p>
        </w:tc>
        <w:tc>
          <w:p>
            <w:pPr>
              <w:pStyle w:val="Compact"/>
              <w:jc w:val="center"/>
            </w:pPr>
            <w:r>
              <w:t xml:space="preserve">46.31 (39.90, 53.49)</w:t>
            </w:r>
          </w:p>
        </w:tc>
      </w:tr>
      <w:tr>
        <w:tc>
          <w:p>
            <w:pPr>
              <w:pStyle w:val="Compact"/>
              <w:jc w:val="left"/>
            </w:pPr>
            <w:r>
              <w:t xml:space="preserve">2015</w:t>
            </w:r>
          </w:p>
        </w:tc>
        <w:tc>
          <w:p>
            <w:pPr>
              <w:pStyle w:val="Compact"/>
              <w:jc w:val="center"/>
            </w:pPr>
            <w:r>
              <w:t xml:space="preserve">52.18 (50.62, 53.77)</w:t>
            </w:r>
          </w:p>
        </w:tc>
        <w:tc>
          <w:p>
            <w:pPr>
              <w:pStyle w:val="Compact"/>
              <w:jc w:val="center"/>
            </w:pPr>
            <w:r>
              <w:t xml:space="preserve">10.69 (6.62, 16.54)</w:t>
            </w:r>
          </w:p>
        </w:tc>
        <w:tc>
          <w:p>
            <w:pPr>
              <w:pStyle w:val="Compact"/>
              <w:jc w:val="center"/>
            </w:pPr>
            <w:r>
              <w:t xml:space="preserve">37.55 (31.97, 43.83)</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Heading5"/>
      </w:pPr>
      <w:bookmarkStart w:id="62" w:name="pagebreak-11"/>
      <w:bookmarkEnd w:id="62"/>
      <w:r>
        <w:t xml:space="preserve">PAGEBREAK</w:t>
      </w:r>
    </w:p>
    <w:p>
      <w:pPr>
        <w:pStyle w:val="FirstParagraph"/>
      </w:pPr>
      <w:r>
        <w:rPr>
          <w:b/>
        </w:rPr>
        <w:t xml:space="preserve">Direct effects of the change in policy on the UK born cohorts - results from all models</w:t>
      </w:r>
    </w:p>
    <w:p>
      <w:pPr>
        <w:pStyle w:val="TableCaption"/>
      </w:pPr>
      <w:r>
        <w:t xml:space="preserve">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TableNormal"/>
        <w:tblW w:type="pct" w:w="5000.0"/>
        <w:tblLook w:firstRow="1"/>
        <w:tblCaption w:val="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
      </w:tblPr>
      <w:tblGrid>
        <w:gridCol w:w="1131"/>
        <w:gridCol w:w="888"/>
        <w:gridCol w:w="727"/>
        <w:gridCol w:w="484"/>
        <w:gridCol w:w="808"/>
        <w:gridCol w:w="1050"/>
        <w:gridCol w:w="808"/>
        <w:gridCol w:w="646"/>
        <w:gridCol w:w="565"/>
        <w:gridCol w:w="80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(CrI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center"/>
            </w:pPr>
            <w:r>
              <w:t xml:space="preserve">1.08</w:t>
            </w:r>
            <w:r>
              <w:t xml:space="preserve"> </w:t>
            </w:r>
            <w:r>
              <w:t xml:space="preserve">(0.97,</w:t>
            </w:r>
            <w:r>
              <w:t xml:space="preserve"> </w:t>
            </w:r>
            <w:r>
              <w:t xml:space="preserve">1.19)</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9</w:t>
            </w:r>
          </w:p>
        </w:tc>
        <w:tc>
          <w:p>
            <w:pPr>
              <w:pStyle w:val="Compact"/>
              <w:jc w:val="center"/>
            </w:pPr>
            <w:r>
              <w:t xml:space="preserve">-211</w:t>
            </w:r>
          </w:p>
        </w:tc>
        <w:tc>
          <w:p>
            <w:pPr>
              <w:pStyle w:val="Compact"/>
              <w:jc w:val="center"/>
            </w:pPr>
            <w:r>
              <w:t xml:space="preserve">439 (10)</w:t>
            </w:r>
          </w:p>
        </w:tc>
      </w:tr>
      <w:tr>
        <w:tc>
          <w:p>
            <w:pPr>
              <w:pStyle w:val="Compact"/>
              <w:jc w:val="left"/>
            </w:pPr>
            <w:r>
              <w:t xml:space="preserve">Model 7</w:t>
            </w:r>
          </w:p>
        </w:tc>
        <w:tc>
          <w:p>
            <w:pPr>
              <w:pStyle w:val="Compact"/>
              <w:jc w:val="center"/>
            </w:pPr>
            <w:r>
              <w:t xml:space="preserve">1.08</w:t>
            </w:r>
            <w:r>
              <w:t xml:space="preserve"> </w:t>
            </w:r>
            <w:r>
              <w:t xml:space="preserve">(1.00,</w:t>
            </w:r>
            <w:r>
              <w:t xml:space="preserve"> </w:t>
            </w:r>
            <w:r>
              <w:t xml:space="preserve">1.17)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-211</w:t>
            </w:r>
          </w:p>
        </w:tc>
        <w:tc>
          <w:p>
            <w:pPr>
              <w:pStyle w:val="Compact"/>
              <w:jc w:val="center"/>
            </w:pPr>
            <w:r>
              <w:t xml:space="preserve">443 (14)</w:t>
            </w:r>
          </w:p>
        </w:tc>
      </w:tr>
      <w:tr>
        <w:tc>
          <w:p>
            <w:pPr>
              <w:pStyle w:val="Compact"/>
              <w:jc w:val="left"/>
            </w:pPr>
            <w:r>
              <w:t xml:space="preserve">Model 9</w:t>
            </w:r>
          </w:p>
        </w:tc>
        <w:tc>
          <w:p>
            <w:pPr>
              <w:pStyle w:val="Compact"/>
              <w:jc w:val="center"/>
            </w:pPr>
            <w:r>
              <w:t xml:space="preserve">1.12</w:t>
            </w:r>
            <w:r>
              <w:t xml:space="preserve"> </w:t>
            </w:r>
            <w:r>
              <w:t xml:space="preserve">(1.01,</w:t>
            </w:r>
            <w:r>
              <w:t xml:space="preserve"> </w:t>
            </w:r>
            <w:r>
              <w:t xml:space="preserve">1.25)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-210</w:t>
            </w:r>
          </w:p>
        </w:tc>
        <w:tc>
          <w:p>
            <w:pPr>
              <w:pStyle w:val="Compact"/>
              <w:jc w:val="center"/>
            </w:pPr>
            <w:r>
              <w:t xml:space="preserve">445 (14)</w:t>
            </w:r>
          </w:p>
        </w:tc>
      </w:tr>
      <w:tr>
        <w:tc>
          <w:p>
            <w:pPr>
              <w:pStyle w:val="Compact"/>
              <w:jc w:val="left"/>
            </w:pPr>
            <w:r>
              <w:t xml:space="preserve">Model 16</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-207</w:t>
            </w:r>
          </w:p>
        </w:tc>
        <w:tc>
          <w:p>
            <w:pPr>
              <w:pStyle w:val="Compact"/>
              <w:jc w:val="center"/>
            </w:pPr>
            <w:r>
              <w:t xml:space="preserve">445 (14)</w:t>
            </w:r>
          </w:p>
        </w:tc>
      </w:tr>
      <w:tr>
        <w:tc>
          <w:p>
            <w:pPr>
              <w:pStyle w:val="Compact"/>
              <w:jc w:val="left"/>
            </w:pPr>
            <w:r>
              <w:t xml:space="preserve">Model 18</w:t>
            </w:r>
          </w:p>
        </w:tc>
        <w:tc>
          <w:p>
            <w:pPr>
              <w:pStyle w:val="Compact"/>
              <w:jc w:val="center"/>
            </w:pPr>
            <w:r>
              <w:t xml:space="preserve">1.12</w:t>
            </w:r>
            <w:r>
              <w:t xml:space="preserve"> </w:t>
            </w:r>
            <w:r>
              <w:t xml:space="preserve">(0.97,</w:t>
            </w:r>
            <w:r>
              <w:t xml:space="preserve"> </w:t>
            </w:r>
            <w:r>
              <w:t xml:space="preserve">1.28)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-207</w:t>
            </w:r>
          </w:p>
        </w:tc>
        <w:tc>
          <w:p>
            <w:pPr>
              <w:pStyle w:val="Compact"/>
              <w:jc w:val="center"/>
            </w:pPr>
            <w:r>
              <w:t xml:space="preserve">447 (15)</w:t>
            </w:r>
          </w:p>
        </w:tc>
      </w:tr>
      <w:tr>
        <w:tc>
          <w:p>
            <w:pPr>
              <w:pStyle w:val="Compact"/>
              <w:jc w:val="left"/>
            </w:pPr>
            <w:r>
              <w:t xml:space="preserve">Model 8</w:t>
            </w:r>
          </w:p>
        </w:tc>
        <w:tc>
          <w:p>
            <w:pPr>
              <w:pStyle w:val="Compact"/>
              <w:jc w:val="center"/>
            </w:pPr>
            <w:r>
              <w:t xml:space="preserve">1.16</w:t>
            </w:r>
            <w:r>
              <w:t xml:space="preserve"> </w:t>
            </w:r>
            <w:r>
              <w:t xml:space="preserve">(1.04,</w:t>
            </w:r>
            <w:r>
              <w:t xml:space="preserve"> </w:t>
            </w:r>
            <w:r>
              <w:t xml:space="preserve">1.29)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-213</w:t>
            </w:r>
          </w:p>
        </w:tc>
        <w:tc>
          <w:p>
            <w:pPr>
              <w:pStyle w:val="Compact"/>
              <w:jc w:val="center"/>
            </w:pPr>
            <w:r>
              <w:t xml:space="preserve">449 (17)</w:t>
            </w:r>
          </w:p>
        </w:tc>
      </w:tr>
      <w:tr>
        <w:tc>
          <w:p>
            <w:pPr>
              <w:pStyle w:val="Compact"/>
              <w:jc w:val="left"/>
            </w:pPr>
            <w:r>
              <w:t xml:space="preserve">Model 6</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-215</w:t>
            </w:r>
          </w:p>
        </w:tc>
        <w:tc>
          <w:p>
            <w:pPr>
              <w:pStyle w:val="Compact"/>
              <w:jc w:val="center"/>
            </w:pPr>
            <w:r>
              <w:t xml:space="preserve">452 (17)</w:t>
            </w:r>
          </w:p>
        </w:tc>
      </w:tr>
      <w:tr>
        <w:tc>
          <w:p>
            <w:pPr>
              <w:pStyle w:val="Compact"/>
              <w:jc w:val="left"/>
            </w:pPr>
            <w:r>
              <w:t xml:space="preserve">Model 17</w:t>
            </w:r>
          </w:p>
        </w:tc>
        <w:tc>
          <w:p>
            <w:pPr>
              <w:pStyle w:val="Compact"/>
              <w:jc w:val="center"/>
            </w:pPr>
            <w:r>
              <w:t xml:space="preserve">1.15</w:t>
            </w:r>
            <w:r>
              <w:t xml:space="preserve"> </w:t>
            </w:r>
            <w:r>
              <w:t xml:space="preserve">(1.00,</w:t>
            </w:r>
            <w:r>
              <w:t xml:space="preserve"> </w:t>
            </w:r>
            <w:r>
              <w:t xml:space="preserve">1.32)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-209</w:t>
            </w:r>
          </w:p>
        </w:tc>
        <w:tc>
          <w:p>
            <w:pPr>
              <w:pStyle w:val="Compact"/>
              <w:jc w:val="center"/>
            </w:pPr>
            <w:r>
              <w:t xml:space="preserve">452 (17)</w:t>
            </w:r>
          </w:p>
        </w:tc>
      </w:tr>
      <w:tr>
        <w:tc>
          <w:p>
            <w:pPr>
              <w:pStyle w:val="Compact"/>
              <w:jc w:val="left"/>
            </w:pPr>
            <w:r>
              <w:t xml:space="preserve">Model 15</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-209</w:t>
            </w:r>
          </w:p>
        </w:tc>
        <w:tc>
          <w:p>
            <w:pPr>
              <w:pStyle w:val="Compact"/>
              <w:jc w:val="center"/>
            </w:pPr>
            <w:r>
              <w:t xml:space="preserve">453 (17)</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-254</w:t>
            </w:r>
          </w:p>
        </w:tc>
        <w:tc>
          <w:p>
            <w:pPr>
              <w:pStyle w:val="Compact"/>
              <w:jc w:val="center"/>
            </w:pPr>
            <w:r>
              <w:t xml:space="preserve">513 (26)</w:t>
            </w:r>
          </w:p>
        </w:tc>
      </w:tr>
      <w:tr>
        <w:tc>
          <w:p>
            <w:pPr>
              <w:pStyle w:val="Compact"/>
              <w:jc w:val="left"/>
            </w:pPr>
            <w:r>
              <w:t xml:space="preserve">Model 2</w:t>
            </w:r>
          </w:p>
        </w:tc>
        <w:tc>
          <w:p>
            <w:pPr>
              <w:pStyle w:val="Compact"/>
              <w:jc w:val="center"/>
            </w:pPr>
            <w:r>
              <w:t xml:space="preserve">1.06</w:t>
            </w:r>
            <w:r>
              <w:t xml:space="preserve"> </w:t>
            </w:r>
            <w:r>
              <w:t xml:space="preserve">(0.98,</w:t>
            </w:r>
            <w:r>
              <w:t xml:space="preserve"> </w:t>
            </w:r>
            <w:r>
              <w:t xml:space="preserve">1.14)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-252</w:t>
            </w:r>
          </w:p>
        </w:tc>
        <w:tc>
          <w:p>
            <w:pPr>
              <w:pStyle w:val="Compact"/>
              <w:jc w:val="center"/>
            </w:pPr>
            <w:r>
              <w:t xml:space="preserve">515 (25)</w:t>
            </w:r>
          </w:p>
        </w:tc>
      </w:tr>
      <w:tr>
        <w:tc>
          <w:p>
            <w:pPr>
              <w:pStyle w:val="Compact"/>
              <w:jc w:val="left"/>
            </w:pPr>
            <w:r>
              <w:t xml:space="preserve">Model 4</w:t>
            </w:r>
          </w:p>
        </w:tc>
        <w:tc>
          <w:p>
            <w:pPr>
              <w:pStyle w:val="Compact"/>
              <w:jc w:val="center"/>
            </w:pPr>
            <w:r>
              <w:t xml:space="preserve">1.00</w:t>
            </w:r>
            <w:r>
              <w:t xml:space="preserve"> </w:t>
            </w:r>
            <w:r>
              <w:t xml:space="preserve">(0.90,</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-251</w:t>
            </w:r>
          </w:p>
        </w:tc>
        <w:tc>
          <w:p>
            <w:pPr>
              <w:pStyle w:val="Compact"/>
              <w:jc w:val="center"/>
            </w:pPr>
            <w:r>
              <w:t xml:space="preserve">516 (25)</w:t>
            </w:r>
          </w:p>
        </w:tc>
      </w:tr>
      <w:tr>
        <w:tc>
          <w:p>
            <w:pPr>
              <w:pStyle w:val="Compact"/>
              <w:jc w:val="left"/>
            </w:pPr>
            <w:r>
              <w:t xml:space="preserve">Model 3</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-252</w:t>
            </w:r>
          </w:p>
        </w:tc>
        <w:tc>
          <w:p>
            <w:pPr>
              <w:pStyle w:val="Compact"/>
              <w:jc w:val="center"/>
            </w:pPr>
            <w:r>
              <w:t xml:space="preserve">518 (26)</w:t>
            </w:r>
          </w:p>
        </w:tc>
      </w:tr>
      <w:tr>
        <w:tc>
          <w:p>
            <w:pPr>
              <w:pStyle w:val="Compact"/>
              <w:jc w:val="left"/>
            </w:pPr>
            <w:r>
              <w:t xml:space="preserve">Model 5</w:t>
            </w:r>
          </w:p>
        </w:tc>
        <w:tc>
          <w:p>
            <w:pPr>
              <w:pStyle w:val="Compact"/>
              <w:jc w:val="center"/>
            </w:pPr>
            <w:r>
              <w:t xml:space="preserve">0.98</w:t>
            </w:r>
            <w:r>
              <w:t xml:space="preserve"> </w:t>
            </w:r>
            <w:r>
              <w:t xml:space="preserve">(0.89,</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-249</w:t>
            </w:r>
          </w:p>
        </w:tc>
        <w:tc>
          <w:p>
            <w:pPr>
              <w:pStyle w:val="Compact"/>
              <w:jc w:val="center"/>
            </w:pPr>
            <w:r>
              <w:t xml:space="preserve">518 (24)</w:t>
            </w:r>
          </w:p>
        </w:tc>
      </w:tr>
      <w:tr>
        <w:tc>
          <w:p>
            <w:pPr>
              <w:pStyle w:val="Compact"/>
              <w:jc w:val="left"/>
            </w:pPr>
            <w:r>
              <w:t xml:space="preserve">Model 13</w:t>
            </w:r>
          </w:p>
        </w:tc>
        <w:tc>
          <w:p>
            <w:pPr>
              <w:pStyle w:val="Compact"/>
              <w:jc w:val="center"/>
            </w:pPr>
            <w:r>
              <w:t xml:space="preserve">0.94</w:t>
            </w:r>
            <w:r>
              <w:t xml:space="preserve"> </w:t>
            </w:r>
            <w:r>
              <w:t xml:space="preserve">(0.78,</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-237</w:t>
            </w:r>
          </w:p>
        </w:tc>
        <w:tc>
          <w:p>
            <w:pPr>
              <w:pStyle w:val="Compact"/>
              <w:jc w:val="center"/>
            </w:pPr>
            <w:r>
              <w:t xml:space="preserve">518 (27)</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-244</w:t>
            </w:r>
          </w:p>
        </w:tc>
        <w:tc>
          <w:p>
            <w:pPr>
              <w:pStyle w:val="Compact"/>
              <w:jc w:val="center"/>
            </w:pPr>
            <w:r>
              <w:t xml:space="preserve">521 (28)</w:t>
            </w:r>
          </w:p>
        </w:tc>
      </w:tr>
      <w:tr>
        <w:tc>
          <w:p>
            <w:pPr>
              <w:pStyle w:val="Compact"/>
              <w:jc w:val="left"/>
            </w:pPr>
            <w:r>
              <w:t xml:space="preserve">Model 11</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-244</w:t>
            </w:r>
          </w:p>
        </w:tc>
        <w:tc>
          <w:p>
            <w:pPr>
              <w:pStyle w:val="Compact"/>
              <w:jc w:val="center"/>
            </w:pPr>
            <w:r>
              <w:t xml:space="preserve">522 (28)</w:t>
            </w:r>
          </w:p>
        </w:tc>
      </w:tr>
      <w:tr>
        <w:tc>
          <w:p>
            <w:pPr>
              <w:pStyle w:val="Compact"/>
              <w:jc w:val="left"/>
            </w:pPr>
            <w:r>
              <w:t xml:space="preserve">Model 14</w:t>
            </w:r>
          </w:p>
        </w:tc>
        <w:tc>
          <w:p>
            <w:pPr>
              <w:pStyle w:val="Compact"/>
              <w:jc w:val="center"/>
            </w:pPr>
            <w:r>
              <w:t xml:space="preserve">0.93</w:t>
            </w:r>
            <w:r>
              <w:t xml:space="preserve"> </w:t>
            </w:r>
            <w:r>
              <w:t xml:space="preserve">(0.78,</w:t>
            </w:r>
            <w:r>
              <w:t xml:space="preserve"> </w:t>
            </w:r>
            <w:r>
              <w:t xml:space="preserve">1.11)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-236</w:t>
            </w:r>
          </w:p>
        </w:tc>
        <w:tc>
          <w:p>
            <w:pPr>
              <w:pStyle w:val="Compact"/>
              <w:jc w:val="center"/>
            </w:pPr>
            <w:r>
              <w:t xml:space="preserve">522 (27)</w:t>
            </w:r>
          </w:p>
        </w:tc>
      </w:tr>
      <w:tr>
        <w:tc>
          <w:p>
            <w:pPr>
              <w:pStyle w:val="Compact"/>
              <w:jc w:val="left"/>
            </w:pPr>
            <w:r>
              <w:t xml:space="preserve">Model 12</w:t>
            </w:r>
          </w:p>
        </w:tc>
        <w:tc>
          <w:p>
            <w:pPr>
              <w:pStyle w:val="Compact"/>
              <w:jc w:val="center"/>
            </w:pPr>
            <w:r>
              <w:t xml:space="preserve">1.06</w:t>
            </w:r>
            <w:r>
              <w:t xml:space="preserve"> </w:t>
            </w:r>
            <w:r>
              <w:t xml:space="preserve">(0.93,</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-243</w:t>
            </w:r>
          </w:p>
        </w:tc>
        <w:tc>
          <w:p>
            <w:pPr>
              <w:pStyle w:val="Compact"/>
              <w:jc w:val="center"/>
            </w:pPr>
            <w:r>
              <w:t xml:space="preserve">526 (28)</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S4: Comparison of models fitted to incidence rates for the UK born population that were elgible to the targeted vaccination programme of neonates. Models are ordered by the goodness of fit as assessed by LOOIC, the degrees of freedom are used as a tiebreaker.</w:t>
      </w:r>
    </w:p>
    <w:tbl>
      <w:tblPr>
        <w:tblStyle w:val="TableNormal"/>
        <w:tblW w:type="pct" w:w="5000.0"/>
        <w:tblLook w:firstRow="1"/>
        <w:tblCaption w:val="Supplementary Table S4: Comparison of models fitted to incidence rates for the UK born population that were elgible to the targeted vaccination programme of neonates. Models are ordered by the goodness of fit as assessed by LOOIC, the degrees of freedom are used as a tiebreaker."/>
      </w:tblPr>
      <w:tblGrid>
        <w:gridCol w:w="1131"/>
        <w:gridCol w:w="888"/>
        <w:gridCol w:w="727"/>
        <w:gridCol w:w="484"/>
        <w:gridCol w:w="808"/>
        <w:gridCol w:w="1050"/>
        <w:gridCol w:w="808"/>
        <w:gridCol w:w="646"/>
        <w:gridCol w:w="565"/>
        <w:gridCol w:w="80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(CrI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16</w:t>
            </w:r>
          </w:p>
        </w:tc>
        <w:tc>
          <w:p>
            <w:pPr>
              <w:pStyle w:val="Compact"/>
              <w:jc w:val="center"/>
            </w:pPr>
            <w:r>
              <w:t xml:space="preserve">0.96</w:t>
            </w:r>
            <w:r>
              <w:t xml:space="preserve"> </w:t>
            </w:r>
            <w:r>
              <w:t xml:space="preserve">(0.82,</w:t>
            </w:r>
            <w:r>
              <w:t xml:space="preserve"> </w:t>
            </w:r>
            <w:r>
              <w:t xml:space="preserve">1.14)</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-192</w:t>
            </w:r>
          </w:p>
        </w:tc>
        <w:tc>
          <w:p>
            <w:pPr>
              <w:pStyle w:val="Compact"/>
              <w:jc w:val="center"/>
            </w:pPr>
            <w:r>
              <w:t xml:space="preserve">415 (12)</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center"/>
            </w:pPr>
            <w:r>
              <w:t xml:space="preserve">0.96</w:t>
            </w:r>
            <w:r>
              <w:t xml:space="preserve"> </w:t>
            </w:r>
            <w:r>
              <w:t xml:space="preserve">(0.82,</w:t>
            </w:r>
            <w:r>
              <w:t xml:space="preserve"> </w:t>
            </w:r>
            <w:r>
              <w:t xml:space="preserve">1.13)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21</w:t>
            </w:r>
          </w:p>
        </w:tc>
        <w:tc>
          <w:p>
            <w:pPr>
              <w:pStyle w:val="Compact"/>
              <w:jc w:val="center"/>
            </w:pPr>
            <w:r>
              <w:t xml:space="preserve">-196</w:t>
            </w:r>
          </w:p>
        </w:tc>
        <w:tc>
          <w:p>
            <w:pPr>
              <w:pStyle w:val="Compact"/>
              <w:jc w:val="center"/>
            </w:pPr>
            <w:r>
              <w:t xml:space="preserve">415 (10)</w:t>
            </w:r>
          </w:p>
        </w:tc>
      </w:tr>
      <w:tr>
        <w:tc>
          <w:p>
            <w:pPr>
              <w:pStyle w:val="Compact"/>
              <w:jc w:val="left"/>
            </w:pPr>
            <w:r>
              <w:t xml:space="preserve">Model 18</w:t>
            </w:r>
          </w:p>
        </w:tc>
        <w:tc>
          <w:p>
            <w:pPr>
              <w:pStyle w:val="Compact"/>
              <w:jc w:val="center"/>
            </w:pPr>
            <w:r>
              <w:t xml:space="preserve">0.99</w:t>
            </w:r>
            <w:r>
              <w:t xml:space="preserve"> </w:t>
            </w:r>
            <w:r>
              <w:t xml:space="preserve">(0.82,</w:t>
            </w:r>
            <w:r>
              <w:t xml:space="preserve"> </w:t>
            </w:r>
            <w:r>
              <w:t xml:space="preserve">1.18)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-192</w:t>
            </w:r>
          </w:p>
        </w:tc>
        <w:tc>
          <w:p>
            <w:pPr>
              <w:pStyle w:val="Compact"/>
              <w:jc w:val="center"/>
            </w:pPr>
            <w:r>
              <w:t xml:space="preserve">417 (13)</w:t>
            </w:r>
          </w:p>
        </w:tc>
      </w:tr>
      <w:tr>
        <w:tc>
          <w:p>
            <w:pPr>
              <w:pStyle w:val="Compact"/>
              <w:jc w:val="left"/>
            </w:pPr>
            <w:r>
              <w:t xml:space="preserve">Model 7</w:t>
            </w:r>
          </w:p>
        </w:tc>
        <w:tc>
          <w:p>
            <w:pPr>
              <w:pStyle w:val="Compact"/>
              <w:jc w:val="center"/>
            </w:pPr>
            <w:r>
              <w:t xml:space="preserve">0.96</w:t>
            </w:r>
            <w:r>
              <w:t xml:space="preserve"> </w:t>
            </w:r>
            <w:r>
              <w:t xml:space="preserve">(0.88,</w:t>
            </w:r>
            <w:r>
              <w:t xml:space="preserve"> </w:t>
            </w:r>
            <w:r>
              <w:t xml:space="preserve">1.05)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-200</w:t>
            </w:r>
          </w:p>
        </w:tc>
        <w:tc>
          <w:p>
            <w:pPr>
              <w:pStyle w:val="Compact"/>
              <w:jc w:val="center"/>
            </w:pPr>
            <w:r>
              <w:t xml:space="preserve">420 (15)</w:t>
            </w:r>
          </w:p>
        </w:tc>
      </w:tr>
      <w:tr>
        <w:tc>
          <w:p>
            <w:pPr>
              <w:pStyle w:val="Compact"/>
              <w:jc w:val="left"/>
            </w:pPr>
            <w:r>
              <w:t xml:space="preserve">Model 9</w:t>
            </w:r>
          </w:p>
        </w:tc>
        <w:tc>
          <w:p>
            <w:pPr>
              <w:pStyle w:val="Compact"/>
              <w:jc w:val="center"/>
            </w:pPr>
            <w:r>
              <w:t xml:space="preserve">1.00</w:t>
            </w:r>
            <w:r>
              <w:t xml:space="preserve"> </w:t>
            </w:r>
            <w:r>
              <w:t xml:space="preserve">(0.89,</w:t>
            </w:r>
            <w:r>
              <w:t xml:space="preserve"> </w:t>
            </w:r>
            <w:r>
              <w:t xml:space="preserve">1.12)</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-200</w:t>
            </w:r>
          </w:p>
        </w:tc>
        <w:tc>
          <w:p>
            <w:pPr>
              <w:pStyle w:val="Compact"/>
              <w:jc w:val="center"/>
            </w:pPr>
            <w:r>
              <w:t xml:space="preserve">422 (15)</w:t>
            </w:r>
          </w:p>
        </w:tc>
      </w:tr>
      <w:tr>
        <w:tc>
          <w:p>
            <w:pPr>
              <w:pStyle w:val="Compact"/>
              <w:jc w:val="left"/>
            </w:pPr>
            <w:r>
              <w:t xml:space="preserve">Model 8</w:t>
            </w:r>
          </w:p>
        </w:tc>
        <w:tc>
          <w:p>
            <w:pPr>
              <w:pStyle w:val="Compact"/>
              <w:jc w:val="center"/>
            </w:pPr>
            <w:r>
              <w:t xml:space="preserve">1.02</w:t>
            </w:r>
            <w:r>
              <w:t xml:space="preserve"> </w:t>
            </w:r>
            <w:r>
              <w:t xml:space="preserve">(0.91,</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-203</w:t>
            </w:r>
          </w:p>
        </w:tc>
        <w:tc>
          <w:p>
            <w:pPr>
              <w:pStyle w:val="Compact"/>
              <w:jc w:val="center"/>
            </w:pPr>
            <w:r>
              <w:t xml:space="preserve">427 (16)</w:t>
            </w:r>
          </w:p>
        </w:tc>
      </w:tr>
      <w:tr>
        <w:tc>
          <w:p>
            <w:pPr>
              <w:pStyle w:val="Compact"/>
              <w:jc w:val="left"/>
            </w:pPr>
            <w:r>
              <w:t xml:space="preserve">Model 6</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-204</w:t>
            </w:r>
          </w:p>
        </w:tc>
        <w:tc>
          <w:p>
            <w:pPr>
              <w:pStyle w:val="Compact"/>
              <w:jc w:val="center"/>
            </w:pPr>
            <w:r>
              <w:t xml:space="preserve">428 (16)</w:t>
            </w:r>
          </w:p>
        </w:tc>
      </w:tr>
      <w:tr>
        <w:tc>
          <w:p>
            <w:pPr>
              <w:pStyle w:val="Compact"/>
              <w:jc w:val="left"/>
            </w:pPr>
            <w:r>
              <w:t xml:space="preserve">Model 15</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-198</w:t>
            </w:r>
          </w:p>
        </w:tc>
        <w:tc>
          <w:p>
            <w:pPr>
              <w:pStyle w:val="Compact"/>
              <w:jc w:val="center"/>
            </w:pPr>
            <w:r>
              <w:t xml:space="preserve">428 (14)</w:t>
            </w:r>
          </w:p>
        </w:tc>
      </w:tr>
      <w:tr>
        <w:tc>
          <w:p>
            <w:pPr>
              <w:pStyle w:val="Compact"/>
              <w:jc w:val="left"/>
            </w:pPr>
            <w:r>
              <w:t xml:space="preserve">Model 17</w:t>
            </w:r>
          </w:p>
        </w:tc>
        <w:tc>
          <w:p>
            <w:pPr>
              <w:pStyle w:val="Compact"/>
              <w:jc w:val="center"/>
            </w:pPr>
            <w:r>
              <w:t xml:space="preserve">1.02</w:t>
            </w:r>
            <w:r>
              <w:t xml:space="preserve"> </w:t>
            </w:r>
            <w:r>
              <w:t xml:space="preserve">(0.87,</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-198</w:t>
            </w:r>
          </w:p>
        </w:tc>
        <w:tc>
          <w:p>
            <w:pPr>
              <w:pStyle w:val="Compact"/>
              <w:jc w:val="center"/>
            </w:pPr>
            <w:r>
              <w:t xml:space="preserve">429 (14)</w:t>
            </w:r>
          </w:p>
        </w:tc>
      </w:tr>
      <w:tr>
        <w:tc>
          <w:p>
            <w:pPr>
              <w:pStyle w:val="Compact"/>
              <w:jc w:val="left"/>
            </w:pPr>
            <w:r>
              <w:t xml:space="preserve">Model 14</w:t>
            </w:r>
          </w:p>
        </w:tc>
        <w:tc>
          <w:p>
            <w:pPr>
              <w:pStyle w:val="Compact"/>
              <w:jc w:val="center"/>
            </w:pPr>
            <w:r>
              <w:t xml:space="preserve">1.10</w:t>
            </w:r>
            <w:r>
              <w:t xml:space="preserve"> </w:t>
            </w:r>
            <w:r>
              <w:t xml:space="preserve">(0.92,</w:t>
            </w:r>
            <w:r>
              <w:t xml:space="preserve"> </w:t>
            </w:r>
            <w:r>
              <w:t xml:space="preserve">1.33)</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-206</w:t>
            </w:r>
          </w:p>
        </w:tc>
        <w:tc>
          <w:p>
            <w:pPr>
              <w:pStyle w:val="Compact"/>
              <w:jc w:val="center"/>
            </w:pPr>
            <w:r>
              <w:t xml:space="preserve">442 (16)</w:t>
            </w:r>
          </w:p>
        </w:tc>
      </w:tr>
      <w:tr>
        <w:tc>
          <w:p>
            <w:pPr>
              <w:pStyle w:val="Compact"/>
              <w:jc w:val="left"/>
            </w:pPr>
            <w:r>
              <w:t xml:space="preserve">Model 5</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-216</w:t>
            </w:r>
          </w:p>
        </w:tc>
        <w:tc>
          <w:p>
            <w:pPr>
              <w:pStyle w:val="Compact"/>
              <w:jc w:val="center"/>
            </w:pPr>
            <w:r>
              <w:t xml:space="preserve">445 (18)</w:t>
            </w:r>
          </w:p>
        </w:tc>
      </w:tr>
      <w:tr>
        <w:tc>
          <w:p>
            <w:pPr>
              <w:pStyle w:val="Compact"/>
              <w:jc w:val="left"/>
            </w:pPr>
            <w:r>
              <w:t xml:space="preserve">Model 12</w:t>
            </w:r>
          </w:p>
        </w:tc>
        <w:tc>
          <w:p>
            <w:pPr>
              <w:pStyle w:val="Compact"/>
              <w:jc w:val="center"/>
            </w:pPr>
            <w:r>
              <w:t xml:space="preserve">0.98</w:t>
            </w:r>
            <w:r>
              <w:t xml:space="preserve"> </w:t>
            </w:r>
            <w:r>
              <w:t xml:space="preserve">(0.83,</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-209</w:t>
            </w:r>
          </w:p>
        </w:tc>
        <w:tc>
          <w:p>
            <w:pPr>
              <w:pStyle w:val="Compact"/>
              <w:jc w:val="center"/>
            </w:pPr>
            <w:r>
              <w:t xml:space="preserve">448 (17)</w:t>
            </w:r>
          </w:p>
        </w:tc>
      </w:tr>
      <w:tr>
        <w:tc>
          <w:p>
            <w:pPr>
              <w:pStyle w:val="Compact"/>
              <w:jc w:val="left"/>
            </w:pPr>
            <w:r>
              <w:t xml:space="preserve">Model 4</w:t>
            </w:r>
          </w:p>
        </w:tc>
        <w:tc>
          <w:p>
            <w:pPr>
              <w:pStyle w:val="Compact"/>
              <w:jc w:val="center"/>
            </w:pPr>
            <w:r>
              <w:t xml:space="preserve">1.12</w:t>
            </w:r>
            <w:r>
              <w:t xml:space="preserve"> </w:t>
            </w:r>
            <w:r>
              <w:t xml:space="preserve">(1.00,</w:t>
            </w:r>
            <w:r>
              <w:t xml:space="preserve"> </w:t>
            </w:r>
            <w:r>
              <w:t xml:space="preserve">1.24)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449 (18)</w:t>
            </w:r>
          </w:p>
        </w:tc>
      </w:tr>
      <w:tr>
        <w:tc>
          <w:p>
            <w:pPr>
              <w:pStyle w:val="Compact"/>
              <w:jc w:val="left"/>
            </w:pPr>
            <w:r>
              <w:t xml:space="preserve">Model 3</w:t>
            </w:r>
          </w:p>
        </w:tc>
        <w:tc>
          <w:p>
            <w:pPr>
              <w:pStyle w:val="Compact"/>
              <w:jc w:val="center"/>
            </w:pPr>
            <w:r>
              <w:t xml:space="preserve">0.97</w:t>
            </w:r>
            <w:r>
              <w:t xml:space="preserve"> </w:t>
            </w:r>
            <w:r>
              <w:t xml:space="preserve">(0.89,</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450 (19)</w:t>
            </w:r>
          </w:p>
        </w:tc>
      </w:tr>
      <w:tr>
        <w:tc>
          <w:p>
            <w:pPr>
              <w:pStyle w:val="Compact"/>
              <w:jc w:val="left"/>
            </w:pPr>
            <w:r>
              <w:t xml:space="preserve">Model 13</w:t>
            </w:r>
          </w:p>
        </w:tc>
        <w:tc>
          <w:p>
            <w:pPr>
              <w:pStyle w:val="Compact"/>
              <w:jc w:val="center"/>
            </w:pPr>
            <w:r>
              <w:t xml:space="preserve">1.14</w:t>
            </w:r>
            <w:r>
              <w:t xml:space="preserve"> </w:t>
            </w:r>
            <w:r>
              <w:t xml:space="preserve">(0.97,</w:t>
            </w:r>
            <w:r>
              <w:t xml:space="preserve"> </w:t>
            </w:r>
            <w:r>
              <w:t xml:space="preserve">1.35)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-211</w:t>
            </w:r>
          </w:p>
        </w:tc>
        <w:tc>
          <w:p>
            <w:pPr>
              <w:pStyle w:val="Compact"/>
              <w:jc w:val="center"/>
            </w:pPr>
            <w:r>
              <w:t xml:space="preserve">452 (16)</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-229</w:t>
            </w:r>
          </w:p>
        </w:tc>
        <w:tc>
          <w:p>
            <w:pPr>
              <w:pStyle w:val="Compact"/>
              <w:jc w:val="center"/>
            </w:pPr>
            <w:r>
              <w:t xml:space="preserve">462 (21)</w:t>
            </w:r>
          </w:p>
        </w:tc>
      </w:tr>
      <w:tr>
        <w:tc>
          <w:p>
            <w:pPr>
              <w:pStyle w:val="Compact"/>
              <w:jc w:val="left"/>
            </w:pPr>
            <w:r>
              <w:t xml:space="preserve">Model 2</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-228</w:t>
            </w:r>
          </w:p>
        </w:tc>
        <w:tc>
          <w:p>
            <w:pPr>
              <w:pStyle w:val="Compact"/>
              <w:jc w:val="center"/>
            </w:pPr>
            <w:r>
              <w:t xml:space="preserve">463 (20)</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-220</w:t>
            </w:r>
          </w:p>
        </w:tc>
        <w:tc>
          <w:p>
            <w:pPr>
              <w:pStyle w:val="Compact"/>
              <w:jc w:val="center"/>
            </w:pPr>
            <w:r>
              <w:t xml:space="preserve">466 (19)</w:t>
            </w:r>
          </w:p>
        </w:tc>
      </w:tr>
      <w:tr>
        <w:tc>
          <w:p>
            <w:pPr>
              <w:pStyle w:val="Compact"/>
              <w:jc w:val="left"/>
            </w:pPr>
            <w:r>
              <w:t xml:space="preserve">Model 11</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-219</w:t>
            </w:r>
          </w:p>
        </w:tc>
        <w:tc>
          <w:p>
            <w:pPr>
              <w:pStyle w:val="Compact"/>
              <w:jc w:val="center"/>
            </w:pPr>
            <w:r>
              <w:t xml:space="preserve">467 (19)</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63" w:name="pagebreak-12"/>
      <w:bookmarkEnd w:id="63"/>
      <w:r>
        <w:t xml:space="preserve">PAGEBREAK</w:t>
      </w:r>
    </w:p>
    <w:p>
      <w:pPr>
        <w:pStyle w:val="FirstParagraph"/>
      </w:pPr>
      <w:r>
        <w:rPr>
          <w:b/>
        </w:rPr>
        <w:t xml:space="preserve">Direct effects of the change in policy on the non-UK born cohorts - results from all models</w:t>
      </w:r>
    </w:p>
    <w:p>
      <w:pPr>
        <w:pStyle w:val="TableCaption"/>
      </w:pPr>
      <w:r>
        <w:t xml:space="preserve">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center"/>
            </w:pPr>
            <w:r>
              <w:t xml:space="preserve">0.74</w:t>
            </w:r>
            <w:r>
              <w:t xml:space="preserve"> </w:t>
            </w:r>
            <w:r>
              <w:t xml:space="preserve">(0.61,</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-228</w:t>
            </w:r>
          </w:p>
        </w:tc>
        <w:tc>
          <w:p>
            <w:pPr>
              <w:pStyle w:val="Compact"/>
              <w:jc w:val="center"/>
            </w:pPr>
            <w:r>
              <w:t xml:space="preserve">483 (10)</w:t>
            </w:r>
          </w:p>
        </w:tc>
      </w:tr>
      <w:tr>
        <w:tc>
          <w:p>
            <w:pPr>
              <w:pStyle w:val="Compact"/>
              <w:jc w:val="left"/>
            </w:pPr>
            <w:r>
              <w:t xml:space="preserve">Model 17</w:t>
            </w:r>
          </w:p>
        </w:tc>
        <w:tc>
          <w:p>
            <w:pPr>
              <w:pStyle w:val="Compact"/>
              <w:jc w:val="center"/>
            </w:pPr>
            <w:r>
              <w:t xml:space="preserve">0.74</w:t>
            </w:r>
            <w:r>
              <w:t xml:space="preserve"> </w:t>
            </w:r>
            <w:r>
              <w:t xml:space="preserve">(0.62,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492 (16)</w:t>
            </w:r>
          </w:p>
        </w:tc>
      </w:tr>
      <w:tr>
        <w:tc>
          <w:p>
            <w:pPr>
              <w:pStyle w:val="Compact"/>
              <w:jc w:val="left"/>
            </w:pPr>
            <w:r>
              <w:t xml:space="preserve">Model 18</w:t>
            </w:r>
          </w:p>
        </w:tc>
        <w:tc>
          <w:p>
            <w:pPr>
              <w:pStyle w:val="Compact"/>
              <w:jc w:val="center"/>
            </w:pPr>
            <w:r>
              <w:t xml:space="preserve">0.73</w:t>
            </w:r>
            <w:r>
              <w:t xml:space="preserve"> </w:t>
            </w:r>
            <w:r>
              <w:t xml:space="preserve">(0.61,</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-222</w:t>
            </w:r>
          </w:p>
        </w:tc>
        <w:tc>
          <w:p>
            <w:pPr>
              <w:pStyle w:val="Compact"/>
              <w:jc w:val="center"/>
            </w:pPr>
            <w:r>
              <w:t xml:space="preserve">493 (16)</w:t>
            </w:r>
          </w:p>
        </w:tc>
      </w:tr>
      <w:tr>
        <w:tc>
          <w:p>
            <w:pPr>
              <w:pStyle w:val="Compact"/>
              <w:jc w:val="left"/>
            </w:pPr>
            <w:r>
              <w:t xml:space="preserve">Model 15</w:t>
            </w:r>
          </w:p>
        </w:tc>
        <w:tc>
          <w:p>
            <w:pPr>
              <w:pStyle w:val="Compact"/>
              <w:jc w:val="center"/>
            </w:pPr>
            <w:r>
              <w:t xml:space="preserve">0.64</w:t>
            </w:r>
            <w:r>
              <w:t xml:space="preserve"> </w:t>
            </w:r>
            <w:r>
              <w:t xml:space="preserve">(0.53,</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-224</w:t>
            </w:r>
          </w:p>
        </w:tc>
        <w:tc>
          <w:p>
            <w:pPr>
              <w:pStyle w:val="Compact"/>
              <w:jc w:val="center"/>
            </w:pPr>
            <w:r>
              <w:t xml:space="preserve">496 (18)</w:t>
            </w:r>
          </w:p>
        </w:tc>
      </w:tr>
      <w:tr>
        <w:tc>
          <w:p>
            <w:pPr>
              <w:pStyle w:val="Compact"/>
              <w:jc w:val="left"/>
            </w:pPr>
            <w:r>
              <w:t xml:space="preserve">Model 16</w:t>
            </w:r>
          </w:p>
        </w:tc>
        <w:tc>
          <w:p>
            <w:pPr>
              <w:pStyle w:val="Compact"/>
              <w:jc w:val="center"/>
            </w:pPr>
            <w:r>
              <w:t xml:space="preserve">0.65</w:t>
            </w:r>
            <w:r>
              <w:t xml:space="preserve"> </w:t>
            </w:r>
            <w:r>
              <w:t xml:space="preserve">(0.54,</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496 (17)</w:t>
            </w:r>
          </w:p>
        </w:tc>
      </w:tr>
      <w:tr>
        <w:tc>
          <w:p>
            <w:pPr>
              <w:pStyle w:val="Compact"/>
              <w:jc w:val="left"/>
            </w:pPr>
            <w:r>
              <w:t xml:space="preserve">Model 8</w:t>
            </w:r>
          </w:p>
        </w:tc>
        <w:tc>
          <w:p>
            <w:pPr>
              <w:pStyle w:val="Compact"/>
              <w:jc w:val="center"/>
            </w:pPr>
            <w:r>
              <w:t xml:space="preserve">0.79</w:t>
            </w:r>
            <w:r>
              <w:t xml:space="preserve"> </w:t>
            </w:r>
            <w:r>
              <w:t xml:space="preserve">(0.73,</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-239</w:t>
            </w:r>
          </w:p>
        </w:tc>
        <w:tc>
          <w:p>
            <w:pPr>
              <w:pStyle w:val="Compact"/>
              <w:jc w:val="center"/>
            </w:pPr>
            <w:r>
              <w:t xml:space="preserve">507 (20)</w:t>
            </w:r>
          </w:p>
        </w:tc>
      </w:tr>
      <w:tr>
        <w:tc>
          <w:p>
            <w:pPr>
              <w:pStyle w:val="Compact"/>
              <w:jc w:val="left"/>
            </w:pPr>
            <w:r>
              <w:t xml:space="preserve">Model 9</w:t>
            </w:r>
          </w:p>
        </w:tc>
        <w:tc>
          <w:p>
            <w:pPr>
              <w:pStyle w:val="Compact"/>
              <w:jc w:val="center"/>
            </w:pPr>
            <w:r>
              <w:t xml:space="preserve">0.79</w:t>
            </w:r>
            <w:r>
              <w:t xml:space="preserve"> </w:t>
            </w:r>
            <w:r>
              <w:t xml:space="preserve">(0.72,</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-238</w:t>
            </w:r>
          </w:p>
        </w:tc>
        <w:tc>
          <w:p>
            <w:pPr>
              <w:pStyle w:val="Compact"/>
              <w:jc w:val="center"/>
            </w:pPr>
            <w:r>
              <w:t xml:space="preserve">511 (20)</w:t>
            </w:r>
          </w:p>
        </w:tc>
      </w:tr>
      <w:tr>
        <w:tc>
          <w:p>
            <w:pPr>
              <w:pStyle w:val="Compact"/>
              <w:jc w:val="left"/>
            </w:pPr>
            <w:r>
              <w:t xml:space="preserve">Model 11</w:t>
            </w:r>
          </w:p>
        </w:tc>
        <w:tc>
          <w:p>
            <w:pPr>
              <w:pStyle w:val="Compact"/>
              <w:jc w:val="center"/>
            </w:pPr>
            <w:r>
              <w:t xml:space="preserve">0.64</w:t>
            </w:r>
            <w:r>
              <w:t xml:space="preserve"> </w:t>
            </w:r>
            <w:r>
              <w:t xml:space="preserve">(0.52,</w:t>
            </w:r>
            <w:r>
              <w:t xml:space="preserve"> </w:t>
            </w:r>
            <w:r>
              <w:t xml:space="preserve">0.78)</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-241</w:t>
            </w:r>
          </w:p>
        </w:tc>
        <w:tc>
          <w:p>
            <w:pPr>
              <w:pStyle w:val="Compact"/>
              <w:jc w:val="center"/>
            </w:pPr>
            <w:r>
              <w:t xml:space="preserve">522 (22)</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-241</w:t>
            </w:r>
          </w:p>
        </w:tc>
        <w:tc>
          <w:p>
            <w:pPr>
              <w:pStyle w:val="Compact"/>
              <w:jc w:val="center"/>
            </w:pPr>
            <w:r>
              <w:t xml:space="preserve">523 (22)</w:t>
            </w:r>
          </w:p>
        </w:tc>
      </w:tr>
      <w:tr>
        <w:tc>
          <w:p>
            <w:pPr>
              <w:pStyle w:val="Compact"/>
              <w:jc w:val="left"/>
            </w:pPr>
            <w:r>
              <w:t xml:space="preserve">Model 12</w:t>
            </w:r>
          </w:p>
        </w:tc>
        <w:tc>
          <w:p>
            <w:pPr>
              <w:pStyle w:val="Compact"/>
              <w:jc w:val="center"/>
            </w:pPr>
            <w:r>
              <w:t xml:space="preserve">0.64</w:t>
            </w:r>
            <w:r>
              <w:t xml:space="preserve"> </w:t>
            </w:r>
            <w:r>
              <w:t xml:space="preserve">(0.53,</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525 (22)</w:t>
            </w:r>
          </w:p>
        </w:tc>
      </w:tr>
      <w:tr>
        <w:tc>
          <w:p>
            <w:pPr>
              <w:pStyle w:val="Compact"/>
              <w:jc w:val="left"/>
            </w:pPr>
            <w:r>
              <w:t xml:space="preserve">Model 13</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526 (23)</w:t>
            </w:r>
          </w:p>
        </w:tc>
      </w:tr>
      <w:tr>
        <w:tc>
          <w:p>
            <w:pPr>
              <w:pStyle w:val="Compact"/>
              <w:jc w:val="left"/>
            </w:pPr>
            <w:r>
              <w:t xml:space="preserve">Model 14</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-241</w:t>
            </w:r>
          </w:p>
        </w:tc>
        <w:tc>
          <w:p>
            <w:pPr>
              <w:pStyle w:val="Compact"/>
              <w:jc w:val="center"/>
            </w:pPr>
            <w:r>
              <w:t xml:space="preserve">530 (23)</w:t>
            </w:r>
          </w:p>
        </w:tc>
      </w:tr>
      <w:tr>
        <w:tc>
          <w:p>
            <w:pPr>
              <w:pStyle w:val="Compact"/>
              <w:jc w:val="left"/>
            </w:pPr>
            <w:r>
              <w:t xml:space="preserve">Model 7</w:t>
            </w:r>
          </w:p>
        </w:tc>
        <w:tc>
          <w:p>
            <w:pPr>
              <w:pStyle w:val="Compact"/>
              <w:jc w:val="center"/>
            </w:pPr>
            <w:r>
              <w:t xml:space="preserve">0.66</w:t>
            </w:r>
            <w:r>
              <w:t xml:space="preserve"> </w:t>
            </w:r>
            <w:r>
              <w:t xml:space="preserve">(0.62,</w:t>
            </w:r>
            <w:r>
              <w:t xml:space="preserve"> </w:t>
            </w:r>
            <w:r>
              <w:t xml:space="preserve">0.70)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-248</w:t>
            </w:r>
          </w:p>
        </w:tc>
        <w:tc>
          <w:p>
            <w:pPr>
              <w:pStyle w:val="Compact"/>
              <w:jc w:val="center"/>
            </w:pPr>
            <w:r>
              <w:t xml:space="preserve">532 (23)</w:t>
            </w:r>
          </w:p>
        </w:tc>
      </w:tr>
      <w:tr>
        <w:tc>
          <w:p>
            <w:pPr>
              <w:pStyle w:val="Compact"/>
              <w:jc w:val="left"/>
            </w:pPr>
            <w:r>
              <w:t xml:space="preserve">Model 6</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-253</w:t>
            </w:r>
          </w:p>
        </w:tc>
        <w:tc>
          <w:p>
            <w:pPr>
              <w:pStyle w:val="Compact"/>
              <w:jc w:val="center"/>
            </w:pPr>
            <w:r>
              <w:t xml:space="preserve">539 (27)</w:t>
            </w:r>
          </w:p>
        </w:tc>
      </w:tr>
      <w:tr>
        <w:tc>
          <w:p>
            <w:pPr>
              <w:pStyle w:val="Compact"/>
              <w:jc w:val="left"/>
            </w:pPr>
            <w:r>
              <w:t xml:space="preserve">Model 4</w:t>
            </w:r>
          </w:p>
        </w:tc>
        <w:tc>
          <w:p>
            <w:pPr>
              <w:pStyle w:val="Compact"/>
              <w:jc w:val="center"/>
            </w:pPr>
            <w:r>
              <w:t xml:space="preserve">0.70</w:t>
            </w:r>
            <w:r>
              <w:t xml:space="preserve"> </w:t>
            </w:r>
            <w:r>
              <w:t xml:space="preserve">(0.65,</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-270</w:t>
            </w:r>
          </w:p>
        </w:tc>
        <w:tc>
          <w:p>
            <w:pPr>
              <w:pStyle w:val="Compact"/>
              <w:jc w:val="center"/>
            </w:pPr>
            <w:r>
              <w:t xml:space="preserve">556 (31)</w:t>
            </w:r>
          </w:p>
        </w:tc>
      </w:tr>
      <w:tr>
        <w:tc>
          <w:p>
            <w:pPr>
              <w:pStyle w:val="Compact"/>
              <w:jc w:val="left"/>
            </w:pPr>
            <w:r>
              <w:t xml:space="preserve">Model 5</w:t>
            </w:r>
          </w:p>
        </w:tc>
        <w:tc>
          <w:p>
            <w:pPr>
              <w:pStyle w:val="Compact"/>
              <w:jc w:val="center"/>
            </w:pPr>
            <w:r>
              <w:t xml:space="preserve">0.70</w:t>
            </w:r>
            <w:r>
              <w:t xml:space="preserve"> </w:t>
            </w:r>
            <w:r>
              <w:t xml:space="preserve">(0.64,</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-270</w:t>
            </w:r>
          </w:p>
        </w:tc>
        <w:tc>
          <w:p>
            <w:pPr>
              <w:pStyle w:val="Compact"/>
              <w:jc w:val="center"/>
            </w:pPr>
            <w:r>
              <w:t xml:space="preserve">559 (31)</w:t>
            </w:r>
          </w:p>
        </w:tc>
      </w:tr>
      <w:tr>
        <w:tc>
          <w:p>
            <w:pPr>
              <w:pStyle w:val="Compact"/>
              <w:jc w:val="left"/>
            </w:pPr>
            <w:r>
              <w:t xml:space="preserve">Model 2</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-275</w:t>
            </w:r>
          </w:p>
        </w:tc>
        <w:tc>
          <w:p>
            <w:pPr>
              <w:pStyle w:val="Compact"/>
              <w:jc w:val="center"/>
            </w:pPr>
            <w:r>
              <w:t xml:space="preserve">561 (33)</w:t>
            </w:r>
          </w:p>
        </w:tc>
      </w:tr>
      <w:tr>
        <w:tc>
          <w:p>
            <w:pPr>
              <w:pStyle w:val="Compact"/>
              <w:jc w:val="left"/>
            </w:pPr>
            <w:r>
              <w:t xml:space="preserve">Model 3</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-273</w:t>
            </w:r>
          </w:p>
        </w:tc>
        <w:tc>
          <w:p>
            <w:pPr>
              <w:pStyle w:val="Compact"/>
              <w:jc w:val="center"/>
            </w:pPr>
            <w:r>
              <w:t xml:space="preserve">561 (32)</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-341</w:t>
            </w:r>
          </w:p>
        </w:tc>
        <w:tc>
          <w:p>
            <w:pPr>
              <w:pStyle w:val="Compact"/>
              <w:jc w:val="center"/>
            </w:pPr>
            <w:r>
              <w:t xml:space="preserve">692 (51)</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S5: Comparison of models fitted to incidence rates for the non-UK born population that were revelant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5: Comparison of models fitted to incidence rates for the non-UK born population that were revelant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center"/>
            </w:pPr>
            <w:r>
              <w:t xml:space="preserve">0.62</w:t>
            </w:r>
            <w:r>
              <w:t xml:space="preserve"> </w:t>
            </w:r>
            <w:r>
              <w:t xml:space="preserve">(0.44,</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-138</w:t>
            </w:r>
          </w:p>
        </w:tc>
        <w:tc>
          <w:p>
            <w:pPr>
              <w:pStyle w:val="Compact"/>
              <w:jc w:val="center"/>
            </w:pPr>
            <w:r>
              <w:t xml:space="preserve">293 (15)</w:t>
            </w:r>
          </w:p>
        </w:tc>
      </w:tr>
      <w:tr>
        <w:tc>
          <w:p>
            <w:pPr>
              <w:pStyle w:val="Compact"/>
              <w:jc w:val="left"/>
            </w:pPr>
            <w:r>
              <w:t xml:space="preserve">Model 8</w:t>
            </w:r>
          </w:p>
        </w:tc>
        <w:tc>
          <w:p>
            <w:pPr>
              <w:pStyle w:val="Compact"/>
              <w:jc w:val="center"/>
            </w:pPr>
            <w:r>
              <w:t xml:space="preserve">0.64</w:t>
            </w:r>
            <w:r>
              <w:t xml:space="preserve"> </w:t>
            </w:r>
            <w:r>
              <w:t xml:space="preserve">(0.47,</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-137</w:t>
            </w:r>
          </w:p>
        </w:tc>
        <w:tc>
          <w:p>
            <w:pPr>
              <w:pStyle w:val="Compact"/>
              <w:jc w:val="center"/>
            </w:pPr>
            <w:r>
              <w:t xml:space="preserve">295 (18)</w:t>
            </w:r>
          </w:p>
        </w:tc>
      </w:tr>
      <w:tr>
        <w:tc>
          <w:p>
            <w:pPr>
              <w:pStyle w:val="Compact"/>
              <w:jc w:val="left"/>
            </w:pPr>
            <w:r>
              <w:t xml:space="preserve">Model 9</w:t>
            </w:r>
          </w:p>
        </w:tc>
        <w:tc>
          <w:p>
            <w:pPr>
              <w:pStyle w:val="Compact"/>
              <w:jc w:val="center"/>
            </w:pPr>
            <w:r>
              <w:t xml:space="preserve">0.62</w:t>
            </w:r>
            <w:r>
              <w:t xml:space="preserve"> </w:t>
            </w:r>
            <w:r>
              <w:t xml:space="preserve">(0.45,</w:t>
            </w:r>
            <w:r>
              <w:t xml:space="preserve"> </w:t>
            </w:r>
            <w:r>
              <w:t xml:space="preserve">0.85)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-137</w:t>
            </w:r>
          </w:p>
        </w:tc>
        <w:tc>
          <w:p>
            <w:pPr>
              <w:pStyle w:val="Compact"/>
              <w:jc w:val="center"/>
            </w:pPr>
            <w:r>
              <w:t xml:space="preserve">297 (18)</w:t>
            </w:r>
          </w:p>
        </w:tc>
      </w:tr>
      <w:tr>
        <w:tc>
          <w:p>
            <w:pPr>
              <w:pStyle w:val="Compact"/>
              <w:jc w:val="left"/>
            </w:pPr>
            <w:r>
              <w:t xml:space="preserve">Model 6</w:t>
            </w:r>
          </w:p>
        </w:tc>
        <w:tc>
          <w:p>
            <w:pPr>
              <w:pStyle w:val="Compact"/>
              <w:jc w:val="center"/>
            </w:pPr>
            <w:r>
              <w:t xml:space="preserve">0.47</w:t>
            </w:r>
            <w:r>
              <w:t xml:space="preserve"> </w:t>
            </w:r>
            <w:r>
              <w:t xml:space="preserve">(0.38,</w:t>
            </w:r>
            <w:r>
              <w:t xml:space="preserve"> </w:t>
            </w:r>
            <w:r>
              <w:t xml:space="preserve">0.58)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7</w:t>
            </w:r>
          </w:p>
        </w:tc>
        <w:tc>
          <w:p>
            <w:pPr>
              <w:pStyle w:val="Compact"/>
              <w:jc w:val="center"/>
            </w:pPr>
            <w:r>
              <w:t xml:space="preserve">0.48</w:t>
            </w:r>
            <w:r>
              <w:t xml:space="preserve"> </w:t>
            </w:r>
            <w:r>
              <w:t xml:space="preserve">(0.39,</w:t>
            </w:r>
            <w:r>
              <w:t xml:space="preserve"> </w:t>
            </w:r>
            <w:r>
              <w:t xml:space="preserve">0.60)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17</w:t>
            </w:r>
          </w:p>
        </w:tc>
        <w:tc>
          <w:p>
            <w:pPr>
              <w:pStyle w:val="Compact"/>
              <w:jc w:val="center"/>
            </w:pPr>
            <w:r>
              <w:t xml:space="preserve">0.63</w:t>
            </w:r>
            <w:r>
              <w:t xml:space="preserve"> </w:t>
            </w:r>
            <w:r>
              <w:t xml:space="preserve">(0.44,</w:t>
            </w:r>
            <w:r>
              <w:t xml:space="preserve"> </w:t>
            </w:r>
            <w:r>
              <w:t xml:space="preserve">0.89)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-135</w:t>
            </w:r>
          </w:p>
        </w:tc>
        <w:tc>
          <w:p>
            <w:pPr>
              <w:pStyle w:val="Compact"/>
              <w:jc w:val="center"/>
            </w:pPr>
            <w:r>
              <w:t xml:space="preserve">298 (18)</w:t>
            </w:r>
          </w:p>
        </w:tc>
      </w:tr>
      <w:tr>
        <w:tc>
          <w:p>
            <w:pPr>
              <w:pStyle w:val="Compact"/>
              <w:jc w:val="left"/>
            </w:pPr>
            <w:r>
              <w:t xml:space="preserve">Model 18</w:t>
            </w:r>
          </w:p>
        </w:tc>
        <w:tc>
          <w:p>
            <w:pPr>
              <w:pStyle w:val="Compact"/>
              <w:jc w:val="center"/>
            </w:pPr>
            <w:r>
              <w:t xml:space="preserve">0.61</w:t>
            </w:r>
            <w:r>
              <w:t xml:space="preserve"> </w:t>
            </w:r>
            <w:r>
              <w:t xml:space="preserve">(0.42,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-135</w:t>
            </w:r>
          </w:p>
        </w:tc>
        <w:tc>
          <w:p>
            <w:pPr>
              <w:pStyle w:val="Compact"/>
              <w:jc w:val="center"/>
            </w:pPr>
            <w:r>
              <w:t xml:space="preserve">300 (18)</w:t>
            </w:r>
          </w:p>
        </w:tc>
      </w:tr>
      <w:tr>
        <w:tc>
          <w:p>
            <w:pPr>
              <w:pStyle w:val="Compact"/>
              <w:jc w:val="left"/>
            </w:pPr>
            <w:r>
              <w:t xml:space="preserve">Model 15</w:t>
            </w:r>
          </w:p>
        </w:tc>
        <w:tc>
          <w:p>
            <w:pPr>
              <w:pStyle w:val="Compact"/>
              <w:jc w:val="center"/>
            </w:pPr>
            <w:r>
              <w:t xml:space="preserve">0.47</w:t>
            </w:r>
            <w:r>
              <w:t xml:space="preserve"> </w:t>
            </w:r>
            <w:r>
              <w:t xml:space="preserve">(0.35,</w:t>
            </w:r>
            <w:r>
              <w:t xml:space="preserve"> </w:t>
            </w:r>
            <w:r>
              <w:t xml:space="preserve">0.62)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-136</w:t>
            </w:r>
          </w:p>
        </w:tc>
        <w:tc>
          <w:p>
            <w:pPr>
              <w:pStyle w:val="Compact"/>
              <w:jc w:val="center"/>
            </w:pPr>
            <w:r>
              <w:t xml:space="preserve">301 (20)</w:t>
            </w:r>
          </w:p>
        </w:tc>
      </w:tr>
      <w:tr>
        <w:tc>
          <w:p>
            <w:pPr>
              <w:pStyle w:val="Compact"/>
              <w:jc w:val="left"/>
            </w:pPr>
            <w:r>
              <w:t xml:space="preserve">Model 16</w:t>
            </w:r>
          </w:p>
        </w:tc>
        <w:tc>
          <w:p>
            <w:pPr>
              <w:pStyle w:val="Compact"/>
              <w:jc w:val="center"/>
            </w:pPr>
            <w:r>
              <w:t xml:space="preserve">0.48</w:t>
            </w:r>
            <w:r>
              <w:t xml:space="preserve"> </w:t>
            </w:r>
            <w:r>
              <w:t xml:space="preserve">(0.36,</w:t>
            </w:r>
            <w:r>
              <w:t xml:space="preserve"> </w:t>
            </w:r>
            <w:r>
              <w:t xml:space="preserve">0.63)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-136</w:t>
            </w:r>
          </w:p>
        </w:tc>
        <w:tc>
          <w:p>
            <w:pPr>
              <w:pStyle w:val="Compact"/>
              <w:jc w:val="center"/>
            </w:pPr>
            <w:r>
              <w:t xml:space="preserve">301 (19)</w:t>
            </w:r>
          </w:p>
        </w:tc>
      </w:tr>
      <w:tr>
        <w:tc>
          <w:p>
            <w:pPr>
              <w:pStyle w:val="Compact"/>
              <w:jc w:val="left"/>
            </w:pPr>
            <w:r>
              <w:t xml:space="preserve">Model 4</w:t>
            </w:r>
          </w:p>
        </w:tc>
        <w:tc>
          <w:p>
            <w:pPr>
              <w:pStyle w:val="Compact"/>
              <w:jc w:val="center"/>
            </w:pPr>
            <w:r>
              <w:t xml:space="preserve">0.82</w:t>
            </w:r>
            <w:r>
              <w:t xml:space="preserve"> </w:t>
            </w:r>
            <w:r>
              <w:t xml:space="preserve">(0.61,</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-147</w:t>
            </w:r>
          </w:p>
        </w:tc>
        <w:tc>
          <w:p>
            <w:pPr>
              <w:pStyle w:val="Compact"/>
              <w:jc w:val="center"/>
            </w:pPr>
            <w:r>
              <w:t xml:space="preserve">304 (17)</w:t>
            </w:r>
          </w:p>
        </w:tc>
      </w:tr>
      <w:tr>
        <w:tc>
          <w:p>
            <w:pPr>
              <w:pStyle w:val="Compact"/>
              <w:jc w:val="left"/>
            </w:pPr>
            <w:r>
              <w:t xml:space="preserve">Model 5</w:t>
            </w:r>
          </w:p>
        </w:tc>
        <w:tc>
          <w:p>
            <w:pPr>
              <w:pStyle w:val="Compact"/>
              <w:jc w:val="center"/>
            </w:pPr>
            <w:r>
              <w:t xml:space="preserve">0.78</w:t>
            </w:r>
            <w:r>
              <w:t xml:space="preserve"> </w:t>
            </w:r>
            <w:r>
              <w:t xml:space="preserve">(0.58,</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-147</w:t>
            </w:r>
          </w:p>
        </w:tc>
        <w:tc>
          <w:p>
            <w:pPr>
              <w:pStyle w:val="Compact"/>
              <w:jc w:val="center"/>
            </w:pPr>
            <w:r>
              <w:t xml:space="preserve">306 (18)</w:t>
            </w:r>
          </w:p>
        </w:tc>
      </w:tr>
      <w:tr>
        <w:tc>
          <w:p>
            <w:pPr>
              <w:pStyle w:val="Compact"/>
              <w:jc w:val="left"/>
            </w:pPr>
            <w:r>
              <w:t xml:space="preserve">Model 13</w:t>
            </w:r>
          </w:p>
        </w:tc>
        <w:tc>
          <w:p>
            <w:pPr>
              <w:pStyle w:val="Compact"/>
              <w:jc w:val="center"/>
            </w:pPr>
            <w:r>
              <w:t xml:space="preserve">0.83</w:t>
            </w:r>
            <w:r>
              <w:t xml:space="preserve"> </w:t>
            </w:r>
            <w:r>
              <w:t xml:space="preserve">(0.59,</w:t>
            </w:r>
            <w:r>
              <w:t xml:space="preserve"> </w:t>
            </w:r>
            <w:r>
              <w:t xml:space="preserve">1.16)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-145</w:t>
            </w:r>
          </w:p>
        </w:tc>
        <w:tc>
          <w:p>
            <w:pPr>
              <w:pStyle w:val="Compact"/>
              <w:jc w:val="center"/>
            </w:pPr>
            <w:r>
              <w:t xml:space="preserve">308 (18)</w:t>
            </w:r>
          </w:p>
        </w:tc>
      </w:tr>
      <w:tr>
        <w:tc>
          <w:p>
            <w:pPr>
              <w:pStyle w:val="Compact"/>
              <w:jc w:val="left"/>
            </w:pPr>
            <w:r>
              <w:t xml:space="preserve">Model 14</w:t>
            </w:r>
          </w:p>
        </w:tc>
        <w:tc>
          <w:p>
            <w:pPr>
              <w:pStyle w:val="Compact"/>
              <w:jc w:val="center"/>
            </w:pPr>
            <w:r>
              <w:t xml:space="preserve">0.78</w:t>
            </w:r>
            <w:r>
              <w:t xml:space="preserve"> </w:t>
            </w:r>
            <w:r>
              <w:t xml:space="preserve">(0.55,</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-144</w:t>
            </w:r>
          </w:p>
        </w:tc>
        <w:tc>
          <w:p>
            <w:pPr>
              <w:pStyle w:val="Compact"/>
              <w:jc w:val="center"/>
            </w:pPr>
            <w:r>
              <w:t xml:space="preserve">310 (19)</w:t>
            </w:r>
          </w:p>
        </w:tc>
      </w:tr>
      <w:tr>
        <w:tc>
          <w:p>
            <w:pPr>
              <w:pStyle w:val="Compact"/>
              <w:jc w:val="left"/>
            </w:pPr>
            <w:r>
              <w:t xml:space="preserve">Model 3</w:t>
            </w:r>
          </w:p>
        </w:tc>
        <w:tc>
          <w:p>
            <w:pPr>
              <w:pStyle w:val="Compact"/>
              <w:jc w:val="center"/>
            </w:pPr>
            <w:r>
              <w:t xml:space="preserve">0.52</w:t>
            </w:r>
            <w:r>
              <w:t xml:space="preserve"> </w:t>
            </w:r>
            <w:r>
              <w:t xml:space="preserve">(0.42,</w:t>
            </w:r>
            <w:r>
              <w:t xml:space="preserve"> </w:t>
            </w:r>
            <w:r>
              <w:t xml:space="preserve">0.64)</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-152</w:t>
            </w:r>
          </w:p>
        </w:tc>
        <w:tc>
          <w:p>
            <w:pPr>
              <w:pStyle w:val="Compact"/>
              <w:jc w:val="center"/>
            </w:pPr>
            <w:r>
              <w:t xml:space="preserve">314 (22)</w:t>
            </w:r>
          </w:p>
        </w:tc>
      </w:tr>
      <w:tr>
        <w:tc>
          <w:p>
            <w:pPr>
              <w:pStyle w:val="Compact"/>
              <w:jc w:val="left"/>
            </w:pPr>
            <w:r>
              <w:t xml:space="preserve">Model 12</w:t>
            </w:r>
          </w:p>
        </w:tc>
        <w:tc>
          <w:p>
            <w:pPr>
              <w:pStyle w:val="Compact"/>
              <w:jc w:val="center"/>
            </w:pPr>
            <w:r>
              <w:t xml:space="preserve">0.51</w:t>
            </w:r>
            <w:r>
              <w:t xml:space="preserve"> </w:t>
            </w:r>
            <w:r>
              <w:t xml:space="preserve">(0.38,</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-148</w:t>
            </w:r>
          </w:p>
        </w:tc>
        <w:tc>
          <w:p>
            <w:pPr>
              <w:pStyle w:val="Compact"/>
              <w:jc w:val="center"/>
            </w:pPr>
            <w:r>
              <w:t xml:space="preserve">317 (23)</w:t>
            </w:r>
          </w:p>
        </w:tc>
      </w:tr>
      <w:tr>
        <w:tc>
          <w:p>
            <w:pPr>
              <w:pStyle w:val="Compact"/>
              <w:jc w:val="left"/>
            </w:pPr>
            <w:r>
              <w:t xml:space="preserve">Model 2</w:t>
            </w:r>
          </w:p>
        </w:tc>
        <w:tc>
          <w:p>
            <w:pPr>
              <w:pStyle w:val="Compact"/>
              <w:jc w:val="center"/>
            </w:pPr>
            <w:r>
              <w:t xml:space="preserve">0.49</w:t>
            </w:r>
            <w:r>
              <w:t xml:space="preserve"> </w:t>
            </w:r>
            <w:r>
              <w:t xml:space="preserve">(0.40,</w:t>
            </w:r>
            <w:r>
              <w:t xml:space="preserve"> </w:t>
            </w:r>
            <w:r>
              <w:t xml:space="preserve">0.61)</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-156</w:t>
            </w:r>
          </w:p>
        </w:tc>
        <w:tc>
          <w:p>
            <w:pPr>
              <w:pStyle w:val="Compact"/>
              <w:jc w:val="center"/>
            </w:pPr>
            <w:r>
              <w:t xml:space="preserve">319 (22)</w:t>
            </w:r>
          </w:p>
        </w:tc>
      </w:tr>
      <w:tr>
        <w:tc>
          <w:p>
            <w:pPr>
              <w:pStyle w:val="Compact"/>
              <w:jc w:val="left"/>
            </w:pPr>
            <w:r>
              <w:t xml:space="preserve">Model 11</w:t>
            </w:r>
          </w:p>
        </w:tc>
        <w:tc>
          <w:p>
            <w:pPr>
              <w:pStyle w:val="Compact"/>
              <w:jc w:val="center"/>
            </w:pPr>
            <w:r>
              <w:t xml:space="preserve">0.49</w:t>
            </w:r>
            <w:r>
              <w:t xml:space="preserve"> </w:t>
            </w:r>
            <w:r>
              <w:t xml:space="preserve">(0.37,</w:t>
            </w:r>
            <w:r>
              <w:t xml:space="preserve"> </w:t>
            </w:r>
            <w:r>
              <w:t xml:space="preserve">0.65)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-152</w:t>
            </w:r>
          </w:p>
        </w:tc>
        <w:tc>
          <w:p>
            <w:pPr>
              <w:pStyle w:val="Compact"/>
              <w:jc w:val="center"/>
            </w:pPr>
            <w:r>
              <w:t xml:space="preserve">322 (23)</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-150</w:t>
            </w:r>
          </w:p>
        </w:tc>
        <w:tc>
          <w:p>
            <w:pPr>
              <w:pStyle w:val="Compact"/>
              <w:jc w:val="center"/>
            </w:pPr>
            <w:r>
              <w:t xml:space="preserve">330 (25)</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-171</w:t>
            </w:r>
          </w:p>
        </w:tc>
        <w:tc>
          <w:p>
            <w:pPr>
              <w:pStyle w:val="Compact"/>
              <w:jc w:val="center"/>
            </w:pPr>
            <w:r>
              <w:t xml:space="preserve">346 (27)</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C47CC7" w:rsidP="00037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C47CC7"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A4689" w14:textId="77777777" w:rsidR="00EA7E2A" w:rsidRDefault="00C47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78FA91C4"/>
    <w:lvl w:ilvl="0">
      <w:start w:val="1"/>
      <w:numFmt w:val="decimal"/>
      <w:lvlText w:val="%1."/>
      <w:lvlJc w:val="left"/>
      <w:pPr>
        <w:tabs>
          <w:tab w:val="num" w:pos="1800"/>
        </w:tabs>
        <w:ind w:left="1800" w:hanging="360"/>
      </w:pPr>
    </w:lvl>
  </w:abstractNum>
  <w:abstractNum w:abstractNumId="6">
    <w:nsid w:val="FFFFFF7D"/>
    <w:multiLevelType w:val="singleLevel"/>
    <w:tmpl w:val="A56A55D0"/>
    <w:lvl w:ilvl="0">
      <w:start w:val="1"/>
      <w:numFmt w:val="decimal"/>
      <w:lvlText w:val="%1."/>
      <w:lvlJc w:val="left"/>
      <w:pPr>
        <w:tabs>
          <w:tab w:val="num" w:pos="1440"/>
        </w:tabs>
        <w:ind w:left="1440" w:hanging="360"/>
      </w:pPr>
    </w:lvl>
  </w:abstractNum>
  <w:abstractNum w:abstractNumId="7">
    <w:nsid w:val="FFFFFF7E"/>
    <w:multiLevelType w:val="singleLevel"/>
    <w:tmpl w:val="92FC392C"/>
    <w:lvl w:ilvl="0">
      <w:start w:val="1"/>
      <w:numFmt w:val="decimal"/>
      <w:lvlText w:val="%1."/>
      <w:lvlJc w:val="left"/>
      <w:pPr>
        <w:tabs>
          <w:tab w:val="num" w:pos="1080"/>
        </w:tabs>
        <w:ind w:left="1080" w:hanging="360"/>
      </w:pPr>
    </w:lvl>
  </w:abstractNum>
  <w:abstractNum w:abstractNumId="8">
    <w:nsid w:val="FFFFFF7F"/>
    <w:multiLevelType w:val="singleLevel"/>
    <w:tmpl w:val="9C168E7C"/>
    <w:lvl w:ilvl="0">
      <w:start w:val="1"/>
      <w:numFmt w:val="decimal"/>
      <w:lvlText w:val="%1."/>
      <w:lvlJc w:val="left"/>
      <w:pPr>
        <w:tabs>
          <w:tab w:val="num" w:pos="720"/>
        </w:tabs>
        <w:ind w:left="720" w:hanging="360"/>
      </w:pPr>
    </w:lvl>
  </w:abstractNum>
  <w:abstractNum w:abstractNumId="9">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A4FE4DF0"/>
    <w:lvl w:ilvl="0">
      <w:start w:val="1"/>
      <w:numFmt w:val="decimal"/>
      <w:lvlText w:val="%1."/>
      <w:lvlJc w:val="left"/>
      <w:pPr>
        <w:tabs>
          <w:tab w:val="num" w:pos="360"/>
        </w:tabs>
        <w:ind w:left="360" w:hanging="360"/>
      </w:pPr>
    </w:lvl>
  </w:abstractNum>
  <w:abstractNum w:abstractNumId="14">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e2f06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9bba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F3633D"/>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60" Target="media/rId60.png" /><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44" Target="http://mc-stan.org/" TargetMode="External" /><Relationship Type="http://schemas.openxmlformats.org/officeDocument/2006/relationships/hyperlink" Id="rId33" Target="http://www.ncbi.nlm.nih.gov/pubmed/8144299" TargetMode="External" /><Relationship Type="http://schemas.openxmlformats.org/officeDocument/2006/relationships/hyperlink" Id="rId43" Target="https://cran.r-project.org/package=epiR" TargetMode="External" /><Relationship Type="http://schemas.openxmlformats.org/officeDocument/2006/relationships/hyperlink" Id="rId34" Target="https://doi.org/10.1001/jama.1994.03510330076038" TargetMode="External" /><Relationship Type="http://schemas.openxmlformats.org/officeDocument/2006/relationships/hyperlink" Id="rId40" Target="https://doi.org/10.1007/s11222-016-9696-4" TargetMode="External" /><Relationship Type="http://schemas.openxmlformats.org/officeDocument/2006/relationships/hyperlink" Id="rId37" Target="https://doi.org/10.1016/0962-8479(92)90149-E" TargetMode="External" /><Relationship Type="http://schemas.openxmlformats.org/officeDocument/2006/relationships/hyperlink" Id="rId39" Target="https://doi.org/10.1016/S0140-6736(16)31921-3" TargetMode="External" /><Relationship Type="http://schemas.openxmlformats.org/officeDocument/2006/relationships/hyperlink" Id="rId48" Target="https://doi.org/10.1016/j.econedurev.2007.11.003" TargetMode="External" /><Relationship Type="http://schemas.openxmlformats.org/officeDocument/2006/relationships/hyperlink" Id="rId52" Target="https://doi.org/10.1016/j.vaccine.2008.02.038" TargetMode="External" /><Relationship Type="http://schemas.openxmlformats.org/officeDocument/2006/relationships/hyperlink" Id="rId53" Target="https://doi.org/10.1016/j.vaccine.2016.02.060" TargetMode="External" /><Relationship Type="http://schemas.openxmlformats.org/officeDocument/2006/relationships/hyperlink" Id="rId45" Target="https://doi.org/10.1093/cid/cit790" TargetMode="External" /><Relationship Type="http://schemas.openxmlformats.org/officeDocument/2006/relationships/hyperlink" Id="rId47" Target="https://doi.org/10.1111/bjir.12059" TargetMode="External" /><Relationship Type="http://schemas.openxmlformats.org/officeDocument/2006/relationships/hyperlink" Id="rId38" Target="https://doi.org/10.1136/THORAXJNL-2017-211074" TargetMode="External" /><Relationship Type="http://schemas.openxmlformats.org/officeDocument/2006/relationships/hyperlink" Id="rId32" Target="https://doi.org/10.1136/adc.2005.085043" TargetMode="External" /><Relationship Type="http://schemas.openxmlformats.org/officeDocument/2006/relationships/hyperlink" Id="rId51" Target="https://doi.org/10.1136/adc.2008.139543" TargetMode="External" /><Relationship Type="http://schemas.openxmlformats.org/officeDocument/2006/relationships/hyperlink" Id="rId49" Target="https://doi.org/10.1136/adc.84.2.109" TargetMode="External" /><Relationship Type="http://schemas.openxmlformats.org/officeDocument/2006/relationships/hyperlink" Id="rId50" Target="https://doi.org/10.1136/bmj.310.6985.967" TargetMode="External" /><Relationship Type="http://schemas.openxmlformats.org/officeDocument/2006/relationships/hyperlink" Id="rId31" Target="https://doi.org/10.1136/bmj.331.7518.647" TargetMode="External" /><Relationship Type="http://schemas.openxmlformats.org/officeDocument/2006/relationships/hyperlink" Id="rId35" Target="https://doi.org/10.1136/bmj.g4643" TargetMode="External" /><Relationship Type="http://schemas.openxmlformats.org/officeDocument/2006/relationships/hyperlink" Id="rId54" Target="https://doi.org/10.1136/thoraxjnl-2013-203931" TargetMode="External" /><Relationship Type="http://schemas.openxmlformats.org/officeDocument/2006/relationships/hyperlink" Id="rId36" Target="https://doi.org/10.1371/journal.pmed.1001012" TargetMode="External" /><Relationship Type="http://schemas.openxmlformats.org/officeDocument/2006/relationships/hyperlink" Id="rId46" Target="https://doi.org/10.3310/hta17370" TargetMode="External" /><Relationship Type="http://schemas.openxmlformats.org/officeDocument/2006/relationships/hyperlink" Id="rId42" Target="https://github.com/h2oai/h2o-3" TargetMode="External" /><Relationship Type="http://schemas.openxmlformats.org/officeDocument/2006/relationships/hyperlink" Id="rId41"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44" Target="http://mc-stan.org/" TargetMode="External" /><Relationship Type="http://schemas.openxmlformats.org/officeDocument/2006/relationships/hyperlink" Id="rId33" Target="http://www.ncbi.nlm.nih.gov/pubmed/8144299" TargetMode="External" /><Relationship Type="http://schemas.openxmlformats.org/officeDocument/2006/relationships/hyperlink" Id="rId43" Target="https://cran.r-project.org/package=epiR" TargetMode="External" /><Relationship Type="http://schemas.openxmlformats.org/officeDocument/2006/relationships/hyperlink" Id="rId34" Target="https://doi.org/10.1001/jama.1994.03510330076038" TargetMode="External" /><Relationship Type="http://schemas.openxmlformats.org/officeDocument/2006/relationships/hyperlink" Id="rId40" Target="https://doi.org/10.1007/s11222-016-9696-4" TargetMode="External" /><Relationship Type="http://schemas.openxmlformats.org/officeDocument/2006/relationships/hyperlink" Id="rId37" Target="https://doi.org/10.1016/0962-8479(92)90149-E" TargetMode="External" /><Relationship Type="http://schemas.openxmlformats.org/officeDocument/2006/relationships/hyperlink" Id="rId39" Target="https://doi.org/10.1016/S0140-6736(16)31921-3" TargetMode="External" /><Relationship Type="http://schemas.openxmlformats.org/officeDocument/2006/relationships/hyperlink" Id="rId48" Target="https://doi.org/10.1016/j.econedurev.2007.11.003" TargetMode="External" /><Relationship Type="http://schemas.openxmlformats.org/officeDocument/2006/relationships/hyperlink" Id="rId52" Target="https://doi.org/10.1016/j.vaccine.2008.02.038" TargetMode="External" /><Relationship Type="http://schemas.openxmlformats.org/officeDocument/2006/relationships/hyperlink" Id="rId53" Target="https://doi.org/10.1016/j.vaccine.2016.02.060" TargetMode="External" /><Relationship Type="http://schemas.openxmlformats.org/officeDocument/2006/relationships/hyperlink" Id="rId45" Target="https://doi.org/10.1093/cid/cit790" TargetMode="External" /><Relationship Type="http://schemas.openxmlformats.org/officeDocument/2006/relationships/hyperlink" Id="rId47" Target="https://doi.org/10.1111/bjir.12059" TargetMode="External" /><Relationship Type="http://schemas.openxmlformats.org/officeDocument/2006/relationships/hyperlink" Id="rId38" Target="https://doi.org/10.1136/THORAXJNL-2017-211074" TargetMode="External" /><Relationship Type="http://schemas.openxmlformats.org/officeDocument/2006/relationships/hyperlink" Id="rId32" Target="https://doi.org/10.1136/adc.2005.085043" TargetMode="External" /><Relationship Type="http://schemas.openxmlformats.org/officeDocument/2006/relationships/hyperlink" Id="rId51" Target="https://doi.org/10.1136/adc.2008.139543" TargetMode="External" /><Relationship Type="http://schemas.openxmlformats.org/officeDocument/2006/relationships/hyperlink" Id="rId49" Target="https://doi.org/10.1136/adc.84.2.109" TargetMode="External" /><Relationship Type="http://schemas.openxmlformats.org/officeDocument/2006/relationships/hyperlink" Id="rId50" Target="https://doi.org/10.1136/bmj.310.6985.967" TargetMode="External" /><Relationship Type="http://schemas.openxmlformats.org/officeDocument/2006/relationships/hyperlink" Id="rId31" Target="https://doi.org/10.1136/bmj.331.7518.647" TargetMode="External" /><Relationship Type="http://schemas.openxmlformats.org/officeDocument/2006/relationships/hyperlink" Id="rId35" Target="https://doi.org/10.1136/bmj.g4643" TargetMode="External" /><Relationship Type="http://schemas.openxmlformats.org/officeDocument/2006/relationships/hyperlink" Id="rId54" Target="https://doi.org/10.1136/thoraxjnl-2013-203931" TargetMode="External" /><Relationship Type="http://schemas.openxmlformats.org/officeDocument/2006/relationships/hyperlink" Id="rId36" Target="https://doi.org/10.1371/journal.pmed.1001012" TargetMode="External" /><Relationship Type="http://schemas.openxmlformats.org/officeDocument/2006/relationships/hyperlink" Id="rId46" Target="https://doi.org/10.3310/hta17370" TargetMode="External" /><Relationship Type="http://schemas.openxmlformats.org/officeDocument/2006/relationships/hyperlink" Id="rId42" Target="https://github.com/h2oai/h2o-3" TargetMode="External" /><Relationship Type="http://schemas.openxmlformats.org/officeDocument/2006/relationships/hyperlink" Id="rId41"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5933</Words>
  <Characters>33824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dcterms:created xsi:type="dcterms:W3CDTF">2019-10-08T14:44:28Z</dcterms:created>
  <dcterms:modified xsi:type="dcterms:W3CDTF">2019-10-08T14:44:28Z</dcterms:modified>
</cp:coreProperties>
</file>