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University of Bristol, Bristol, UK</w:t>
      </w:r>
    </w:p>
    <w:p>
      <w:pPr>
        <w:pStyle w:val="BodyText"/>
      </w:pPr>
      <w:r>
        <w:t xml:space="preserve">Hannah Christensen, Bristol Medical School: Population Health, University of Bristol, Bristol, UK</w:t>
      </w:r>
    </w:p>
    <w:p>
      <w:pPr>
        <w:pStyle w:val="BodyText"/>
      </w:pPr>
      <w:r>
        <w:t xml:space="preserve">Nicky Welton, Bristol Medical School: Population Health, University of Bristol, Bristol, UK</w:t>
      </w:r>
    </w:p>
    <w:p>
      <w:pPr>
        <w:pStyle w:val="BodyText"/>
      </w:pPr>
      <w:r>
        <w:t xml:space="preserve">Ellen Brooks-Pollock, Bristol Medical School: Population Health, University of Bristol, Bristol, UK</w:t>
      </w:r>
    </w:p>
    <w:p>
      <w:pPr>
        <w:pStyle w:val="BodyText"/>
      </w:pPr>
      <w:r>
        <w:rPr>
          <w:b/>
        </w:rPr>
        <w:t xml:space="preserve">Correspondence to:</w:t>
      </w:r>
      <w:r>
        <w:t xml:space="preserve"> </w:t>
      </w:r>
      <w:r>
        <w:t xml:space="preserve">Sam Abbott, Bristol Medical School: Population Health,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(3000)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Methods</w:t>
      </w:r>
    </w:p>
    <w:p>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BCG vaccination towards high-risk neonates was associated with reduced incidence of TB in England. This was largely driven by reductions in the non-UK born. There was a slight increase in UK born school-age cases.</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w:t>
      </w:r>
      <w:r>
        <w:t xml:space="preserve">and high effectiveness of the BCG vaccine in children,</w:t>
      </w:r>
      <w:r>
        <w:t xml:space="preserve">(4–6)</w:t>
      </w:r>
      <w:r>
        <w:t xml:space="preserve"> </w:t>
      </w:r>
      <w:r>
        <w:t xml:space="preserve">and variable effectiveness in adults.</w:t>
      </w:r>
      <w:r>
        <w:t xml:space="preserve">(7)</w:t>
      </w:r>
      <w:r>
        <w:t xml:space="preserve"> </w:t>
      </w:r>
      <w:r>
        <w:t xml:space="preserve">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 </w:t>
      </w:r>
      <w:r>
        <w:t xml:space="preserve">In Sweden, which discontinued universal vaccination of neonates in favour of targeted vaccination of those at high risk, incidence rates in Swedish-born children increased slightly after the change in policy.</w:t>
      </w:r>
      <w:r>
        <w:t xml:space="preserve"> </w:t>
      </w:r>
      <w:r>
        <w:t xml:space="preserve">(9)</w:t>
      </w:r>
      <w:r>
        <w:t xml:space="preserve"> </w:t>
      </w:r>
      <w:r>
        <w:t xml:space="preserve">In France, which also switched from universal vaccination of neonates to targeted vaccination of those at high-risk, a study found that targeted vaccination of neonates may have reduced coverage in those most at risk.</w:t>
      </w:r>
      <w:r>
        <w:t xml:space="preserve">(10)</w:t>
      </w:r>
    </w:p>
    <w:p>
      <w:pPr>
        <w:pStyle w:val="BodyText"/>
      </w:pPr>
      <w:r>
        <w:t xml:space="preserve">The number of TB notifications in England increased from 6929 in 2004 to 8280 in 2011 but has since declined to 5137 in 2017.</w:t>
      </w:r>
      <w:r>
        <w:t xml:space="preserve">(1)</w:t>
      </w:r>
      <w:r>
        <w:t xml:space="preserve"> </w:t>
      </w:r>
      <w:r>
        <w:t xml:space="preserve">A recent study found that this reduction may be linked to improved TB interventions.</w:t>
      </w:r>
      <w:r>
        <w:t xml:space="preserve">(11)</w:t>
      </w:r>
      <w:r>
        <w:t xml:space="preserve"> </w:t>
      </w:r>
      <w:r>
        <w:t xml:space="preserve">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w:t>
      </w:r>
      <w:r>
        <w:t xml:space="preserve">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w:t>
      </w:r>
      <w:r>
        <w:t xml:space="preserve">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p>
    <w:p>
      <w:pPr>
        <w:pStyle w:val="BodyText"/>
      </w:pPr>
      <w:r>
        <w:t xml:space="preserve">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Each cohort was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w:t>
      </w:r>
    </w:p>
    <w:tbl>
      <w:tblPr>
        <w:tblStyle w:val="TableNormal"/>
        <w:tblW w:type="pct" w:w="5000.0"/>
        <w:tblLook w:firstRow="1"/>
        <w:tblCaption w:val="Table 1: Summary of relevance and eligibility criteria for each cohort."/>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Comparision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Comparision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Comparision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Comparision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w:t>
      </w:r>
      <w:r>
        <w:t xml:space="preserve">incidence rates in both the UK born and non-UK born who were not in the age group of interest,</w:t>
      </w:r>
      <w:r>
        <w:t xml:space="preserve">(1)</w:t>
      </w:r>
      <w:r>
        <w:t xml:space="preserve"> </w:t>
      </w:r>
      <w:r>
        <w:t xml:space="preserve">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w:t>
      </w:r>
      <w:r>
        <w:t xml:space="preserve">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3.5.0 was used for all analysis.</w:t>
      </w:r>
      <w:r>
        <w:t xml:space="preserve">(14)</w:t>
      </w:r>
      <w:r>
        <w:t xml:space="preserve"> </w:t>
      </w:r>
      <w:r>
        <w:t xml:space="preserve">Missing data imputation using a GBM was implemented using the h2o package.</w:t>
      </w:r>
      <w:r>
        <w:t xml:space="preserve">(15)</w:t>
      </w:r>
      <w:r>
        <w:t xml:space="preserve"> </w:t>
      </w:r>
      <w:r>
        <w:t xml:space="preserve">Incidence rates, with 95% confidence intervals, were calculated using the epiR package.</w:t>
      </w:r>
      <w:r>
        <w:t xml:space="preserve">(16)</w:t>
      </w:r>
      <w:r>
        <w:t xml:space="preserve"> </w:t>
      </w:r>
      <w:r>
        <w:t xml:space="preserve">The brms package,</w:t>
      </w:r>
      <w:r>
        <w:t xml:space="preserve">(17)</w:t>
      </w:r>
      <w:r>
        <w:t xml:space="preserve"> </w:t>
      </w:r>
      <w:r>
        <w:t xml:space="preserve">and STAN,</w:t>
      </w:r>
      <w:r>
        <w:t xml:space="preserve">(18)</w:t>
      </w:r>
      <w:r>
        <w:t xml:space="preserve"> </w:t>
      </w:r>
      <w:r>
        <w:t xml:space="preserve">was used to perform MCMC. Models were run until convergence (4 chains with a burn in of 10,000, and 10,000 sampled iterations each), with convergence being assessed using trace plots and the R hat diagnostic.</w:t>
      </w:r>
      <w:r>
        <w:t xml:space="preserve">(18)</w:t>
      </w:r>
      <w:r>
        <w:t xml:space="preserve"> </w:t>
      </w:r>
      <w:r>
        <w:t xml:space="preserve">All numeric confounders were centered and scaled by their standard deviation, and age was adjusted for using single year of age categories.</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w:tblPr>
      <w:tblGrid>
        <w:gridCol w:w="4533"/>
        <w:gridCol w:w="860"/>
        <w:gridCol w:w="1606"/>
        <w:gridCol w:w="918"/>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w:t>
      </w:r>
      <w:r>
        <w:t xml:space="preserve">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w:t>
      </w:r>
      <w:r>
        <w:t xml:space="preserve">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status,</w:t>
      </w:r>
      <w:r>
        <w:t xml:space="preserve">(24,25)</w:t>
      </w:r>
      <w:r>
        <w:t xml:space="preserve"> </w:t>
      </w:r>
      <w:r>
        <w:t xml:space="preserve">and ethnicity.</w:t>
      </w:r>
      <w:r>
        <w:t xml:space="preserve">(24–26)</w:t>
      </w:r>
      <w:r>
        <w:t xml:space="preserve"> </w:t>
      </w:r>
      <w:r>
        <w:t xml:space="preserve">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w:t>
      </w:r>
      <w:r>
        <w:t xml:space="preserve">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w:t>
      </w:r>
      <w:r>
        <w:t xml:space="preserve">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the analysis contained in this paper can be found at:</w:t>
      </w:r>
      <w:r>
        <w:t xml:space="preserve"> </w:t>
      </w:r>
      <w:r>
        <w:rPr>
          <w:i/>
        </w:rPr>
        <w:t xml:space="preserve">link not yet available</w:t>
      </w:r>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IRR: 0.74 (95%CI 0.61, 0.88), neonatal IRR: 0.62 (95%CI 0.44, 0.88)). We found some evidence that the change in BCG policy was associated with a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pPr>
        <w:pStyle w:val="Heading5"/>
      </w:pPr>
      <w:bookmarkStart w:id="29" w:name="pagebreak-5"/>
      <w:bookmarkEnd w:id="29"/>
      <w:r>
        <w:t xml:space="preserve">PAGEBREAK</w:t>
      </w:r>
    </w:p>
    <w:p>
      <w:pPr>
        <w:pStyle w:val="FirstParagraph"/>
      </w:pPr>
      <w:r>
        <w:rPr>
          <w:b/>
        </w:rPr>
        <w:t xml:space="preserve">REFERENCES</w:t>
      </w:r>
    </w:p>
    <w:p>
      <w:pPr>
        <w:pStyle w:val="BodyText"/>
      </w:pPr>
      <w:r>
        <w:t xml:space="preserve">1. PHE. Tuberculosis in England 2016 Report (presenting data to end of 2015). Public Heal Engl. 2016;Version 1.:173.</w:t>
      </w:r>
      <w:r>
        <w:t xml:space="preserve"> </w:t>
      </w:r>
    </w:p>
    <w:p>
      <w:pPr>
        <w:pStyle w:val="BodyText"/>
      </w:pPr>
      <w:r>
        <w:t xml:space="preserve">2. Fine P. Stopping routine vaccination for tuberculosis in schools. BMJ. 2005;331(7518):647–8.</w:t>
      </w:r>
      <w:r>
        <w:t xml:space="preserve"> </w:t>
      </w:r>
    </w:p>
    <w:p>
      <w:pPr>
        <w:pStyle w:val="BodyText"/>
      </w:pPr>
      <w:r>
        <w:t xml:space="preserve">3. Teo SSS. Does BCG have a role in tuberculosis control and prevention in the United Kingdom? Arch Dis Child [Internet]. 2006;91(6):529–31. Available from:</w:t>
      </w:r>
      <w:r>
        <w:t xml:space="preserve"> </w:t>
      </w:r>
      <w:hyperlink r:id="rId30">
        <w:r>
          <w:rPr>
            <w:rStyle w:val="Hyperlink"/>
          </w:rPr>
          <w:t xml:space="preserve">http://adc.bmj.com/cgi/doi/10.1136/adc.2005.085043</w:t>
        </w:r>
      </w:hyperlink>
    </w:p>
    <w:p>
      <w:pPr>
        <w:pStyle w:val="BodyText"/>
      </w:pPr>
      <w:r>
        <w:t xml:space="preserve">4. Rodrigues LC, Diwan VK, Wheeler JG. Protective effect of BCG against tuberculous meningitis and miliary tuberculosis: a meta-analysis. Int J Epidemiol [Internet]. 1993 Dec;22(6):1154–8. Available from:</w:t>
      </w:r>
      <w:r>
        <w:t xml:space="preserve"> </w:t>
      </w:r>
      <w:hyperlink r:id="rId31">
        <w:r>
          <w:rPr>
            <w:rStyle w:val="Hyperlink"/>
          </w:rPr>
          <w:t xml:space="preserve">http://www.ncbi.nlm.nih.gov/pubmed/8144299</w:t>
        </w:r>
      </w:hyperlink>
    </w:p>
    <w:p>
      <w:pPr>
        <w:pStyle w:val="BodyText"/>
      </w:pPr>
      <w:r>
        <w:t xml:space="preserve">5. Colditz GA, Brewer TF, Berkey CS, Wilson ME, Burdick E, Fineberg HV, et al. Efficacy of BCG Vaccine in the Prevention of Tuberculosis. JAMA [Internet]. 1994 Mar;271(9):698. Available from:</w:t>
      </w:r>
      <w:r>
        <w:t xml:space="preserve"> </w:t>
      </w:r>
      <w:hyperlink r:id="rId32">
        <w:r>
          <w:rPr>
            <w:rStyle w:val="Hyperlink"/>
          </w:rPr>
          <w:t xml:space="preserve">http://jama.jamanetwork.com/article.aspx?doi=10.1001/jama.1994.03510330076038</w:t>
        </w:r>
      </w:hyperlink>
    </w:p>
    <w:p>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w:t>
      </w:r>
      <w:r>
        <w:t xml:space="preserve"> </w:t>
      </w:r>
      <w:hyperlink r:id="rId33">
        <w:r>
          <w:rPr>
            <w:rStyle w:val="Hyperlink"/>
          </w:rPr>
          <w:t xml:space="preserve">http://www.bmj.com/cgi/doi/10.1136/bmj.g4643</w:t>
        </w:r>
      </w:hyperlink>
    </w:p>
    <w:p>
      <w:pPr>
        <w:pStyle w:val="BodyText"/>
      </w:pPr>
      <w:r>
        <w:t xml:space="preserve">7. Zwerling A, Behr MA, Verma A, Brewer TF, Menzies D, Pai M. The BCG World Atlas: a database of global BCG vaccination policies and practices. PLoS Med [Internet]. 2011 Mar;8(3):e1001012. Available from:</w:t>
      </w:r>
      <w:r>
        <w:t xml:space="preserve"> </w:t>
      </w:r>
      <w:hyperlink r:id="rId34">
        <w:r>
          <w:rPr>
            <w:rStyle w:val="Hyperlink"/>
          </w:rPr>
          <w:t xml:space="preserve">http://journals.plos.org/plosmedicine/article?id=10.1371/journal.pmed.1001012</w:t>
        </w:r>
      </w:hyperlink>
    </w:p>
    <w:p>
      <w:pPr>
        <w:pStyle w:val="BodyText"/>
      </w:pPr>
      <w:r>
        <w:t xml:space="preserve">8. Zwerling A, Behr MA, Verma A, Brewer TF, Menzies D, Pai M. The BCG world atlas: A database of global BCG vaccination policies and practices. PLoS Med. 2011;8(3).</w:t>
      </w:r>
      <w:r>
        <w:t xml:space="preserve"> </w:t>
      </w:r>
    </w:p>
    <w:p>
      <w:pPr>
        <w:pStyle w:val="BodyText"/>
      </w:pPr>
      <w:r>
        <w:t xml:space="preserve">9. Romanus V, Svensson Å, Hallander HO. The impact of changing BCG coverage on tuberculosis incidence in Swedish-born children between 1969 and 1989. Tuber Lung Dis. 1992;73(3):150–61.</w:t>
      </w:r>
      <w:r>
        <w:t xml:space="preserve"> </w:t>
      </w:r>
    </w:p>
    <w:p>
      <w:pPr>
        <w:pStyle w:val="BodyText"/>
      </w:pPr>
      <w:r>
        <w:t xml:space="preserve">10. Guthmann JP, Antoine D, Fonteneau L, Che D, Lévy-Bruhl D. Assessing bcg vaccination coverage and incidence of paediatric tuberculosis following two major changes in bcg vaccination policy in France. Eurosurveillance. 2011;16(12):1–6.</w:t>
      </w:r>
      <w:r>
        <w:t xml:space="preserve"> </w:t>
      </w:r>
    </w:p>
    <w:p>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w:t>
      </w:r>
      <w:r>
        <w:t xml:space="preserve"> </w:t>
      </w:r>
      <w:hyperlink r:id="rId35">
        <w:r>
          <w:rPr>
            <w:rStyle w:val="Hyperlink"/>
          </w:rPr>
          <w:t xml:space="preserve">http://thorax.bmj.com/content/early/2018/04/19/thoraxjnl-2017-211074</w:t>
        </w:r>
      </w:hyperlink>
    </w:p>
    <w:p>
      <w:pPr>
        <w:pStyle w:val="BodyText"/>
      </w:pPr>
      <w:r>
        <w:t xml:space="preserve">12. Parikh SR, Andrews NJ, Beebeejaun K, Campbell H, Ribeiro S, Ward C, et al. Effectiveness and impact of a reduced infant schedule of 4CMenB vaccine against group B meningococcal disease in England: a national observational cohort study. Lancet [Internet]. 2016;388(10061):2775–82. Available from:</w:t>
      </w:r>
      <w:r>
        <w:t xml:space="preserve"> </w:t>
      </w:r>
      <w:hyperlink r:id="rId36">
        <w:r>
          <w:rPr>
            <w:rStyle w:val="Hyperlink"/>
          </w:rPr>
          <w:t xml:space="preserve">http://dx.doi.org/10.1016/S0140-6736(16)31921-3</w:t>
        </w:r>
      </w:hyperlink>
    </w:p>
    <w:p>
      <w:pPr>
        <w:pStyle w:val="BodyText"/>
      </w:pPr>
      <w:r>
        <w:t xml:space="preserve">13. Vehtari A, Gelman A, Gabry J. Practical Bayesian model evaluation using leave-one-out cross-validation and WAIC. Stat Comput. 2016;(September):1–20.</w:t>
      </w:r>
      <w:r>
        <w:t xml:space="preserve"> </w:t>
      </w:r>
    </w:p>
    <w:p>
      <w:pPr>
        <w:pStyle w:val="BodyText"/>
      </w:pPr>
      <w:r>
        <w:t xml:space="preserve">14. R Core Team. R: A Language and Environment for Statistical Computing [Internet]. Vienna, Austria: R Foundation for Statistical Computing; 2016. Available from:</w:t>
      </w:r>
      <w:r>
        <w:t xml:space="preserve"> </w:t>
      </w:r>
      <w:hyperlink r:id="rId37">
        <w:r>
          <w:rPr>
            <w:rStyle w:val="Hyperlink"/>
          </w:rPr>
          <w:t xml:space="preserve">https://www.r-project.org/</w:t>
        </w:r>
      </w:hyperlink>
    </w:p>
    <w:p>
      <w:pPr>
        <w:pStyle w:val="BodyText"/>
      </w:pPr>
      <w:r>
        <w:t xml:space="preserve">15. H2O.ai. R Interface for H2O [Internet]. 2018. Available from:</w:t>
      </w:r>
      <w:r>
        <w:t xml:space="preserve"> </w:t>
      </w:r>
      <w:hyperlink r:id="rId38">
        <w:r>
          <w:rPr>
            <w:rStyle w:val="Hyperlink"/>
          </w:rPr>
          <w:t xml:space="preserve">https://github.com/h2oai/h2o-3</w:t>
        </w:r>
      </w:hyperlink>
    </w:p>
    <w:p>
      <w:pPr>
        <w:pStyle w:val="BodyText"/>
      </w:pPr>
      <w:r>
        <w:t xml:space="preserve">16. Stevenson M, Nunes T, Heuer C, Marshall J, Sanchez J, Thornton R, et al. epiR: Tools for the Analysis of Epidemiological Data [Internet]. 2017. Available from:</w:t>
      </w:r>
      <w:r>
        <w:t xml:space="preserve"> </w:t>
      </w:r>
      <w:hyperlink r:id="rId39">
        <w:r>
          <w:rPr>
            <w:rStyle w:val="Hyperlink"/>
          </w:rPr>
          <w:t xml:space="preserve">https://cran.r-project.org/package=epiR</w:t>
        </w:r>
      </w:hyperlink>
    </w:p>
    <w:p>
      <w:pPr>
        <w:pStyle w:val="BodyText"/>
      </w:pPr>
      <w:r>
        <w:t xml:space="preserve">17. Bürkner P-C. {brms}: An {R} Package for Bayesian Multilevel Models using Stan. J Stat Softw.</w:t>
      </w:r>
      <w:r>
        <w:t xml:space="preserve"> </w:t>
      </w:r>
    </w:p>
    <w:p>
      <w:pPr>
        <w:pStyle w:val="BodyText"/>
      </w:pPr>
      <w:r>
        <w:t xml:space="preserve">18. Stan Development Team. {RStan}: the {R} interface to {Stan} [Internet]. 2016. Available from:</w:t>
      </w:r>
      <w:r>
        <w:t xml:space="preserve"> </w:t>
      </w:r>
      <w:hyperlink r:id="rId40">
        <w:r>
          <w:rPr>
            <w:rStyle w:val="Hyperlink"/>
          </w:rPr>
          <w:t xml:space="preserve">http://mc-stan.org/</w:t>
        </w:r>
      </w:hyperlink>
    </w:p>
    <w:p>
      <w:pPr>
        <w:pStyle w:val="BodyText"/>
      </w:pPr>
      <w:r>
        <w:t xml:space="preserve">19. Mangtani P, Abubakar I, Ariti C, Beynon R, Pimpin L, Fine PEM, et al. Protection by BCG Vaccine Against Tuberculosis: A Systematic Review of Randomized Controlled Trials. Clin Infect Dis [Internet]. 2014 Feb;58(4):470–80. Available from:</w:t>
      </w:r>
      <w:r>
        <w:t xml:space="preserve"> </w:t>
      </w:r>
      <w:hyperlink r:id="rId41">
        <w:r>
          <w:rPr>
            <w:rStyle w:val="Hyperlink"/>
          </w:rPr>
          <w:t xml:space="preserve">http://cid.oxfordjournals.org/lookup/doi/10.1093/cid/cit790</w:t>
        </w:r>
      </w:hyperlink>
    </w:p>
    <w:p>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w:t>
      </w:r>
      <w:r>
        <w:t xml:space="preserve"> </w:t>
      </w:r>
      <w:hyperlink r:id="rId42">
        <w:r>
          <w:rPr>
            <w:rStyle w:val="Hyperlink"/>
          </w:rPr>
          <w:t xml:space="preserve">http://www.ncbi.nlm.nih.gov/pubmed/24021245</w:t>
        </w:r>
      </w:hyperlink>
    </w:p>
    <w:p>
      <w:pPr>
        <w:pStyle w:val="BodyText"/>
      </w:pPr>
      <w:r>
        <w:t xml:space="preserve">21. French CE, Antoine D, Gelb D, Jones JA, Gilbert RL, Watson JM. Tuberculosis in non-UK-born persons, England and Wales, 2001-2003. Int J Tuberc Lung Dis. 2007;11(5):577–84.</w:t>
      </w:r>
      <w:r>
        <w:t xml:space="preserve"> </w:t>
      </w:r>
    </w:p>
    <w:p>
      <w:pPr>
        <w:pStyle w:val="BodyText"/>
      </w:pPr>
      <w:r>
        <w:t xml:space="preserve">22. Davies R, Jones M, Lloyd-Williams H. Age and Work-Related Health: Insights from the UK Labour Force Survey. Br J Ind Relations. 2016;54(1):136–59.</w:t>
      </w:r>
      <w:r>
        <w:t xml:space="preserve"> </w:t>
      </w:r>
    </w:p>
    <w:p>
      <w:pPr>
        <w:pStyle w:val="BodyText"/>
      </w:pPr>
      <w:r>
        <w:t xml:space="preserve">23. Lindley J. The over-education of UK immigrants and minority ethnic groups: Evidence from the Labour Force Survey. Econ Educ Rev. 2009;28(1):80–9.</w:t>
      </w:r>
      <w:r>
        <w:t xml:space="preserve"> </w:t>
      </w:r>
    </w:p>
    <w:p>
      <w:pPr>
        <w:pStyle w:val="BodyText"/>
      </w:pPr>
      <w:r>
        <w:t xml:space="preserve">24. Parslow R, El-Shimy NA, Cundall DB, McKinney PA. Tuberculosis, deprivation, and ethnicity in Leeds, UK, 1982-1997. Arch Dis Child. 2001;84(2):109–13.</w:t>
      </w:r>
      <w:r>
        <w:t xml:space="preserve"> </w:t>
      </w:r>
    </w:p>
    <w:p>
      <w:pPr>
        <w:pStyle w:val="BodyText"/>
      </w:pPr>
      <w:r>
        <w:t xml:space="preserve">25. Bhatti N, Law MR, Morris JK, Halliday R, Moore-Gillon J. Increasing incidence of tuberculosis in England and Wales: a study of the likely causes. BMJ. 1995;310(6985):967–9.</w:t>
      </w:r>
      <w:r>
        <w:t xml:space="preserve"> </w:t>
      </w:r>
    </w:p>
    <w:p>
      <w:pPr>
        <w:pStyle w:val="BodyText"/>
      </w:pPr>
      <w:r>
        <w:t xml:space="preserve">26. Abubakar I, Laundy MT, French CE, Shingadia D. Epidemiology and treatment outcome of childhood tuberculosis in England and Wales: 1999-2006. Arch Dis Child. 2008;93:1017–21.</w:t>
      </w:r>
      <w:r>
        <w:t xml:space="preserve"> </w:t>
      </w:r>
    </w:p>
    <w:p>
      <w:pPr>
        <w:pStyle w:val="BodyText"/>
      </w:pPr>
      <w:r>
        <w:t xml:space="preserve">27. Manissero D, Lopalco PL, Levy-Bruhl D, Ciofi degli Atti ML, Giesecke J. Assessing the impact of different BCG vaccination strategies on severe childhood TB in low-intermediate prevalence settings. Vaccine. 2008;26(18):2253–9.</w:t>
      </w:r>
      <w:r>
        <w:t xml:space="preserve"> </w:t>
      </w:r>
    </w:p>
    <w:p>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w:t>
      </w:r>
      <w:r>
        <w:t xml:space="preserve"> </w:t>
      </w:r>
      <w:hyperlink r:id="rId43">
        <w:r>
          <w:rPr>
            <w:rStyle w:val="Hyperlink"/>
          </w:rPr>
          <w:t xml:space="preserve">http://dx.doi.org/10.1016/j.vaccine.2016.02.060</w:t>
        </w:r>
      </w:hyperlink>
    </w:p>
    <w:p>
      <w:pPr>
        <w:pStyle w:val="BodyText"/>
      </w:pPr>
      <w:r>
        <w:t xml:space="preserve">29. Nguipdop-Djomo P, Mangtani P, Pedrazzoli D, Rodrigues LC, Abubakar I. Uptake of neonatal BCG vaccination in England: Performance of the current policy recommendations. Thorax. 2014;69(1):87–9.</w:t>
      </w:r>
      <w:r>
        <w:t xml:space="preserve"> </w:t>
      </w:r>
    </w:p>
    <w:p>
      <w:pPr>
        <w:pStyle w:val="Heading5"/>
      </w:pPr>
      <w:bookmarkStart w:id="44" w:name="pagebreak-6"/>
      <w:bookmarkEnd w:id="44"/>
      <w:r>
        <w:t xml:space="preserve">PAGEBREAK</w:t>
      </w:r>
    </w:p>
    <w:p>
      <w:pPr>
        <w:pStyle w:val="Heading2"/>
      </w:pPr>
      <w:bookmarkStart w:id="45" w:name="online-supplementary-appendix-estimating-the-effect-of-the-2005-change-in-bcg-policy-in-england-a-retrospective-cohort-study"/>
      <w:bookmarkEnd w:id="45"/>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46" w:name="pagebreak-7"/>
      <w:bookmarkEnd w:id="46"/>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t>
      </w:r>
      <w:r>
        <w:t xml:space="preserve">We found that cases with imputed birth status had a similar proportion of UK born to non-UK born cases as in the complete data (Supplementary Table S6).</w:t>
      </w:r>
    </w:p>
    <w:p>
      <w:pPr>
        <w:pStyle w:val="TableCaption"/>
      </w:pPr>
      <w:r>
        <w:t xml:space="preserve">Supplementary Table S6: Comparision of UK birth status in cases with complete or imputed records.</w:t>
      </w:r>
    </w:p>
    <w:tbl>
      <w:tblPr>
        <w:tblStyle w:val="TableNormal"/>
        <w:tblW w:type="pct" w:w="4166.666666666667"/>
        <w:tblLook w:firstRow="1"/>
        <w:tblCaption w:val="Supplementary Table S6: Comparisi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47" w:name="pagebreak-8"/>
      <w:bookmarkEnd w:id="47"/>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48" w:name="pagebreak-9"/>
      <w:bookmarkEnd w:id="48"/>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50" w:name="pagebreak-10"/>
      <w:bookmarkEnd w:id="50"/>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51" w:name="pagebreak-11"/>
      <w:bookmarkEnd w:id="51"/>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2" w:name="pagebreak-12"/>
      <w:bookmarkEnd w:id="52"/>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54c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3028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hyperlink" Id="rId28" Target="DOI:10.5281/zenodo.2551555" TargetMode="External" /><Relationship Type="http://schemas.openxmlformats.org/officeDocument/2006/relationships/hyperlink" Id="rId30" Target="http://adc.bmj.com/cgi/doi/10.1136/adc.2005.085043" TargetMode="External" /><Relationship Type="http://schemas.openxmlformats.org/officeDocument/2006/relationships/hyperlink" Id="rId41" Target="http://cid.oxfordjournals.org/lookup/doi/10.1093/cid/cit790" TargetMode="External" /><Relationship Type="http://schemas.openxmlformats.org/officeDocument/2006/relationships/hyperlink" Id="rId36" Target="http://dx.doi.org/10.1016/S0140-6736(16)31921-3" TargetMode="External" /><Relationship Type="http://schemas.openxmlformats.org/officeDocument/2006/relationships/hyperlink" Id="rId43" Target="http://dx.doi.org/10.1016/j.vaccine.2016.02.060" TargetMode="External" /><Relationship Type="http://schemas.openxmlformats.org/officeDocument/2006/relationships/hyperlink" Id="rId32" Target="http://jama.jamanetwork.com/article.aspx?doi=10.1001/jama.1994.03510330076038" TargetMode="External" /><Relationship Type="http://schemas.openxmlformats.org/officeDocument/2006/relationships/hyperlink" Id="rId34" Target="http://journals.plos.org/plosmedicine/article?id=10.1371/journal.pmed.1001012" TargetMode="External" /><Relationship Type="http://schemas.openxmlformats.org/officeDocument/2006/relationships/hyperlink" Id="rId40" Target="http://mc-stan.org/" TargetMode="External" /><Relationship Type="http://schemas.openxmlformats.org/officeDocument/2006/relationships/hyperlink" Id="rId35" Target="http://thorax.bmj.com/content/early/2018/04/19/thoraxjnl-2017-211074" TargetMode="External" /><Relationship Type="http://schemas.openxmlformats.org/officeDocument/2006/relationships/hyperlink" Id="rId33" Target="http://www.bmj.com/cgi/doi/10.1136/bmj.g4643" TargetMode="External" /><Relationship Type="http://schemas.openxmlformats.org/officeDocument/2006/relationships/hyperlink" Id="rId42" Target="http://www.ncbi.nlm.nih.gov/pubmed/24021245" TargetMode="External" /><Relationship Type="http://schemas.openxmlformats.org/officeDocument/2006/relationships/hyperlink" Id="rId31" Target="http://www.ncbi.nlm.nih.gov/pubmed/8144299" TargetMode="External" /><Relationship Type="http://schemas.openxmlformats.org/officeDocument/2006/relationships/hyperlink" Id="rId39" Target="https://cran.r-project.org/package=epiR" TargetMode="External" /><Relationship Type="http://schemas.openxmlformats.org/officeDocument/2006/relationships/hyperlink" Id="rId38" Target="https://github.com/h2oai/h2o-3" TargetMode="External" /><Relationship Type="http://schemas.openxmlformats.org/officeDocument/2006/relationships/hyperlink" Id="rId37"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30" Target="http://adc.bmj.com/cgi/doi/10.1136/adc.2005.085043" TargetMode="External" /><Relationship Type="http://schemas.openxmlformats.org/officeDocument/2006/relationships/hyperlink" Id="rId41" Target="http://cid.oxfordjournals.org/lookup/doi/10.1093/cid/cit790" TargetMode="External" /><Relationship Type="http://schemas.openxmlformats.org/officeDocument/2006/relationships/hyperlink" Id="rId36" Target="http://dx.doi.org/10.1016/S0140-6736(16)31921-3" TargetMode="External" /><Relationship Type="http://schemas.openxmlformats.org/officeDocument/2006/relationships/hyperlink" Id="rId43" Target="http://dx.doi.org/10.1016/j.vaccine.2016.02.060" TargetMode="External" /><Relationship Type="http://schemas.openxmlformats.org/officeDocument/2006/relationships/hyperlink" Id="rId32" Target="http://jama.jamanetwork.com/article.aspx?doi=10.1001/jama.1994.03510330076038" TargetMode="External" /><Relationship Type="http://schemas.openxmlformats.org/officeDocument/2006/relationships/hyperlink" Id="rId34" Target="http://journals.plos.org/plosmedicine/article?id=10.1371/journal.pmed.1001012" TargetMode="External" /><Relationship Type="http://schemas.openxmlformats.org/officeDocument/2006/relationships/hyperlink" Id="rId40" Target="http://mc-stan.org/" TargetMode="External" /><Relationship Type="http://schemas.openxmlformats.org/officeDocument/2006/relationships/hyperlink" Id="rId35" Target="http://thorax.bmj.com/content/early/2018/04/19/thoraxjnl-2017-211074" TargetMode="External" /><Relationship Type="http://schemas.openxmlformats.org/officeDocument/2006/relationships/hyperlink" Id="rId33" Target="http://www.bmj.com/cgi/doi/10.1136/bmj.g4643" TargetMode="External" /><Relationship Type="http://schemas.openxmlformats.org/officeDocument/2006/relationships/hyperlink" Id="rId42" Target="http://www.ncbi.nlm.nih.gov/pubmed/24021245" TargetMode="External" /><Relationship Type="http://schemas.openxmlformats.org/officeDocument/2006/relationships/hyperlink" Id="rId31" Target="http://www.ncbi.nlm.nih.gov/pubmed/8144299" TargetMode="External" /><Relationship Type="http://schemas.openxmlformats.org/officeDocument/2006/relationships/hyperlink" Id="rId39" Target="https://cran.r-project.org/package=epiR" TargetMode="External" /><Relationship Type="http://schemas.openxmlformats.org/officeDocument/2006/relationships/hyperlink" Id="rId38" Target="https://github.com/h2oai/h2o-3" TargetMode="External" /><Relationship Type="http://schemas.openxmlformats.org/officeDocument/2006/relationships/hyperlink" Id="rId37"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2019-02-06T16:25:51Z</dcterms:created>
  <dcterms:modified xsi:type="dcterms:W3CDTF">2019-02-06T16:25:51Z</dcterms:modified>
</cp:coreProperties>
</file>