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327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neonates.</w:t>
      </w:r>
    </w:p>
    <w:p>
      <w:pPr>
        <w:pStyle w:val="BodyText"/>
      </w:pPr>
      <w:r>
        <w:rPr>
          <w:b/>
        </w:rPr>
        <w:t xml:space="preserve">Aim</w:t>
      </w:r>
    </w:p>
    <w:p>
      <w:pPr>
        <w:pStyle w:val="BodyText"/>
      </w:pPr>
      <w:r>
        <w:t xml:space="preserve">Estimate the impact of the 2005 change in BCG policy on incidence rates in the targeted populations of England using an observational study.</w:t>
      </w:r>
    </w:p>
    <w:p>
      <w:pPr>
        <w:pStyle w:val="BodyText"/>
      </w:pPr>
      <w:r>
        <w:rPr>
          <w:b/>
        </w:rPr>
        <w:t xml:space="preserve">Methods</w:t>
      </w:r>
    </w:p>
    <w:p>
      <w:pPr>
        <w:pStyle w:val="BodyText"/>
      </w:pPr>
      <w:r>
        <w:t xml:space="preserve">We combined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vaccination towards high-risk neonates was associated with reduced incidence of TB. This was largely driven by reductions in the non-UK born with cases increasing in the UK born.</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and high effectiveness of the BCG vaccine in children</w:t>
      </w:r>
      <w:r>
        <w:t xml:space="preserve">[4–6]</w:t>
      </w:r>
      <w:r>
        <w:t xml:space="preserve">, and variable effectiveness in adults</w:t>
      </w:r>
      <w:r>
        <w:t xml:space="preserve">[7]</w:t>
      </w:r>
      <w:r>
        <w:t xml:space="preserve">. 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[7]</w:t>
      </w:r>
      <w:r>
        <w:t xml:space="preserve">.In Sweden, which discontinued universal vaccination of neonates in favour of targeted vaccination of those at high risk, incidence rates in Swedish-born children increased slightly after the change in policy</w:t>
      </w:r>
      <w:r>
        <w:t xml:space="preserve">[8]</w:t>
      </w:r>
      <w:r>
        <w:t xml:space="preserve">. In France, which also switched from universal vaccination of children to targeted vaccination of those at high-risk, a study found that targeted vaccination may have reduced coverage in those most at risk</w:t>
      </w:r>
      <w:r>
        <w:t xml:space="preserve">[9]</w:t>
      </w:r>
      <w:r>
        <w:t xml:space="preserve">.</w:t>
      </w:r>
    </w:p>
    <w:p>
      <w:pPr>
        <w:pStyle w:val="BodyText"/>
      </w:pPr>
      <w:r>
        <w:t xml:space="preserve">The number of TB notifications in England increased from 6929 in 2004 to 8280 in 2011 but has since declined to 5137 in 2017</w:t>
      </w:r>
      <w:r>
        <w:t xml:space="preserve">[1]</w:t>
      </w:r>
      <w:r>
        <w:t xml:space="preserve">. A recent study found that this reduction may be linked to improved TB interventions</w:t>
      </w:r>
      <w:r>
        <w:t xml:space="preserve">[10]</w:t>
      </w:r>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[11]</w:t>
      </w:r>
      <w:r>
        <w:t xml:space="preserve">. 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r>
        <w:t xml:space="preserve">. TB is highly heterogeneous in England with the majority of cases occurring in urban, non-UK born, populations. The yearly PHE report contains more descriptive detail</w:t>
      </w:r>
      <w:r>
        <w:t xml:space="preserve">[1]</w:t>
      </w:r>
      <w:r>
        <w:t xml:space="preserve">.</w:t>
      </w:r>
    </w:p>
    <w:p>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study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 England, 2000-2010.</w:t>
      </w:r>
    </w:p>
    <w:tbl>
      <w:tblPr>
        <w:tblStyle w:val="TableNormal"/>
        <w:tblW w:type="pct" w:w="5000.0"/>
        <w:tblLook w:firstRow="1"/>
        <w:tblCaption w:val="Table 1: Summary of relevance and eligibility criteria for each cohort, England, 2000-2010."/>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 overview</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with 95% credible intervals (CrIs)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incidence rates in both the UK born and non-UK born who were not in the age group of interest</w:t>
      </w:r>
      <w:r>
        <w:t xml:space="preserve">[1]</w:t>
      </w:r>
      <w:r>
        <w:t xml:space="preserve">, and year of study entry (as a random intercept). We evaluated a range of models using a statistically rigorous criterion, that accounted for model fit and complexity, for model selection.</w:t>
      </w:r>
    </w:p>
    <w:p>
      <w:pPr>
        <w:pStyle w:val="BodyText"/>
      </w:pPr>
      <w:r>
        <w:rPr>
          <w:b/>
        </w:rPr>
        <w:t xml:space="preserve">Statistical modelling details</w:t>
      </w:r>
    </w:p>
    <w:p>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[12]</w:t>
      </w:r>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[13]</w:t>
      </w:r>
      <w:r>
        <w:t xml:space="preserve">. Missing data imputation using a GBM was implemented using the h2o package</w:t>
      </w:r>
      <w:r>
        <w:t xml:space="preserve">[14]</w:t>
      </w:r>
      <w:r>
        <w:t xml:space="preserve">. Incidence rates, with 95% confidence intervals, were calculated using the epiR package</w:t>
      </w:r>
      <w:r>
        <w:t xml:space="preserve">[15]</w:t>
      </w:r>
      <w:r>
        <w:t xml:space="preserve">. The brms package</w:t>
      </w:r>
      <w:r>
        <w:t xml:space="preserve">[16]</w:t>
      </w:r>
      <w:r>
        <w:t xml:space="preserve">, and STAN</w:t>
      </w:r>
      <w:r>
        <w:t xml:space="preserve">[17]</w:t>
      </w:r>
      <w:r>
        <w:t xml:space="preserve">, was used to perform MCMC. Models were run until convergence (4 chains with a burn in of 10,000, and 10,000 sampled iterations each), with convergence being assessed using trace plots and the R hat diagnostic</w:t>
      </w:r>
      <w:r>
        <w:t xml:space="preserve">[17]</w:t>
      </w:r>
      <w:r>
        <w:t xml:space="preserve">. All numeric confounders were centered and scaled by their standard deviation, and age was adjusted for using single year of age categories.</w:t>
      </w:r>
    </w:p>
    <w:p>
      <w:pPr>
        <w:pStyle w:val="BodyText"/>
      </w:pPr>
      <w:r>
        <w:rPr>
          <w:b/>
        </w:rPr>
        <w:t xml:space="preserve">Ethical statement</w:t>
      </w:r>
    </w:p>
    <w:p>
      <w:pPr>
        <w:pStyle w:val="BodyText"/>
      </w:pPr>
      <w:r>
        <w:t xml:space="preserve">Ethical approval was not needed for this study.</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eligibility,</w:t>
            </w:r>
            <w:r>
              <w:t xml:space="preserve"> </w:t>
            </w:r>
            <w:r>
              <w:t xml:space="preserve">group 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eligibility,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eligibility,</w:t>
            </w:r>
            <w:r>
              <w:t xml:space="preserve"> </w:t>
            </w:r>
            <w:r>
              <w:t xml:space="preserve">group 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eligibility,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 England, 2000-2015</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England, 2000-2015"/>
      </w:tblPr>
      <w:tblGrid>
        <w:gridCol w:w="4525"/>
        <w:gridCol w:w="848"/>
        <w:gridCol w:w="1640"/>
        <w:gridCol w:w="905"/>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CrI*)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CrI: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[18,19]</w:t>
      </w:r>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[20–22]</w:t>
      </w:r>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w:t>
      </w:r>
      <w:r>
        <w:t xml:space="preserve">[23,24]</w:t>
      </w:r>
      <w:r>
        <w:t xml:space="preserve">, and ethnicity</w:t>
      </w:r>
      <w:r>
        <w:t xml:space="preserve">[23–25]</w:t>
      </w:r>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[26]</w:t>
      </w:r>
      <w:r>
        <w:t xml:space="preserve">.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[27]</w:t>
      </w:r>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[28]</w:t>
      </w:r>
      <w:r>
        <w:t xml:space="preserve">.</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However, they should be interpreted as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lead to negative outcomes, than other age groups</w:t>
      </w:r>
      <w:r>
        <w:t xml:space="preserve">[1]</w:t>
      </w:r>
      <w:r>
        <w:t xml:space="preserve">. This variation should also be considered when evaluating these results.</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As only 5 years of follow up data was available - and BCG vaccination has been shown to provide long lasting protection in the UK - repeating this study once more data is available may alter the findings</w:t>
      </w:r>
      <w:r>
        <w:t xml:space="preserve">[29]</w:t>
      </w:r>
      <w:r>
        <w:t xml:space="preserve">.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this analysis, interim results, and final results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p>
      <w:pPr>
        <w:pStyle w:val="BodyText"/>
      </w:pPr>
      <w:r>
        <w:t xml:space="preserve">2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1">
        <w:r>
          <w:rPr>
            <w:rStyle w:val="Hyperlink"/>
          </w:rPr>
          <w:t xml:space="preserve">10.1136/bmj.331.7518.647</w:t>
        </w:r>
      </w:hyperlink>
    </w:p>
    <w:p>
      <w:pPr>
        <w:pStyle w:val="BodyText"/>
      </w:pPr>
      <w:r>
        <w:t xml:space="preserve">3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2">
        <w:r>
          <w:rPr>
            <w:rStyle w:val="Hyperlink"/>
          </w:rPr>
          <w:t xml:space="preserve">10.1136/adc.2005.085043</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3">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4">
        <w:r>
          <w:rPr>
            <w:rStyle w:val="Hyperlink"/>
          </w:rPr>
          <w:t xml:space="preserve">10.1001/jama.1994.03510330076038</w:t>
        </w:r>
      </w:hyperlink>
    </w:p>
    <w:p>
      <w:pPr>
        <w:pStyle w:val="BodyText"/>
      </w:pPr>
      <w:r>
        <w:t xml:space="preserve">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:g4643–3. doi:</w:t>
      </w:r>
      <w:hyperlink r:id="rId35">
        <w:r>
          <w:rPr>
            <w:rStyle w:val="Hyperlink"/>
          </w:rPr>
          <w:t xml:space="preserve">10.1136/bmj.g4643</w:t>
        </w:r>
      </w:hyperlink>
    </w:p>
    <w:p>
      <w:pPr>
        <w:pStyle w:val="BodyText"/>
      </w:pPr>
      <w:r>
        <w:t xml:space="preserve">7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36">
        <w:r>
          <w:rPr>
            <w:rStyle w:val="Hyperlink"/>
          </w:rPr>
          <w:t xml:space="preserve">10.1371/journal.pmed.1001012</w:t>
        </w:r>
      </w:hyperlink>
    </w:p>
    <w:p>
      <w:pPr>
        <w:pStyle w:val="BodyText"/>
      </w:pPr>
      <w:r>
        <w:t xml:space="preserve">8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37">
        <w:r>
          <w:rPr>
            <w:rStyle w:val="Hyperlink"/>
          </w:rPr>
          <w:t xml:space="preserve">10.1016/0962-8479(92)90149-E</w:t>
        </w:r>
      </w:hyperlink>
    </w:p>
    <w:p>
      <w:pPr>
        <w:pStyle w:val="BodyText"/>
      </w:pPr>
      <w:r>
        <w:t xml:space="preserve">9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BodyText"/>
      </w:pPr>
      <w:r>
        <w:t xml:space="preserve">10 Thomas HL, Harris RJ, Muzyamba MC</w:t>
      </w:r>
      <w:r>
        <w:t xml:space="preserve"> </w:t>
      </w:r>
      <w:r>
        <w:rPr>
          <w:i/>
        </w:rPr>
        <w:t xml:space="preserve">et al.</w:t>
      </w:r>
      <w:r>
        <w:t xml:space="preserve"> </w:t>
      </w:r>
      <w:r>
        <w:t xml:space="preserve">Reduction in tuberculosis incidence in the UK from 2011 to 2015: a population-based study.</w:t>
      </w:r>
      <w:r>
        <w:t xml:space="preserve"> </w:t>
      </w:r>
      <w:r>
        <w:rPr>
          <w:i/>
        </w:rPr>
        <w:t xml:space="preserve">Thorax</w:t>
      </w:r>
      <w:r>
        <w:t xml:space="preserve"> </w:t>
      </w:r>
      <w:r>
        <w:t xml:space="preserve">Published Online First: 2018. doi:</w:t>
      </w:r>
      <w:hyperlink r:id="rId38">
        <w:r>
          <w:rPr>
            <w:rStyle w:val="Hyperlink"/>
          </w:rPr>
          <w:t xml:space="preserve">10.1136/THORAXJNL-2017-211074</w:t>
        </w:r>
      </w:hyperlink>
    </w:p>
    <w:p>
      <w:pPr>
        <w:pStyle w:val="BodyText"/>
      </w:pPr>
      <w:r>
        <w:t xml:space="preserve">11 Parikh SR, Andrews NJ, Beebeejaun K</w:t>
      </w:r>
      <w:r>
        <w:t xml:space="preserve"> </w:t>
      </w:r>
      <w:r>
        <w:rPr>
          <w:i/>
        </w:rPr>
        <w:t xml:space="preserve">et al.</w:t>
      </w:r>
      <w:r>
        <w:t xml:space="preserve"> </w:t>
      </w:r>
      <w:r>
        <w:t xml:space="preserve">Effectiveness and impact of a reduced infant schedule of 4CMenB vaccine against group B meningococcal disease in England: a national observational cohort study.</w:t>
      </w:r>
      <w:r>
        <w:t xml:space="preserve"> </w:t>
      </w:r>
      <w:r>
        <w:rPr>
          <w:i/>
        </w:rPr>
        <w:t xml:space="preserve">Lancet</w:t>
      </w:r>
      <w:r>
        <w:t xml:space="preserve"> </w:t>
      </w:r>
      <w:r>
        <w:t xml:space="preserve">2016;</w:t>
      </w:r>
      <w:r>
        <w:rPr>
          <w:b/>
        </w:rPr>
        <w:t xml:space="preserve">388</w:t>
      </w:r>
      <w:r>
        <w:t xml:space="preserve">:2775–82. doi:</w:t>
      </w:r>
      <w:hyperlink r:id="rId39">
        <w:r>
          <w:rPr>
            <w:rStyle w:val="Hyperlink"/>
          </w:rPr>
          <w:t xml:space="preserve">10.1016/S0140-6736(16)31921-3</w:t>
        </w:r>
      </w:hyperlink>
    </w:p>
    <w:p>
      <w:pPr>
        <w:pStyle w:val="BodyText"/>
      </w:pPr>
      <w:r>
        <w:t xml:space="preserve">12 Vehtari A, Gelman A, Gabry J. Practical Bayesian model evaluation using leave-one-out cross-validation and WAIC.</w:t>
      </w:r>
      <w:r>
        <w:t xml:space="preserve"> </w:t>
      </w:r>
      <w:r>
        <w:rPr>
          <w:i/>
        </w:rPr>
        <w:t xml:space="preserve">Stat Comput</w:t>
      </w:r>
      <w:r>
        <w:t xml:space="preserve"> </w:t>
      </w:r>
      <w:r>
        <w:t xml:space="preserve">2016;1–20. doi:</w:t>
      </w:r>
      <w:hyperlink r:id="rId40">
        <w:r>
          <w:rPr>
            <w:rStyle w:val="Hyperlink"/>
          </w:rPr>
          <w:t xml:space="preserve">10.1007/s11222-016-9696-4</w:t>
        </w:r>
      </w:hyperlink>
    </w:p>
    <w:p>
      <w:pPr>
        <w:pStyle w:val="BodyText"/>
      </w:pPr>
      <w:r>
        <w:t xml:space="preserve">13 R Core Team. R: A Language and Environment for Statistical Computing. 2016.</w:t>
      </w:r>
      <w:hyperlink r:id="rId41">
        <w:r>
          <w:rPr>
            <w:rStyle w:val="Hyperlink"/>
          </w:rPr>
          <w:t xml:space="preserve">https://www.r-project.org/</w:t>
        </w:r>
      </w:hyperlink>
    </w:p>
    <w:p>
      <w:pPr>
        <w:pStyle w:val="BodyText"/>
      </w:pPr>
      <w:r>
        <w:t xml:space="preserve">14 H2O.ai.</w:t>
      </w:r>
      <w:r>
        <w:t xml:space="preserve"> </w:t>
      </w:r>
      <w:r>
        <w:rPr>
          <w:i/>
        </w:rPr>
        <w:t xml:space="preserve">R Interface for H2O</w:t>
      </w:r>
      <w:r>
        <w:t xml:space="preserve">. 2018.</w:t>
      </w:r>
      <w:r>
        <w:t xml:space="preserve"> </w:t>
      </w:r>
      <w:hyperlink r:id="rId42">
        <w:r>
          <w:rPr>
            <w:rStyle w:val="Hyperlink"/>
          </w:rPr>
          <w:t xml:space="preserve">https://github.com/h2oai/h2o-3</w:t>
        </w:r>
      </w:hyperlink>
    </w:p>
    <w:p>
      <w:pPr>
        <w:pStyle w:val="BodyText"/>
      </w:pPr>
      <w:r>
        <w:t xml:space="preserve">15 Stevenson M, Nunes T, Heuer C</w:t>
      </w:r>
      <w:r>
        <w:t xml:space="preserve"> </w:t>
      </w:r>
      <w:r>
        <w:rPr>
          <w:i/>
        </w:rPr>
        <w:t xml:space="preserve">et al.</w:t>
      </w:r>
      <w:r>
        <w:t xml:space="preserve"> </w:t>
      </w:r>
      <w:r>
        <w:t xml:space="preserve">epiR: Tools for the Analysis of Epidemiological Data. 2017.</w:t>
      </w:r>
      <w:hyperlink r:id="rId43">
        <w:r>
          <w:rPr>
            <w:rStyle w:val="Hyperlink"/>
          </w:rPr>
          <w:t xml:space="preserve">https://cran.r-project.org/package=epiR</w:t>
        </w:r>
      </w:hyperlink>
    </w:p>
    <w:p>
      <w:pPr>
        <w:pStyle w:val="BodyText"/>
      </w:pPr>
      <w:r>
        <w:t xml:space="preserve">16 Bürkner P-C. {brms}: An {R} Package for Bayesian Multilevel Models using Stan.</w:t>
      </w:r>
      <w:r>
        <w:t xml:space="preserve"> </w:t>
      </w:r>
      <w:r>
        <w:rPr>
          <w:i/>
        </w:rPr>
        <w:t xml:space="preserve">J Stat Softw</w:t>
      </w:r>
    </w:p>
    <w:p>
      <w:pPr>
        <w:pStyle w:val="BodyText"/>
      </w:pPr>
      <w:r>
        <w:t xml:space="preserve">17 Stan Development Team. {RStan}: the {R} interface to {Stan}. 2016.</w:t>
      </w:r>
      <w:hyperlink r:id="rId44">
        <w:r>
          <w:rPr>
            <w:rStyle w:val="Hyperlink"/>
          </w:rPr>
          <w:t xml:space="preserve">http://mc-stan.org/</w:t>
        </w:r>
      </w:hyperlink>
    </w:p>
    <w:p>
      <w:pPr>
        <w:pStyle w:val="BodyText"/>
      </w:pPr>
      <w:r>
        <w:t xml:space="preserve">18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5">
        <w:r>
          <w:rPr>
            <w:rStyle w:val="Hyperlink"/>
          </w:rPr>
          <w:t xml:space="preserve">10.1093/cid/cit790</w:t>
        </w:r>
      </w:hyperlink>
    </w:p>
    <w:p>
      <w:pPr>
        <w:pStyle w:val="BodyText"/>
      </w:pPr>
      <w:r>
        <w:t xml:space="preserve">19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6">
        <w:r>
          <w:rPr>
            <w:rStyle w:val="Hyperlink"/>
          </w:rPr>
          <w:t xml:space="preserve">10.3310/hta17370</w:t>
        </w:r>
      </w:hyperlink>
    </w:p>
    <w:p>
      <w:pPr>
        <w:pStyle w:val="BodyText"/>
      </w:pPr>
      <w:r>
        <w:t xml:space="preserve">20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21 Davies R, Jones M, Lloyd-Williams H. Age and Work-Related Health: Insights from the UK Labour Force Survey.</w:t>
      </w:r>
      <w:r>
        <w:t xml:space="preserve"> </w:t>
      </w:r>
      <w:r>
        <w:rPr>
          <w:i/>
        </w:rPr>
        <w:t xml:space="preserve">Br J Ind Relations</w:t>
      </w:r>
      <w:r>
        <w:t xml:space="preserve"> </w:t>
      </w:r>
      <w:r>
        <w:t xml:space="preserve">2016;</w:t>
      </w:r>
      <w:r>
        <w:rPr>
          <w:b/>
        </w:rPr>
        <w:t xml:space="preserve">54</w:t>
      </w:r>
      <w:r>
        <w:t xml:space="preserve">:136–59. doi:</w:t>
      </w:r>
      <w:hyperlink r:id="rId47">
        <w:r>
          <w:rPr>
            <w:rStyle w:val="Hyperlink"/>
          </w:rPr>
          <w:t xml:space="preserve">10.1111/bjir.12059</w:t>
        </w:r>
      </w:hyperlink>
    </w:p>
    <w:p>
      <w:pPr>
        <w:pStyle w:val="BodyText"/>
      </w:pPr>
      <w:r>
        <w:t xml:space="preserve">22 Lindley J. The over-education of UK immigrants and minority ethnic groups: Evidence from the Labour Force Survey.</w:t>
      </w:r>
      <w:r>
        <w:t xml:space="preserve"> </w:t>
      </w:r>
      <w:r>
        <w:rPr>
          <w:i/>
        </w:rPr>
        <w:t xml:space="preserve">Econ Educ Rev</w:t>
      </w:r>
      <w:r>
        <w:t xml:space="preserve"> </w:t>
      </w:r>
      <w:r>
        <w:t xml:space="preserve">2009;</w:t>
      </w:r>
      <w:r>
        <w:rPr>
          <w:b/>
        </w:rPr>
        <w:t xml:space="preserve">28</w:t>
      </w:r>
      <w:r>
        <w:t xml:space="preserve">:80–9. doi:</w:t>
      </w:r>
      <w:hyperlink r:id="rId48">
        <w:r>
          <w:rPr>
            <w:rStyle w:val="Hyperlink"/>
          </w:rPr>
          <w:t xml:space="preserve">10.1016/j.econedurev.2007.11.003</w:t>
        </w:r>
      </w:hyperlink>
    </w:p>
    <w:p>
      <w:pPr>
        <w:pStyle w:val="BodyText"/>
      </w:pPr>
      <w:r>
        <w:t xml:space="preserve">23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9">
        <w:r>
          <w:rPr>
            <w:rStyle w:val="Hyperlink"/>
          </w:rPr>
          <w:t xml:space="preserve">10.1136/adc.84.2.109</w:t>
        </w:r>
      </w:hyperlink>
    </w:p>
    <w:p>
      <w:pPr>
        <w:pStyle w:val="BodyText"/>
      </w:pPr>
      <w:r>
        <w:t xml:space="preserve">24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50">
        <w:r>
          <w:rPr>
            <w:rStyle w:val="Hyperlink"/>
          </w:rPr>
          <w:t xml:space="preserve">10.1136/bmj.310.6985.967</w:t>
        </w:r>
      </w:hyperlink>
    </w:p>
    <w:p>
      <w:pPr>
        <w:pStyle w:val="BodyText"/>
      </w:pPr>
      <w:r>
        <w:t xml:space="preserve">25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51">
        <w:r>
          <w:rPr>
            <w:rStyle w:val="Hyperlink"/>
          </w:rPr>
          <w:t xml:space="preserve">10.1136/adc.2008.139543</w:t>
        </w:r>
      </w:hyperlink>
    </w:p>
    <w:p>
      <w:pPr>
        <w:pStyle w:val="BodyText"/>
      </w:pPr>
      <w:r>
        <w:t xml:space="preserve">26 Manissero D, Lopalco PL, Levy-Bruhl D</w:t>
      </w:r>
      <w:r>
        <w:t xml:space="preserve"> </w:t>
      </w:r>
      <w:r>
        <w:rPr>
          <w:i/>
        </w:rPr>
        <w:t xml:space="preserve">et al.</w:t>
      </w:r>
      <w:r>
        <w:t xml:space="preserve"> </w:t>
      </w:r>
      <w:r>
        <w:t xml:space="preserve">Assessing the impact of different BCG vaccination strategies on severe childhood TB in low-intermediate prevalence settings.</w:t>
      </w:r>
      <w:r>
        <w:t xml:space="preserve"> </w:t>
      </w:r>
      <w:r>
        <w:rPr>
          <w:i/>
        </w:rPr>
        <w:t xml:space="preserve">Vaccine</w:t>
      </w:r>
      <w:r>
        <w:t xml:space="preserve"> </w:t>
      </w:r>
      <w:r>
        <w:t xml:space="preserve">2008;</w:t>
      </w:r>
      <w:r>
        <w:rPr>
          <w:b/>
        </w:rPr>
        <w:t xml:space="preserve">26</w:t>
      </w:r>
      <w:r>
        <w:t xml:space="preserve">:2253–9. doi:</w:t>
      </w:r>
      <w:hyperlink r:id="rId52">
        <w:r>
          <w:rPr>
            <w:rStyle w:val="Hyperlink"/>
          </w:rPr>
          <w:t xml:space="preserve">10.1016/j.vaccine.2008.02.038</w:t>
        </w:r>
      </w:hyperlink>
    </w:p>
    <w:p>
      <w:pPr>
        <w:pStyle w:val="BodyText"/>
      </w:pPr>
      <w:r>
        <w:t xml:space="preserve">27 Feiring B, Laake I, Molden T</w:t>
      </w:r>
      <w:r>
        <w:t xml:space="preserve"> </w:t>
      </w:r>
      <w:r>
        <w:rPr>
          <w:i/>
        </w:rPr>
        <w:t xml:space="preserve">et al.</w:t>
      </w:r>
      <w:r>
        <w:t xml:space="preserve"> </w:t>
      </w:r>
      <w:r>
        <w:t xml:space="preserve">Do selective immunisation against tuberculosis and hepatitis B reach the targeted populations? A nationwide register-based study evaluating the recommendations in the Norwegian Childhood Immunisation Programme.</w:t>
      </w:r>
      <w:r>
        <w:t xml:space="preserve"> </w:t>
      </w:r>
      <w:r>
        <w:rPr>
          <w:i/>
        </w:rPr>
        <w:t xml:space="preserve">Vaccine</w:t>
      </w:r>
      <w:r>
        <w:t xml:space="preserve"> </w:t>
      </w:r>
      <w:r>
        <w:t xml:space="preserve">2016;</w:t>
      </w:r>
      <w:r>
        <w:rPr>
          <w:b/>
        </w:rPr>
        <w:t xml:space="preserve">34</w:t>
      </w:r>
      <w:r>
        <w:t xml:space="preserve">:2015–20. doi:</w:t>
      </w:r>
      <w:hyperlink r:id="rId53">
        <w:r>
          <w:rPr>
            <w:rStyle w:val="Hyperlink"/>
          </w:rPr>
          <w:t xml:space="preserve">10.1016/j.vaccine.2016.02.060</w:t>
        </w:r>
      </w:hyperlink>
    </w:p>
    <w:p>
      <w:pPr>
        <w:pStyle w:val="BodyText"/>
      </w:pPr>
      <w:r>
        <w:t xml:space="preserve">28 Nguipdop-Djomo P, Mangtani P, Pedrazzoli D</w:t>
      </w:r>
      <w:r>
        <w:t xml:space="preserve"> </w:t>
      </w:r>
      <w:r>
        <w:rPr>
          <w:i/>
        </w:rPr>
        <w:t xml:space="preserve">et al.</w:t>
      </w:r>
      <w:r>
        <w:t xml:space="preserve"> </w:t>
      </w:r>
      <w:r>
        <w:t xml:space="preserve">Uptake of neonatal BCG vaccination in England: Performance of the current policy recommendations.</w:t>
      </w:r>
      <w:r>
        <w:t xml:space="preserve"> </w:t>
      </w:r>
      <w:r>
        <w:rPr>
          <w:i/>
        </w:rPr>
        <w:t xml:space="preserve">Thorax</w:t>
      </w:r>
      <w:r>
        <w:t xml:space="preserve"> </w:t>
      </w:r>
      <w:r>
        <w:t xml:space="preserve">2014;</w:t>
      </w:r>
      <w:r>
        <w:rPr>
          <w:b/>
        </w:rPr>
        <w:t xml:space="preserve">69</w:t>
      </w:r>
      <w:r>
        <w:t xml:space="preserve">:87–9. doi:</w:t>
      </w:r>
      <w:hyperlink r:id="rId54">
        <w:r>
          <w:rPr>
            <w:rStyle w:val="Hyperlink"/>
          </w:rPr>
          <w:t xml:space="preserve">10.1136/thoraxjnl-2013-203931</w:t>
        </w:r>
      </w:hyperlink>
    </w:p>
    <w:p>
      <w:pPr>
        <w:pStyle w:val="BodyText"/>
      </w:pPr>
      <w:r>
        <w:t xml:space="preserve">29 Nguipdop-Djomo P, Heldal E, Rodrigues LC</w:t>
      </w:r>
      <w:r>
        <w:t xml:space="preserve"> </w:t>
      </w:r>
      <w:r>
        <w:rPr>
          <w:i/>
        </w:rPr>
        <w:t xml:space="preserve">et al.</w:t>
      </w:r>
      <w:r>
        <w:t xml:space="preserve"> </w:t>
      </w:r>
      <w:r>
        <w:t xml:space="preserve">Duration of BCG protection against tuberculosis and change in effectiveness with time since vaccination in Norway: a retrospective population-based cohort study.</w:t>
      </w:r>
      <w:r>
        <w:t xml:space="preserve"> </w:t>
      </w:r>
      <w:r>
        <w:rPr>
          <w:i/>
        </w:rPr>
        <w:t xml:space="preserve">Lancet Infect Dis</w:t>
      </w:r>
      <w:r>
        <w:t xml:space="preserve"> </w:t>
      </w:r>
      <w:r>
        <w:t xml:space="preserve">2016;</w:t>
      </w:r>
      <w:r>
        <w:rPr>
          <w:b/>
        </w:rPr>
        <w:t xml:space="preserve">16</w:t>
      </w:r>
      <w:r>
        <w:t xml:space="preserve">:219–26. doi:</w:t>
      </w:r>
      <w:hyperlink r:id="rId55">
        <w:r>
          <w:rPr>
            <w:rStyle w:val="Hyperlink"/>
          </w:rPr>
          <w:t xml:space="preserve">10.1016/S1473-3099(15)00400-4</w:t>
        </w:r>
      </w:hyperlink>
    </w:p>
    <w:p>
      <w:pPr>
        <w:pStyle w:val="Heading5"/>
      </w:pPr>
      <w:bookmarkStart w:id="56" w:name="pagebreak-6"/>
      <w:bookmarkEnd w:id="56"/>
      <w:r>
        <w:t xml:space="preserve">PAGEBREAK</w:t>
      </w:r>
    </w:p>
    <w:p>
      <w:pPr>
        <w:pStyle w:val="Heading2"/>
      </w:pPr>
      <w:bookmarkStart w:id="57" w:name="online-supplementary-appendix-estimating-the-effect-of-the-2005-change-in-bcg-policy-in-england-a-retrospective-cohort-study"/>
      <w:bookmarkEnd w:id="57"/>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58" w:name="pagebreak-7"/>
      <w:bookmarkEnd w:id="58"/>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[10]</w:t>
      </w:r>
      <w:r>
        <w:t xml:space="preserve">. 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59" w:name="pagebreak-8"/>
      <w:bookmarkEnd w:id="59"/>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60" w:name="pagebreak-9"/>
      <w:bookmarkEnd w:id="60"/>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62" w:name="pagebreak-10"/>
      <w:bookmarkEnd w:id="62"/>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63" w:name="pagebreak-11"/>
      <w:bookmarkEnd w:id="63"/>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5000.0"/>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5000.0"/>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64" w:name="pagebreak-12"/>
      <w:bookmarkEnd w:id="64"/>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6c3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103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61" Target="media/rId61.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2019-10-09T10:46:58Z</dcterms:created>
  <dcterms:modified xsi:type="dcterms:W3CDTF">2019-10-09T10:46:58Z</dcterms:modified>
</cp:coreProperties>
</file>