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and</w:t>
      </w:r>
      <w:r>
        <w:t xml:space="preserve"> </w:t>
      </w:r>
      <w:r>
        <w:t xml:space="preserve">Evaluate</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objectives"/>
      <w:r>
        <w:t xml:space="preserve">Objectives</w:t>
      </w:r>
      <w:bookmarkEnd w:id="22"/>
    </w:p>
    <w:p>
      <w:pPr>
        <w:pStyle w:val="Heading2"/>
      </w:pPr>
      <w:bookmarkStart w:id="23" w:name="design"/>
      <w:r>
        <w:t xml:space="preserve">Design</w:t>
      </w:r>
      <w:bookmarkEnd w:id="23"/>
    </w:p>
    <w:p>
      <w:pPr>
        <w:pStyle w:val="Heading2"/>
      </w:pPr>
      <w:bookmarkStart w:id="24" w:name="setting"/>
      <w:r>
        <w:t xml:space="preserve">Setting</w:t>
      </w:r>
      <w:bookmarkEnd w:id="24"/>
    </w:p>
    <w:p>
      <w:pPr>
        <w:pStyle w:val="Heading2"/>
      </w:pPr>
      <w:bookmarkStart w:id="25" w:name="outcome-measures"/>
      <w:r>
        <w:t xml:space="preserve">Outcome measures</w:t>
      </w:r>
      <w:bookmarkEnd w:id="25"/>
    </w:p>
    <w:p>
      <w:pPr>
        <w:pStyle w:val="Heading2"/>
      </w:pPr>
      <w:bookmarkStart w:id="26" w:name="results-copy-from-bottom"/>
      <w:r>
        <w:t xml:space="preserve">Results</w:t>
      </w:r>
      <w:r>
        <w:t xml:space="preserve"> </w:t>
      </w:r>
      <w:r>
        <w:rPr>
          <w:i/>
        </w:rPr>
        <w:t xml:space="preserve">Copy from bottom</w:t>
      </w:r>
      <w:bookmarkEnd w:id="26"/>
    </w:p>
    <w:p>
      <w:pPr>
        <w:pStyle w:val="Heading2"/>
      </w:pPr>
      <w:bookmarkStart w:id="27" w:name="conclusions"/>
      <w:r>
        <w:t xml:space="preserve">Conclusions</w:t>
      </w:r>
      <w:bookmarkEnd w:id="27"/>
    </w:p>
    <w:p>
      <w:pPr>
        <w:pStyle w:val="Heading1"/>
      </w:pPr>
      <w:bookmarkStart w:id="28" w:name="strengths-and-limitations-of-this-study"/>
      <w:r>
        <w:t xml:space="preserve">Strengths and limitations of this study</w:t>
      </w:r>
      <w:bookmarkEnd w:id="28"/>
    </w:p>
    <w:p>
      <w:pPr>
        <w:pStyle w:val="Heading1"/>
      </w:pPr>
      <w:bookmarkStart w:id="29" w:name="introduction"/>
      <w:r>
        <w:t xml:space="preserve">Introduction</w:t>
      </w:r>
      <w:bookmarkEnd w:id="29"/>
    </w:p>
    <w:p>
      <w:pPr>
        <w:pStyle w:val="FirstParagraph"/>
      </w:pPr>
      <w:r>
        <w:t xml:space="preserve">Although the characteristics of tuberculosis (TB) in England have been reported elsewhere,</w:t>
      </w:r>
      <w:r>
        <w:t xml:space="preserve">[1,2]</w:t>
      </w:r>
      <w:r>
        <w:t xml:space="preserve"> </w:t>
      </w:r>
      <w:r>
        <w:t xml:space="preserve">and key risk factors such as non-UK birth status have been identified,</w:t>
      </w:r>
      <w:r>
        <w:t xml:space="preserve">[3]</w:t>
      </w:r>
      <w:r>
        <w:t xml:space="preserve"> </w:t>
      </w:r>
      <w:r>
        <w:t xml:space="preserve">little attention has been given to the role of BCG vaccination. In particular, there is little information available regarding the demographics of vaccinated versus unvaccinated cases and the impact of BCG vaccination on TB outcomes in England has not been explored. There has also only been limited reporting of the age distribution, and trends over time, in incidence rates stratified by UK birth status.</w:t>
      </w:r>
    </w:p>
    <w:p>
      <w:pPr>
        <w:pStyle w:val="BodyText"/>
      </w:pPr>
      <w:r>
        <w:t xml:space="preserve">In this chapter I explore the epidemiology of TB in England using routine datasets with a particular focus on the impact of missing data, the mechanisms underlying that missing data, seasonal trends, the role of age, UK birth status and BCG status. I also estimate incidence rates, stratified by UK birth status and age, which I use to identify trends in TB incidence over time. Finally I report TB outcomes in England using case rates, again stratified by BCG status and UK birth status.</w:t>
      </w:r>
    </w:p>
    <w:p>
      <w:pPr>
        <w:pStyle w:val="Heading1"/>
      </w:pPr>
      <w:bookmarkStart w:id="30" w:name="methods"/>
      <w:r>
        <w:t xml:space="preserve">Methods</w:t>
      </w:r>
      <w:bookmarkEnd w:id="30"/>
    </w:p>
    <w:p>
      <w:pPr>
        <w:pStyle w:val="Heading2"/>
      </w:pPr>
      <w:bookmarkStart w:id="31" w:name="data-sources"/>
      <w:r>
        <w:t xml:space="preserve">Data sources</w:t>
      </w:r>
      <w:bookmarkEnd w:id="31"/>
    </w:p>
    <w:p>
      <w:pPr>
        <w:pStyle w:val="Heading3"/>
      </w:pPr>
      <w:bookmarkStart w:id="32" w:name="enhanced-tuberculosis-surveillance-ets-system"/>
      <w:r>
        <w:t xml:space="preserve">Enhanced tuberculosis surveillance (ETS) system</w:t>
      </w:r>
      <w:bookmarkEnd w:id="32"/>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[1]</w:t>
      </w:r>
      <w:r>
        <w:t xml:space="preserve"> </w:t>
      </w:r>
      <w:r>
        <w:t xml:space="preserve">Data collection began in 2000 and was expanded, with additional variables, with the launch of a web based system in 2008.</w:t>
      </w:r>
      <w:r>
        <w:t xml:space="preserve">[4]</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[1]</w:t>
      </w:r>
    </w:p>
    <w:p>
      <w:pPr>
        <w:pStyle w:val="Heading4"/>
      </w:pPr>
      <w:bookmarkStart w:id="33" w:name="data-extraction-and-management"/>
      <w:r>
        <w:t xml:space="preserve">Data extraction and management</w:t>
      </w:r>
      <w:bookmarkEnd w:id="33"/>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Notifications were assessed for identifiability and the data release was conditional on the raw data not being shared further. Invalid entries were replaced with missing values unless otherwise noted, with character variables stored as factors using their most common entry as the baseline. Notifications from Scotland, Northern Ireland and Wales were dropped from the dataset. Several variables were created, or modified, for use in further analysis, Table 1summarises these variables. The code used for data cleaning is available as an R package</w:t>
      </w:r>
      <w:r>
        <w:rPr>
          <w:rStyle w:val="FootnoteReference"/>
        </w:rPr>
        <w:footnoteReference w:id="34"/>
      </w:r>
      <w:r>
        <w:t xml:space="preserve">.</w:t>
      </w:r>
    </w:p>
    <w:p>
      <w:pPr>
        <w:pStyle w:val="TableCaption"/>
      </w:pPr>
      <w:r>
        <w:t xml:space="preserve">Table 1: Variables derived or modified from the ETS system for use in the analyses throughout this thesis.</w:t>
      </w:r>
    </w:p>
    <w:tbl>
      <w:tblPr>
        <w:tblStyle w:val="Table"/>
        <w:tblW w:type="pct" w:w="5000.0"/>
        <w:tblLook w:firstRow="1"/>
        <w:tblCaption w:val="Table 1: Variables derived or modified from the ETS system for use in the analyses throughout this thesis."/>
      </w:tblPr>
      <w:tblGrid>
        <w:gridCol w:w="2737"/>
        <w:gridCol w:w="5182"/>
      </w:tblGrid>
      <w:tr>
        <w:trPr>
          <w:cnfStyle w:firstRow="1"/>
        </w:trPr>
        <w:tc>
          <w:tcPr>
            <w:tcBorders>
              <w:bottom w:val="single"/>
            </w:tcBorders>
            <w:vAlign w:val="bottom"/>
          </w:tcPr>
          <w:p>
            <w:pPr>
              <w:pStyle w:val="Compact"/>
              <w:jc w:val="left"/>
            </w:pPr>
            <w:r>
              <w:t xml:space="preserve">Created/modified variable</w:t>
            </w:r>
          </w:p>
        </w:tc>
        <w:tc>
          <w:tcPr>
            <w:tcBorders>
              <w:bottom w:val="single"/>
            </w:tcBorders>
            <w:vAlign w:val="bottom"/>
          </w:tcPr>
          <w:p>
            <w:pPr>
              <w:pStyle w:val="Compact"/>
              <w:jc w:val="left"/>
            </w:pPr>
            <w:r>
              <w:t xml:space="preserve">Description</w:t>
            </w:r>
          </w:p>
        </w:tc>
      </w:tr>
      <w:tr>
        <w:tc>
          <w:p>
            <w:pPr>
              <w:pStyle w:val="Compact"/>
              <w:jc w:val="left"/>
            </w:pPr>
            <w:r>
              <w:t xml:space="preserve">Years since BCG</w:t>
            </w:r>
          </w:p>
        </w:tc>
        <w:tc>
          <w:p>
            <w:pPr>
              <w:pStyle w:val="Compact"/>
              <w:jc w:val="left"/>
            </w:pPr>
            <w:r>
              <w:t xml:space="preserve">Derived using year of vaccination and year of</w:t>
            </w:r>
            <w:r>
              <w:t xml:space="preserve"> </w:t>
            </w:r>
            <w:r>
              <w:t xml:space="preserve">notification. Categorised into</w:t>
            </w:r>
            <w:r>
              <w:t xml:space="preserve"> </w:t>
            </w:r>
            <m:oMath>
              <m:r>
                <m:t>≤</m:t>
              </m:r>
              <m:r>
                <m:t>10</m:t>
              </m:r>
            </m:oMath>
            <w:r>
              <w:t xml:space="preserve"> </w:t>
            </w:r>
            <w:r>
              <w:t xml:space="preserve">and 11+</w:t>
            </w:r>
            <w:r>
              <w:t xml:space="preserve"> </w:t>
            </w:r>
            <w:r>
              <w:t xml:space="preserve">due to the evidence of waning protection for the</w:t>
            </w:r>
            <w:r>
              <w:t xml:space="preserve"> </w:t>
            </w:r>
            <w:r>
              <w:t xml:space="preserve">BCG vaccine.</w:t>
            </w:r>
            <w:r>
              <w:t xml:space="preserve">[5]</w:t>
            </w:r>
          </w:p>
        </w:tc>
      </w:tr>
      <w:tr>
        <w:tc>
          <w:p>
            <w:pPr>
              <w:pStyle w:val="Compact"/>
              <w:jc w:val="left"/>
            </w:pPr>
            <w:r>
              <w:t xml:space="preserve">Age at BCG</w:t>
            </w:r>
          </w:p>
        </w:tc>
        <w:tc>
          <w:p>
            <w:pPr>
              <w:pStyle w:val="Compact"/>
              <w:jc w:val="left"/>
            </w:pPr>
            <w:r>
              <w:t xml:space="preserve">Derived using year of vaccination and age at</w:t>
            </w:r>
            <w:r>
              <w:t xml:space="preserve"> </w:t>
            </w:r>
            <w:r>
              <w:t xml:space="preserve">vaccination. Categorised into &lt; 1, 1 to x &lt; 12, 12</w:t>
            </w:r>
            <w:r>
              <w:t xml:space="preserve"> </w:t>
            </w:r>
            <w:r>
              <w:t xml:space="preserve">to x &lt; 16 and</w:t>
            </w:r>
            <w:r>
              <w:t xml:space="preserve"> </w:t>
            </w:r>
            <m:oMath>
              <m:r>
                <m:t>≤</m:t>
              </m:r>
              <m:r>
                <m:t>16</m:t>
              </m:r>
            </m:oMath>
            <w:r>
              <w:t xml:space="preserve"> </w:t>
            </w:r>
            <w:r>
              <w:t xml:space="preserve">to capture historic</w:t>
            </w:r>
            <w:r>
              <w:t xml:space="preserve"> </w:t>
            </w:r>
            <w:r>
              <w:t xml:space="preserve">vaccination policy.</w:t>
            </w:r>
            <w:r>
              <w:t xml:space="preserve">[6]</w:t>
            </w:r>
          </w:p>
        </w:tc>
      </w:tr>
      <w:tr>
        <w:tc>
          <w:p>
            <w:pPr>
              <w:pStyle w:val="Compact"/>
              <w:jc w:val="left"/>
            </w:pPr>
            <w:r>
              <w:t xml:space="preserve">Successful treatment</w:t>
            </w:r>
          </w:p>
        </w:tc>
        <w:tc>
          <w:p>
            <w:pPr>
              <w:pStyle w:val="Compact"/>
              <w:jc w:val="left"/>
            </w:pPr>
            <w:r>
              <w:t xml:space="preserve">For cases that had a recorded date of starting</w:t>
            </w:r>
            <w:r>
              <w:t xml:space="preserve"> </w:t>
            </w:r>
            <w:r>
              <w:t xml:space="preserve">treatment, with their outcome recorded at the</w:t>
            </w:r>
            <w:r>
              <w:t xml:space="preserve"> </w:t>
            </w:r>
            <w:r>
              <w:t xml:space="preserve">latest available follow up. Those that completed</w:t>
            </w:r>
            <w:r>
              <w:t xml:space="preserve"> </w:t>
            </w:r>
            <w:r>
              <w:t xml:space="preserve">treatment are defined as successfully treated:</w:t>
            </w:r>
            <w:r>
              <w:t xml:space="preserve"> </w:t>
            </w:r>
            <w:r>
              <w:t xml:space="preserve">treatment failure is defined as those that stopped</w:t>
            </w:r>
            <w:r>
              <w:t xml:space="preserve"> </w:t>
            </w:r>
            <w:r>
              <w:t xml:space="preserve">treatment, were lost to follow up, those that died</w:t>
            </w:r>
            <w:r>
              <w:t xml:space="preserve"> </w:t>
            </w:r>
            <w:r>
              <w:t xml:space="preserve">during follow up from TB, those that died during</w:t>
            </w:r>
            <w:r>
              <w:t xml:space="preserve"> </w:t>
            </w:r>
            <w:r>
              <w:t xml:space="preserve">follow up were TB contributed to their death, and</w:t>
            </w:r>
            <w:r>
              <w:t xml:space="preserve"> </w:t>
            </w:r>
            <w:r>
              <w:t xml:space="preserve">those who were still on treatment. Those that were</w:t>
            </w:r>
            <w:r>
              <w:t xml:space="preserve"> </w:t>
            </w:r>
            <w:r>
              <w:t xml:space="preserve">not evaluated were treated as missing.</w:t>
            </w:r>
          </w:p>
        </w:tc>
      </w:tr>
      <w:tr>
        <w:tc>
          <w:p>
            <w:pPr>
              <w:pStyle w:val="Compact"/>
              <w:jc w:val="left"/>
            </w:pPr>
            <w:r>
              <w:t xml:space="preserve">Mortality</w:t>
            </w:r>
          </w:p>
        </w:tc>
        <w:tc>
          <w:p>
            <w:pPr>
              <w:pStyle w:val="Compact"/>
              <w:jc w:val="left"/>
            </w:pPr>
            <w:r>
              <w:t xml:space="preserve">Assessed via follow up at 12 and 24 months:</w:t>
            </w:r>
            <w:r>
              <w:t xml:space="preserve"> </w:t>
            </w:r>
            <w:r>
              <w:t xml:space="preserve">mortality is defined as cases with an overall</w:t>
            </w:r>
            <w:r>
              <w:t xml:space="preserve"> </w:t>
            </w:r>
            <w:r>
              <w:t xml:space="preserve">outcome of death, and survival is defined as those</w:t>
            </w:r>
            <w:r>
              <w:t xml:space="preserve"> </w:t>
            </w:r>
            <w:r>
              <w:t xml:space="preserve">that completed treatment, were still on treatment,</w:t>
            </w:r>
            <w:r>
              <w:t xml:space="preserve"> </w:t>
            </w:r>
            <w:r>
              <w:t xml:space="preserve">and stopped treatment. Those that were lost to</w:t>
            </w:r>
            <w:r>
              <w:t xml:space="preserve"> </w:t>
            </w:r>
            <w:r>
              <w:t xml:space="preserve">follow up, or not evaluated were treated as</w:t>
            </w:r>
            <w:r>
              <w:t xml:space="preserve"> </w:t>
            </w:r>
            <w:r>
              <w:t xml:space="preserve">missing</w:t>
            </w:r>
          </w:p>
        </w:tc>
      </w:tr>
      <w:tr>
        <w:tc>
          <w:p>
            <w:pPr>
              <w:pStyle w:val="Compact"/>
              <w:jc w:val="left"/>
            </w:pPr>
            <w:r>
              <w:t xml:space="preserve">TB mortality</w:t>
            </w:r>
          </w:p>
        </w:tc>
        <w:tc>
          <w:p>
            <w:pPr>
              <w:pStyle w:val="Compact"/>
              <w:jc w:val="left"/>
            </w:pPr>
            <w:r>
              <w:t xml:space="preserve">For cases with an overall outcome of died, and</w:t>
            </w:r>
            <w:r>
              <w:t xml:space="preserve"> </w:t>
            </w:r>
            <w:r>
              <w:t xml:space="preserve">whose cause of death was known to be TB or to be</w:t>
            </w:r>
            <w:r>
              <w:t xml:space="preserve"> </w:t>
            </w:r>
            <w:r>
              <w:t xml:space="preserve">related to TB. Those that were known to have not</w:t>
            </w:r>
            <w:r>
              <w:t xml:space="preserve"> </w:t>
            </w:r>
            <w:r>
              <w:t xml:space="preserve">died, or who were known to have died from a cause</w:t>
            </w:r>
            <w:r>
              <w:t xml:space="preserve"> </w:t>
            </w:r>
            <w:r>
              <w:t xml:space="preserve">other than from TB were defined to have not died</w:t>
            </w:r>
            <w:r>
              <w:t xml:space="preserve"> </w:t>
            </w:r>
            <w:r>
              <w:t xml:space="preserve">from TB.</w:t>
            </w:r>
          </w:p>
        </w:tc>
      </w:tr>
      <w:tr>
        <w:tc>
          <w:p>
            <w:pPr>
              <w:pStyle w:val="Compact"/>
              <w:jc w:val="left"/>
            </w:pPr>
            <w:r>
              <w:t xml:space="preserve">Death due to TB</w:t>
            </w:r>
          </w:p>
        </w:tc>
        <w:tc>
          <w:p>
            <w:pPr>
              <w:pStyle w:val="Compact"/>
              <w:jc w:val="left"/>
            </w:pPr>
            <w:r>
              <w:t xml:space="preserve">Death due to TB is defined as those that died</w:t>
            </w:r>
            <w:r>
              <w:t xml:space="preserve"> </w:t>
            </w:r>
            <w:r>
              <w:t xml:space="preserve">directly from TB, or where TB had contributed to</w:t>
            </w:r>
            <w:r>
              <w:t xml:space="preserve"> </w:t>
            </w:r>
            <w:r>
              <w:t xml:space="preserve">their death with death not due to TB being cases</w:t>
            </w:r>
            <w:r>
              <w:t xml:space="preserve"> </w:t>
            </w:r>
            <w:r>
              <w:t xml:space="preserve">that died from any other cause. Conditioned on</w:t>
            </w:r>
            <w:r>
              <w:t xml:space="preserve"> </w:t>
            </w:r>
            <w:r>
              <w:t xml:space="preserve">all-cause mortality, for cases with a known cause</w:t>
            </w:r>
            <w:r>
              <w:t xml:space="preserve"> </w:t>
            </w:r>
            <w:r>
              <w:t xml:space="preserve">of death.</w:t>
            </w:r>
          </w:p>
        </w:tc>
      </w:tr>
    </w:tbl>
    <w:p>
      <w:pPr>
        <w:pStyle w:val="Heading4"/>
      </w:pPr>
      <w:bookmarkStart w:id="36" w:name="structure-of-the-ets"/>
      <w:r>
        <w:t xml:space="preserve">Structure of the ETS</w:t>
      </w:r>
      <w:bookmarkEnd w:id="36"/>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4"/>
      </w:pPr>
      <w:bookmarkStart w:id="37" w:name="data-completeness"/>
      <w:r>
        <w:t xml:space="preserve">Data completeness</w:t>
      </w:r>
      <w:bookmarkEnd w:id="37"/>
    </w:p>
    <w:p>
      <w:pPr>
        <w:pStyle w:val="FirstParagraph"/>
      </w:pPr>
      <w:r>
        <w:t xml:space="preserve">Missing data can take several forms, data that are missing completely at random (MCAR), data that are missing at random (MAR) and data that are missing not at random (MNAR).</w:t>
      </w:r>
      <w:r>
        <w:t xml:space="preserve">[7]</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[7]</w:t>
      </w:r>
    </w:p>
    <w:p>
      <w:pPr>
        <w:pStyle w:val="BodyText"/>
      </w:pPr>
      <w:r>
        <w:t xml:space="preserve">As the ETS is aggregated across England, from a variety of sources, some level of missing data are inevitable. This takes two forms: under-reporting of notified cases, of which there is some evidence in the literature,</w:t>
      </w:r>
      <w:r>
        <w:t xml:space="preserve">[8]</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(Figure 1, Table 2) but care must be taken to account for nested variables such as date of death and year of BCG vaccination. This can be done by assuming that the nested variables takes the value of the top level variable when it is known that the variable is not truly missing. An example of this is using overall outcome for date of death when notifications are known to have not died. Doing this shows high completeness for common demographic variables such as sex, age, ethnic group and UK birth status. More problematically, BCG status and year of BCG status have a high percentage missing, even after accounting for the introduction of national collection of these variables in 2008. Socio-economic status (as national quintiles) was not collected until 2010 but after this point is highly complete. Comparing pre 2009 and post 2008 in Table 2 (and by inspecting Figure 1) there are also issues of changing completeness over time,</w:t>
      </w:r>
      <w:r>
        <w:t xml:space="preserve">[1,9]</w:t>
      </w:r>
      <w:r>
        <w:t xml:space="preserve"> </w:t>
      </w:r>
      <w:r>
        <w:t xml:space="preserve">if this is not accounted for than it may lead to spurious trends. Figure 1 also indicates that there are multiple groups of variables that share a common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results/paper/figs/plot-missing-struct.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Compact"/>
      </w:pPr>
      <w:r>
        <w:t xml:space="preserve">Table 2: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p>
      <w:pPr>
        <w:pStyle w:val="Compact"/>
      </w:pPr>
      <w:r>
        <w:t xml:space="preserve">Pre 2009</w:t>
      </w:r>
    </w:p>
    <w:p>
      <w:pPr>
        <w:pStyle w:val="Compact"/>
      </w:pPr>
      <w:r>
        <w:t xml:space="preserve">Post 2008</w:t>
      </w:r>
    </w:p>
    <w:p>
      <w:pPr>
        <w:pStyle w:val="Compact"/>
      </w:pPr>
      <w:r>
        <w:t xml:space="preserve">Variable</w:t>
      </w:r>
    </w:p>
    <w:p>
      <w:pPr>
        <w:pStyle w:val="Compact"/>
      </w:pPr>
      <w:r>
        <w:t xml:space="preserve">Missing (N)</w:t>
      </w:r>
    </w:p>
    <w:p>
      <w:pPr>
        <w:pStyle w:val="Compact"/>
      </w:pPr>
      <w:r>
        <w:t xml:space="preserve">Missing (%)</w:t>
      </w:r>
    </w:p>
    <w:p>
      <w:pPr>
        <w:pStyle w:val="Compact"/>
      </w:pPr>
      <w:r>
        <w:t xml:space="preserve">Missing (N)</w:t>
      </w:r>
    </w:p>
    <w:p>
      <w:pPr>
        <w:pStyle w:val="Compact"/>
      </w:pPr>
      <w:r>
        <w:t xml:space="preserve">Missing (%)</w:t>
      </w:r>
    </w:p>
    <w:p>
      <w:pPr>
        <w:pStyle w:val="Compact"/>
      </w:pPr>
      <w:r>
        <w:t xml:space="preserve">natquintile</w:t>
      </w:r>
    </w:p>
    <w:p>
      <w:pPr>
        <w:pStyle w:val="Compact"/>
      </w:pPr>
      <w:r>
        <w:t xml:space="preserve">63175</w:t>
      </w:r>
    </w:p>
    <w:p>
      <w:pPr>
        <w:pStyle w:val="Compact"/>
      </w:pPr>
      <w:r>
        <w:t xml:space="preserve">100.0</w:t>
      </w:r>
    </w:p>
    <w:p>
      <w:pPr>
        <w:pStyle w:val="Compact"/>
      </w:pPr>
      <w:r>
        <w:t xml:space="preserve">8120</w:t>
      </w:r>
    </w:p>
    <w:p>
      <w:pPr>
        <w:pStyle w:val="Compact"/>
      </w:pPr>
      <w:r>
        <w:t xml:space="preserve">15.7</w:t>
      </w:r>
    </w:p>
    <w:p>
      <w:pPr>
        <w:pStyle w:val="Compact"/>
      </w:pPr>
      <w:r>
        <w:t xml:space="preserve">bcgvaccyr</w:t>
      </w:r>
    </w:p>
    <w:p>
      <w:pPr>
        <w:pStyle w:val="Compact"/>
      </w:pPr>
      <w:r>
        <w:t xml:space="preserve">62479</w:t>
      </w:r>
    </w:p>
    <w:p>
      <w:pPr>
        <w:pStyle w:val="Compact"/>
      </w:pPr>
      <w:r>
        <w:t xml:space="preserve">98.9</w:t>
      </w:r>
    </w:p>
    <w:p>
      <w:pPr>
        <w:pStyle w:val="Compact"/>
      </w:pPr>
      <w:r>
        <w:t xml:space="preserve">31421</w:t>
      </w:r>
    </w:p>
    <w:p>
      <w:pPr>
        <w:pStyle w:val="Compact"/>
      </w:pPr>
      <w:r>
        <w:t xml:space="preserve">60.8</w:t>
      </w:r>
    </w:p>
    <w:p>
      <w:pPr>
        <w:pStyle w:val="Compact"/>
      </w:pPr>
      <w:r>
        <w:t xml:space="preserve">bcgvacc</w:t>
      </w:r>
    </w:p>
    <w:p>
      <w:pPr>
        <w:pStyle w:val="Compact"/>
      </w:pPr>
      <w:r>
        <w:t xml:space="preserve">61916</w:t>
      </w:r>
    </w:p>
    <w:p>
      <w:pPr>
        <w:pStyle w:val="Compact"/>
      </w:pPr>
      <w:r>
        <w:t xml:space="preserve">98.0</w:t>
      </w:r>
    </w:p>
    <w:p>
      <w:pPr>
        <w:pStyle w:val="Compact"/>
      </w:pPr>
      <w:r>
        <w:t xml:space="preserve">17133</w:t>
      </w:r>
    </w:p>
    <w:p>
      <w:pPr>
        <w:pStyle w:val="Compact"/>
      </w:pPr>
      <w:r>
        <w:t xml:space="preserve">33.2</w:t>
      </w:r>
    </w:p>
    <w:p>
      <w:pPr>
        <w:pStyle w:val="Compact"/>
      </w:pPr>
      <w:r>
        <w:t xml:space="preserve">datediag</w:t>
      </w:r>
    </w:p>
    <w:p>
      <w:pPr>
        <w:pStyle w:val="Compact"/>
      </w:pPr>
      <w:r>
        <w:t xml:space="preserve">45557</w:t>
      </w:r>
    </w:p>
    <w:p>
      <w:pPr>
        <w:pStyle w:val="Compact"/>
      </w:pPr>
      <w:r>
        <w:t xml:space="preserve">72.1</w:t>
      </w:r>
    </w:p>
    <w:p>
      <w:pPr>
        <w:pStyle w:val="Compact"/>
      </w:pPr>
      <w:r>
        <w:t xml:space="preserve">10303</w:t>
      </w:r>
    </w:p>
    <w:p>
      <w:pPr>
        <w:pStyle w:val="Compact"/>
      </w:pPr>
      <w:r>
        <w:t xml:space="preserve">19.9</w:t>
      </w:r>
    </w:p>
    <w:p>
      <w:pPr>
        <w:pStyle w:val="Compact"/>
      </w:pPr>
      <w:r>
        <w:t xml:space="preserve">sputsmear</w:t>
      </w:r>
    </w:p>
    <w:p>
      <w:pPr>
        <w:pStyle w:val="Compact"/>
      </w:pPr>
      <w:r>
        <w:t xml:space="preserve">32912</w:t>
      </w:r>
    </w:p>
    <w:p>
      <w:pPr>
        <w:pStyle w:val="Compact"/>
      </w:pPr>
      <w:r>
        <w:t xml:space="preserve">52.1</w:t>
      </w:r>
    </w:p>
    <w:p>
      <w:pPr>
        <w:pStyle w:val="Compact"/>
      </w:pPr>
      <w:r>
        <w:t xml:space="preserve">32094</w:t>
      </w:r>
    </w:p>
    <w:p>
      <w:pPr>
        <w:pStyle w:val="Compact"/>
      </w:pPr>
      <w:r>
        <w:t xml:space="preserve">62.1</w:t>
      </w:r>
    </w:p>
    <w:p>
      <w:pPr>
        <w:pStyle w:val="Compact"/>
      </w:pPr>
      <w:r>
        <w:t xml:space="preserve">timesinceent</w:t>
      </w:r>
    </w:p>
    <w:p>
      <w:pPr>
        <w:pStyle w:val="Compact"/>
      </w:pPr>
      <w:r>
        <w:t xml:space="preserve">29084</w:t>
      </w:r>
    </w:p>
    <w:p>
      <w:pPr>
        <w:pStyle w:val="Compact"/>
      </w:pPr>
      <w:r>
        <w:t xml:space="preserve">46.0</w:t>
      </w:r>
    </w:p>
    <w:p>
      <w:pPr>
        <w:pStyle w:val="Compact"/>
      </w:pPr>
      <w:r>
        <w:t xml:space="preserve">18670</w:t>
      </w:r>
    </w:p>
    <w:p>
      <w:pPr>
        <w:pStyle w:val="Compact"/>
      </w:pPr>
      <w:r>
        <w:t xml:space="preserve">36.2</w:t>
      </w:r>
    </w:p>
    <w:p>
      <w:pPr>
        <w:pStyle w:val="Compact"/>
      </w:pPr>
      <w:r>
        <w:t xml:space="preserve">anyres</w:t>
      </w:r>
    </w:p>
    <w:p>
      <w:pPr>
        <w:pStyle w:val="Compact"/>
      </w:pPr>
      <w:r>
        <w:t xml:space="preserve">27485</w:t>
      </w:r>
    </w:p>
    <w:p>
      <w:pPr>
        <w:pStyle w:val="Compact"/>
      </w:pPr>
      <w:r>
        <w:t xml:space="preserve">43.5</w:t>
      </w:r>
    </w:p>
    <w:p>
      <w:pPr>
        <w:pStyle w:val="Compact"/>
      </w:pPr>
      <w:r>
        <w:t xml:space="preserve">20995</w:t>
      </w:r>
    </w:p>
    <w:p>
      <w:pPr>
        <w:pStyle w:val="Compact"/>
      </w:pPr>
      <w:r>
        <w:t xml:space="preserve">40.7</w:t>
      </w:r>
    </w:p>
    <w:p>
      <w:pPr>
        <w:pStyle w:val="Compact"/>
      </w:pPr>
      <w:r>
        <w:t xml:space="preserve">occat</w:t>
      </w:r>
    </w:p>
    <w:p>
      <w:pPr>
        <w:pStyle w:val="Compact"/>
      </w:pPr>
      <w:r>
        <w:t xml:space="preserve">24870</w:t>
      </w:r>
    </w:p>
    <w:p>
      <w:pPr>
        <w:pStyle w:val="Compact"/>
      </w:pPr>
      <w:r>
        <w:t xml:space="preserve">39.4</w:t>
      </w:r>
    </w:p>
    <w:p>
      <w:pPr>
        <w:pStyle w:val="Compact"/>
      </w:pPr>
      <w:r>
        <w:t xml:space="preserve">5513</w:t>
      </w:r>
    </w:p>
    <w:p>
      <w:pPr>
        <w:pStyle w:val="Compact"/>
      </w:pPr>
      <w:r>
        <w:t xml:space="preserve">10.7</w:t>
      </w:r>
    </w:p>
    <w:p>
      <w:pPr>
        <w:pStyle w:val="Compact"/>
      </w:pPr>
      <w:r>
        <w:t xml:space="preserve">symptonset</w:t>
      </w:r>
    </w:p>
    <w:p>
      <w:pPr>
        <w:pStyle w:val="Compact"/>
      </w:pPr>
      <w:r>
        <w:t xml:space="preserve">23937</w:t>
      </w:r>
    </w:p>
    <w:p>
      <w:pPr>
        <w:pStyle w:val="Compact"/>
      </w:pPr>
      <w:r>
        <w:t xml:space="preserve">37.9</w:t>
      </w:r>
    </w:p>
    <w:p>
      <w:pPr>
        <w:pStyle w:val="Compact"/>
      </w:pPr>
      <w:r>
        <w:t xml:space="preserve">12829</w:t>
      </w:r>
    </w:p>
    <w:p>
      <w:pPr>
        <w:pStyle w:val="Compact"/>
      </w:pPr>
      <w:r>
        <w:t xml:space="preserve">24.8</w:t>
      </w:r>
    </w:p>
    <w:p>
      <w:pPr>
        <w:pStyle w:val="Compact"/>
      </w:pPr>
      <w:r>
        <w:t xml:space="preserve">txenddate</w:t>
      </w:r>
    </w:p>
    <w:p>
      <w:pPr>
        <w:pStyle w:val="Compact"/>
      </w:pPr>
      <w:r>
        <w:t xml:space="preserve">18711</w:t>
      </w:r>
    </w:p>
    <w:p>
      <w:pPr>
        <w:pStyle w:val="Compact"/>
      </w:pPr>
      <w:r>
        <w:t xml:space="preserve">29.6</w:t>
      </w:r>
    </w:p>
    <w:p>
      <w:pPr>
        <w:pStyle w:val="Compact"/>
      </w:pPr>
      <w:r>
        <w:t xml:space="preserve">1137</w:t>
      </w:r>
    </w:p>
    <w:p>
      <w:pPr>
        <w:pStyle w:val="Compact"/>
      </w:pPr>
      <w:r>
        <w:t xml:space="preserve">2.2</w:t>
      </w:r>
    </w:p>
    <w:p>
      <w:pPr>
        <w:pStyle w:val="Compact"/>
      </w:pPr>
      <w:r>
        <w:t xml:space="preserve">prevdiag</w:t>
      </w:r>
    </w:p>
    <w:p>
      <w:pPr>
        <w:pStyle w:val="Compact"/>
      </w:pPr>
      <w:r>
        <w:t xml:space="preserve">13204</w:t>
      </w:r>
    </w:p>
    <w:p>
      <w:pPr>
        <w:pStyle w:val="Compact"/>
      </w:pPr>
      <w:r>
        <w:t xml:space="preserve">20.9</w:t>
      </w:r>
    </w:p>
    <w:p>
      <w:pPr>
        <w:pStyle w:val="Compact"/>
      </w:pPr>
      <w:r>
        <w:t xml:space="preserve">3148</w:t>
      </w:r>
    </w:p>
    <w:p>
      <w:pPr>
        <w:pStyle w:val="Compact"/>
      </w:pPr>
      <w:r>
        <w:t xml:space="preserve">6.1</w:t>
      </w:r>
    </w:p>
    <w:p>
      <w:pPr>
        <w:pStyle w:val="Compact"/>
      </w:pPr>
      <w:r>
        <w:t xml:space="preserve">starttreatdate</w:t>
      </w:r>
    </w:p>
    <w:p>
      <w:pPr>
        <w:pStyle w:val="Compact"/>
      </w:pPr>
      <w:r>
        <w:t xml:space="preserve">9151</w:t>
      </w:r>
    </w:p>
    <w:p>
      <w:pPr>
        <w:pStyle w:val="Compact"/>
      </w:pPr>
      <w:r>
        <w:t xml:space="preserve">14.5</w:t>
      </w:r>
    </w:p>
    <w:p>
      <w:pPr>
        <w:pStyle w:val="Compact"/>
      </w:pPr>
      <w:r>
        <w:t xml:space="preserve">2127</w:t>
      </w:r>
    </w:p>
    <w:p>
      <w:pPr>
        <w:pStyle w:val="Compact"/>
      </w:pPr>
      <w:r>
        <w:t xml:space="preserve">4.1</w:t>
      </w:r>
    </w:p>
    <w:p>
      <w:pPr>
        <w:pStyle w:val="Compact"/>
      </w:pPr>
      <w:r>
        <w:t xml:space="preserve">tomdeathrelat</w:t>
      </w:r>
    </w:p>
    <w:p>
      <w:pPr>
        <w:pStyle w:val="Compact"/>
      </w:pPr>
      <w:r>
        <w:t xml:space="preserve">7539</w:t>
      </w:r>
    </w:p>
    <w:p>
      <w:pPr>
        <w:pStyle w:val="Compact"/>
      </w:pPr>
      <w:r>
        <w:t xml:space="preserve">11.9</w:t>
      </w:r>
    </w:p>
    <w:p>
      <w:pPr>
        <w:pStyle w:val="Compact"/>
      </w:pPr>
      <w:r>
        <w:t xml:space="preserve">1191</w:t>
      </w:r>
    </w:p>
    <w:p>
      <w:pPr>
        <w:pStyle w:val="Compact"/>
      </w:pPr>
      <w:r>
        <w:t xml:space="preserve">2.3</w:t>
      </w:r>
    </w:p>
    <w:p>
      <w:pPr>
        <w:pStyle w:val="Compact"/>
      </w:pPr>
      <w:r>
        <w:t xml:space="preserve">ukborn</w:t>
      </w:r>
    </w:p>
    <w:p>
      <w:pPr>
        <w:pStyle w:val="Compact"/>
      </w:pPr>
      <w:r>
        <w:t xml:space="preserve">6230</w:t>
      </w:r>
    </w:p>
    <w:p>
      <w:pPr>
        <w:pStyle w:val="Compact"/>
      </w:pPr>
      <w:r>
        <w:t xml:space="preserve">9.9</w:t>
      </w:r>
    </w:p>
    <w:p>
      <w:pPr>
        <w:pStyle w:val="Compact"/>
      </w:pPr>
      <w:r>
        <w:t xml:space="preserve">1825</w:t>
      </w:r>
    </w:p>
    <w:p>
      <w:pPr>
        <w:pStyle w:val="Compact"/>
      </w:pPr>
      <w:r>
        <w:t xml:space="preserve">3.5</w:t>
      </w:r>
    </w:p>
    <w:p>
      <w:pPr>
        <w:pStyle w:val="Compact"/>
      </w:pPr>
      <w:r>
        <w:t xml:space="preserve">overalloutcome</w:t>
      </w:r>
    </w:p>
    <w:p>
      <w:pPr>
        <w:pStyle w:val="Compact"/>
      </w:pPr>
      <w:r>
        <w:t xml:space="preserve">6044</w:t>
      </w:r>
    </w:p>
    <w:p>
      <w:pPr>
        <w:pStyle w:val="Compact"/>
      </w:pPr>
      <w:r>
        <w:t xml:space="preserve">9.6</w:t>
      </w:r>
    </w:p>
    <w:p>
      <w:pPr>
        <w:pStyle w:val="Compact"/>
      </w:pPr>
      <w:r>
        <w:t xml:space="preserve">0</w:t>
      </w:r>
    </w:p>
    <w:p>
      <w:pPr>
        <w:pStyle w:val="Compact"/>
      </w:pPr>
      <w:r>
        <w:t xml:space="preserve">0.0</w:t>
      </w:r>
    </w:p>
    <w:p>
      <w:pPr>
        <w:pStyle w:val="Compact"/>
      </w:pPr>
      <w:r>
        <w:t xml:space="preserve">startedtreat</w:t>
      </w:r>
    </w:p>
    <w:p>
      <w:pPr>
        <w:pStyle w:val="Compact"/>
      </w:pPr>
      <w:r>
        <w:t xml:space="preserve">4242</w:t>
      </w:r>
    </w:p>
    <w:p>
      <w:pPr>
        <w:pStyle w:val="Compact"/>
      </w:pPr>
      <w:r>
        <w:t xml:space="preserve">6.7</w:t>
      </w:r>
    </w:p>
    <w:p>
      <w:pPr>
        <w:pStyle w:val="Compact"/>
      </w:pPr>
      <w:r>
        <w:t xml:space="preserve">602</w:t>
      </w:r>
    </w:p>
    <w:p>
      <w:pPr>
        <w:pStyle w:val="Compact"/>
      </w:pPr>
      <w:r>
        <w:t xml:space="preserve">1.2</w:t>
      </w:r>
    </w:p>
    <w:p>
      <w:pPr>
        <w:pStyle w:val="Compact"/>
      </w:pPr>
      <w:r>
        <w:t xml:space="preserve">ethgrp</w:t>
      </w:r>
    </w:p>
    <w:p>
      <w:pPr>
        <w:pStyle w:val="Compact"/>
      </w:pPr>
      <w:r>
        <w:t xml:space="preserve">2811</w:t>
      </w:r>
    </w:p>
    <w:p>
      <w:pPr>
        <w:pStyle w:val="Compact"/>
      </w:pPr>
      <w:r>
        <w:t xml:space="preserve">4.4</w:t>
      </w:r>
    </w:p>
    <w:p>
      <w:pPr>
        <w:pStyle w:val="Compact"/>
      </w:pPr>
      <w:r>
        <w:t xml:space="preserve">1229</w:t>
      </w:r>
    </w:p>
    <w:p>
      <w:pPr>
        <w:pStyle w:val="Compact"/>
      </w:pPr>
      <w:r>
        <w:t xml:space="preserve">2.4</w:t>
      </w:r>
    </w:p>
    <w:p>
      <w:pPr>
        <w:pStyle w:val="Compact"/>
      </w:pPr>
      <w:r>
        <w:t xml:space="preserve">dateofdeath</w:t>
      </w:r>
    </w:p>
    <w:p>
      <w:pPr>
        <w:pStyle w:val="Compact"/>
      </w:pPr>
      <w:r>
        <w:t xml:space="preserve">1235</w:t>
      </w:r>
    </w:p>
    <w:p>
      <w:pPr>
        <w:pStyle w:val="Compact"/>
      </w:pPr>
      <w:r>
        <w:t xml:space="preserve">2.0</w:t>
      </w:r>
    </w:p>
    <w:p>
      <w:pPr>
        <w:pStyle w:val="Compact"/>
      </w:pPr>
      <w:r>
        <w:t xml:space="preserve">357</w:t>
      </w:r>
    </w:p>
    <w:p>
      <w:pPr>
        <w:pStyle w:val="Compact"/>
      </w:pPr>
      <w:r>
        <w:t xml:space="preserve">0.7</w:t>
      </w:r>
    </w:p>
    <w:p>
      <w:pPr>
        <w:pStyle w:val="Compact"/>
      </w:pPr>
      <w:r>
        <w:t xml:space="preserve">pulmextrapulm</w:t>
      </w:r>
    </w:p>
    <w:p>
      <w:pPr>
        <w:pStyle w:val="Compact"/>
      </w:pPr>
      <w:r>
        <w:t xml:space="preserve">177</w:t>
      </w:r>
    </w:p>
    <w:p>
      <w:pPr>
        <w:pStyle w:val="Compact"/>
      </w:pPr>
      <w:r>
        <w:t xml:space="preserve">0.3</w:t>
      </w:r>
    </w:p>
    <w:p>
      <w:pPr>
        <w:pStyle w:val="Compact"/>
      </w:pPr>
      <w:r>
        <w:t xml:space="preserve">213</w:t>
      </w:r>
    </w:p>
    <w:p>
      <w:pPr>
        <w:pStyle w:val="Compact"/>
      </w:pPr>
      <w:r>
        <w:t xml:space="preserve">0.4</w:t>
      </w:r>
    </w:p>
    <w:p>
      <w:pPr>
        <w:pStyle w:val="Compact"/>
      </w:pPr>
      <w:r>
        <w:t xml:space="preserve">sex</w:t>
      </w:r>
    </w:p>
    <w:p>
      <w:pPr>
        <w:pStyle w:val="Compact"/>
      </w:pPr>
      <w:r>
        <w:t xml:space="preserve">101</w:t>
      </w:r>
    </w:p>
    <w:p>
      <w:pPr>
        <w:pStyle w:val="Compact"/>
      </w:pPr>
      <w:r>
        <w:t xml:space="preserve">0.2</w:t>
      </w:r>
    </w:p>
    <w:p>
      <w:pPr>
        <w:pStyle w:val="Compact"/>
      </w:pPr>
      <w:r>
        <w:t xml:space="preserve">110</w:t>
      </w:r>
    </w:p>
    <w:p>
      <w:pPr>
        <w:pStyle w:val="Compact"/>
      </w:pPr>
      <w:r>
        <w:t xml:space="preserve">0.2</w:t>
      </w:r>
    </w:p>
    <w:p>
      <w:pPr>
        <w:pStyle w:val="Compact"/>
      </w:pPr>
      <w:r>
        <w:t xml:space="preserve">phec</w:t>
      </w:r>
    </w:p>
    <w:p>
      <w:pPr>
        <w:pStyle w:val="Compact"/>
      </w:pPr>
      <w:r>
        <w:t xml:space="preserve">32</w:t>
      </w:r>
    </w:p>
    <w:p>
      <w:pPr>
        <w:pStyle w:val="Compact"/>
      </w:pPr>
      <w:r>
        <w:t xml:space="preserve">0.1</w:t>
      </w:r>
    </w:p>
    <w:p>
      <w:pPr>
        <w:pStyle w:val="Compact"/>
      </w:pPr>
      <w:r>
        <w:t xml:space="preserve">0</w:t>
      </w:r>
    </w:p>
    <w:p>
      <w:pPr>
        <w:pStyle w:val="Compact"/>
      </w:pPr>
      <w:r>
        <w:t xml:space="preserve">0.0</w:t>
      </w:r>
    </w:p>
    <w:p>
      <w:pPr>
        <w:pStyle w:val="Compact"/>
      </w:pPr>
      <w:r>
        <w:t xml:space="preserve">age</w:t>
      </w:r>
    </w:p>
    <w:p>
      <w:pPr>
        <w:pStyle w:val="Compact"/>
      </w:pPr>
      <w:r>
        <w:t xml:space="preserve">25</w:t>
      </w:r>
    </w:p>
    <w:p>
      <w:pPr>
        <w:pStyle w:val="Compact"/>
      </w:pPr>
      <w:r>
        <w:t xml:space="preserve">0.0</w:t>
      </w:r>
    </w:p>
    <w:p>
      <w:pPr>
        <w:pStyle w:val="Compact"/>
      </w:pPr>
      <w:r>
        <w:t xml:space="preserve">0</w:t>
      </w:r>
    </w:p>
    <w:p>
      <w:pPr>
        <w:pStyle w:val="Compact"/>
      </w:pPr>
      <w:r>
        <w:t xml:space="preserve">0.0</w:t>
      </w:r>
    </w:p>
    <w:p>
      <w:pPr>
        <w:pStyle w:val="Compact"/>
      </w:pPr>
      <w:r>
        <w:t xml:space="preserve">caserepdate</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Compact"/>
      </w:pPr>
      <w:r>
        <w:t xml:space="preserve">year</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Compact"/>
      </w:pPr>
      <w:r>
        <w:t xml:space="preserve">culture</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BodyText"/>
      </w:pPr>
      <w:r>
        <w:t xml:space="preserve">For nested variables with rare outcomes assuming the top level variable value can mask the underlying amount of missing data. An alternative approach is to filter the data for the top level variable required for the nested variable to be defined and to then compute the proportion of these notifications that are missing data for the outcome of interest. For the date of starting treatment this approach leads to an estimate of 5.9% (6434/108410) being missing, which is more complete than previously estimated. For cases that are known to have completed treatment 16.5% (13804/83891) are missing a date for the end of treatment. In notifications that are known to have died, 26.6% (1592/5976) were missing the date of death and 44.9% (2686/5976) were missing the cause of death. In any analysis where these variables are used the missing data for these variables will need to be carefully adjusted for. In particular, if cause of death is used it must be clearly stated that it is highly missing and results based on this variable should be properly caveated.</w:t>
      </w:r>
    </w:p>
    <w:p>
      <w:pPr>
        <w:pStyle w:val="Heading4"/>
      </w:pPr>
      <w:bookmarkStart w:id="39" w:name="drivers-of-variable-completeness"/>
      <w:r>
        <w:t xml:space="preserve">Drivers of Variable completeness</w:t>
      </w:r>
      <w:bookmarkEnd w:id="39"/>
    </w:p>
    <w:p>
      <w:pPr>
        <w:pStyle w:val="FirstParagraph"/>
      </w:pPr>
      <w:r>
        <w:t xml:space="preserve">Missing data may be MAR or MNAR, which may introduce biases into any analyses based on these data. This is of particular importance for variables that have high levels of missingness, as any introduced bias is likely to have a greater impact on the overall results, and for variables that are used extensively in analyses later in this thesis. Unfortunately MNAR data cannot be detected, so bias from this source cannot be discounted. However, it is possible to detect potential MAR mechanisms from observed variables that would not necessarily be included in a model used for analysis. Although these associations may themselves be caused by an external factor. In the following section I explore variables associated with data being missing for several key variables including: BCG status, year of BCG vaccination, date of death, cause of death, date of symptom onset, date of diagnosis, date of starting treatment and date of ending treatment. All of these variables were shown to have high levels of missing data in the previous section and they will all be used extensively throughout this thesis.</w:t>
      </w:r>
    </w:p>
    <w:p>
      <w:pPr>
        <w:pStyle w:val="BodyText"/>
      </w:pPr>
      <w:r>
        <w:t xml:space="preserve">In order to explore the drivers of missing data I have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Unlike classic approaches to missing data, such as multiple imputation by chained regression (MICE),</w:t>
      </w:r>
      <w:r>
        <w:t xml:space="preserve">[10]</w:t>
      </w:r>
      <w:r>
        <w:t xml:space="preserve"> </w:t>
      </w:r>
      <w:r>
        <w:t xml:space="preserve">this is not an imputation. The details of the approach are discussed below.</w:t>
      </w:r>
    </w:p>
    <w:p>
      <w:pPr>
        <w:pStyle w:val="Heading5"/>
      </w:pPr>
      <w:bookmarkStart w:id="40" w:name="statistical-analysis"/>
      <w:r>
        <w:t xml:space="preserve">Statistical analysis</w:t>
      </w:r>
      <w:bookmarkEnd w:id="40"/>
    </w:p>
    <w:p>
      <w:pPr>
        <w:pStyle w:val="FirstParagraph"/>
      </w:pPr>
      <w:r>
        <w:t xml:space="preserve">In order to reformulate missing data as a logistic regression we took the following steps:</w:t>
      </w:r>
    </w:p>
    <w:p>
      <w:pPr>
        <w:numPr>
          <w:numId w:val="1001"/>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1"/>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1"/>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1"/>
          <w:ilvl w:val="0"/>
        </w:numPr>
      </w:pPr>
      <w:r>
        <w:t xml:space="preserve">Fit a logistic regression model with the temporary data status variable as the outcome, adjusting for the hypothesised drivers of missingness.</w:t>
      </w:r>
    </w:p>
    <w:p>
      <w:pPr>
        <w:numPr>
          <w:numId w:val="1001"/>
          <w:ilvl w:val="0"/>
        </w:numPr>
      </w:pPr>
      <w:r>
        <w:t xml:space="preserve">Exponentiate the returned coefficients, and confidence intervals so that they represent Odds Ratios (ORs).</w:t>
      </w:r>
    </w:p>
    <w:p>
      <w:pPr>
        <w:numPr>
          <w:numId w:val="1001"/>
          <w:ilvl w:val="0"/>
        </w:numPr>
      </w:pPr>
      <w:r>
        <w:t xml:space="preserve">Refit the model, dropping each variable in turn and then comparing the updated model with the full model using a likelihood ratio test.</w:t>
      </w:r>
    </w:p>
    <w:p>
      <w:pPr>
        <w:numPr>
          <w:numId w:val="1001"/>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[11]</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I adjusted for the same set of demographic variables that were both highly complete and also plausibly linked to missingness for all outcomes considered.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w:t>
      </w:r>
    </w:p>
    <w:p>
      <w:pPr>
        <w:pStyle w:val="Heading2"/>
      </w:pPr>
      <w:bookmarkStart w:id="41" w:name="patient-and-public-involvement"/>
      <w:r>
        <w:t xml:space="preserve">Patient and public involvement</w:t>
      </w:r>
      <w:bookmarkEnd w:id="41"/>
    </w:p>
    <w:p>
      <w:pPr>
        <w:pStyle w:val="FirstParagraph"/>
      </w:pPr>
      <w:r>
        <w:t xml:space="preserve">We did not involve patients or the public in the design or planning of this study.</w:t>
      </w:r>
    </w:p>
    <w:p>
      <w:pPr>
        <w:pStyle w:val="Heading1"/>
      </w:pPr>
      <w:bookmarkStart w:id="42" w:name="results"/>
      <w:r>
        <w:t xml:space="preserve">Results</w:t>
      </w:r>
      <w:bookmarkEnd w:id="42"/>
    </w:p>
    <w:p>
      <w:pPr>
        <w:pStyle w:val="Heading2"/>
      </w:pPr>
      <w:bookmarkStart w:id="43" w:name="bcg-status"/>
      <w:r>
        <w:t xml:space="preserve">BCG status</w:t>
      </w:r>
      <w:bookmarkEnd w:id="43"/>
    </w:p>
    <w:p>
      <w:pPr>
        <w:pStyle w:val="FirstParagraph"/>
      </w:pPr>
      <w:r>
        <w:t xml:space="preserve">It is clear that BCG status is missing with a MAR mechanism for the variables considered Table 3.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Compact"/>
      </w:pPr>
      <w:r>
        <w:t xml:space="preserve">Table 3: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31.3% (2235)</w:t>
      </w:r>
    </w:p>
    <w:p>
      <w:pPr>
        <w:pStyle w:val="Compact"/>
      </w:pPr>
      <w:r>
        <w:t xml:space="preserve">7143</w:t>
      </w:r>
    </w:p>
    <w:p>
      <w:pPr>
        <w:pStyle w:val="Compact"/>
      </w:pPr>
      <w:r>
        <w:t xml:space="preserve">1.27e-08</w:t>
      </w:r>
    </w:p>
    <w:p>
      <w:pPr>
        <w:pStyle w:val="Compact"/>
      </w:pPr>
      <w:r>
        <w:t xml:space="preserve">2011</w:t>
      </w:r>
    </w:p>
    <w:p>
      <w:pPr>
        <w:pStyle w:val="Compact"/>
      </w:pPr>
      <w:r>
        <w:t xml:space="preserve">29.8% (2319)</w:t>
      </w:r>
    </w:p>
    <w:p>
      <w:pPr>
        <w:pStyle w:val="Compact"/>
      </w:pPr>
      <w:r>
        <w:t xml:space="preserve">7781</w:t>
      </w:r>
    </w:p>
    <w:p>
      <w:pPr>
        <w:pStyle w:val="Compact"/>
      </w:pPr>
      <w:r>
        <w:t xml:space="preserve">0.93 (0.87, 1.00)</w:t>
      </w:r>
    </w:p>
    <w:p>
      <w:pPr>
        <w:pStyle w:val="Compact"/>
      </w:pPr>
      <w:r>
        <w:t xml:space="preserve">0.0606</w:t>
      </w:r>
    </w:p>
    <w:p>
      <w:pPr>
        <w:pStyle w:val="Compact"/>
      </w:pPr>
      <w:r>
        <w:t xml:space="preserve">2012</w:t>
      </w:r>
    </w:p>
    <w:p>
      <w:pPr>
        <w:pStyle w:val="Compact"/>
      </w:pPr>
      <w:r>
        <w:t xml:space="preserve">27.9% (2164)</w:t>
      </w:r>
    </w:p>
    <w:p>
      <w:pPr>
        <w:pStyle w:val="Compact"/>
      </w:pPr>
      <w:r>
        <w:t xml:space="preserve">7755</w:t>
      </w:r>
    </w:p>
    <w:p>
      <w:pPr>
        <w:pStyle w:val="Compact"/>
      </w:pPr>
      <w:r>
        <w:t xml:space="preserve">0.85 (0.79, 0.91)</w:t>
      </w:r>
    </w:p>
    <w:p>
      <w:pPr>
        <w:pStyle w:val="Compact"/>
      </w:pPr>
      <w:r>
        <w:t xml:space="preserve">6.32e-06</w:t>
      </w:r>
    </w:p>
    <w:p>
      <w:pPr>
        <w:pStyle w:val="Compact"/>
      </w:pPr>
      <w:r>
        <w:t xml:space="preserve">2013</w:t>
      </w:r>
    </w:p>
    <w:p>
      <w:pPr>
        <w:pStyle w:val="Compact"/>
      </w:pPr>
      <w:r>
        <w:t xml:space="preserve">27.1% (1907)</w:t>
      </w:r>
    </w:p>
    <w:p>
      <w:pPr>
        <w:pStyle w:val="Compact"/>
      </w:pPr>
      <w:r>
        <w:t xml:space="preserve">7034</w:t>
      </w:r>
    </w:p>
    <w:p>
      <w:pPr>
        <w:pStyle w:val="Compact"/>
      </w:pPr>
      <w:r>
        <w:t xml:space="preserve">0.79 (0.74, 0.86)</w:t>
      </w:r>
    </w:p>
    <w:p>
      <w:pPr>
        <w:pStyle w:val="Compact"/>
      </w:pPr>
      <w:r>
        <w:t xml:space="preserve">1.01e-09</w:t>
      </w:r>
    </w:p>
    <w:p>
      <w:pPr>
        <w:pStyle w:val="Compact"/>
      </w:pPr>
      <w:r>
        <w:t xml:space="preserve">2014</w:t>
      </w:r>
    </w:p>
    <w:p>
      <w:pPr>
        <w:pStyle w:val="Compact"/>
      </w:pPr>
      <w:r>
        <w:t xml:space="preserve">30.1% (1907)</w:t>
      </w:r>
    </w:p>
    <w:p>
      <w:pPr>
        <w:pStyle w:val="Compact"/>
      </w:pPr>
      <w:r>
        <w:t xml:space="preserve">6327</w:t>
      </w:r>
    </w:p>
    <w:p>
      <w:pPr>
        <w:pStyle w:val="Compact"/>
      </w:pPr>
      <w:r>
        <w:t xml:space="preserve">0.91 (0.85, 0.98)</w:t>
      </w:r>
    </w:p>
    <w:p>
      <w:pPr>
        <w:pStyle w:val="Compact"/>
      </w:pPr>
      <w:r>
        <w:t xml:space="preserve">0.017</w:t>
      </w:r>
    </w:p>
    <w:p>
      <w:pPr>
        <w:pStyle w:val="Compact"/>
      </w:pPr>
      <w:r>
        <w:t xml:space="preserve">2015</w:t>
      </w:r>
    </w:p>
    <w:p>
      <w:pPr>
        <w:pStyle w:val="Compact"/>
      </w:pPr>
      <w:r>
        <w:t xml:space="preserve">29.7% (1668)</w:t>
      </w:r>
    </w:p>
    <w:p>
      <w:pPr>
        <w:pStyle w:val="Compact"/>
      </w:pPr>
      <w:r>
        <w:t xml:space="preserve">5619</w:t>
      </w:r>
    </w:p>
    <w:p>
      <w:pPr>
        <w:pStyle w:val="Compact"/>
      </w:pPr>
      <w:r>
        <w:t xml:space="preserve">0.89 (0.82, 0.96)</w:t>
      </w:r>
    </w:p>
    <w:p>
      <w:pPr>
        <w:pStyle w:val="Compact"/>
      </w:pPr>
      <w:r>
        <w:t xml:space="preserve">0.00348</w:t>
      </w:r>
    </w:p>
    <w:p>
      <w:pPr>
        <w:pStyle w:val="Compact"/>
      </w:pPr>
      <w:r>
        <w:t xml:space="preserve">Sex</w:t>
      </w:r>
    </w:p>
    <w:p>
      <w:pPr>
        <w:pStyle w:val="Compact"/>
      </w:pPr>
      <w:r>
        <w:t xml:space="preserve">Female</w:t>
      </w:r>
    </w:p>
    <w:p>
      <w:pPr>
        <w:pStyle w:val="Compact"/>
      </w:pPr>
      <w:r>
        <w:t xml:space="preserve">27.4% (4847)</w:t>
      </w:r>
    </w:p>
    <w:p>
      <w:pPr>
        <w:pStyle w:val="Compact"/>
      </w:pPr>
      <w:r>
        <w:t xml:space="preserve">17664</w:t>
      </w:r>
    </w:p>
    <w:p>
      <w:pPr>
        <w:pStyle w:val="Compact"/>
      </w:pPr>
      <w:r>
        <w:t xml:space="preserve">8.74e-11</w:t>
      </w:r>
    </w:p>
    <w:p>
      <w:pPr>
        <w:pStyle w:val="Compact"/>
      </w:pPr>
      <w:r>
        <w:t xml:space="preserve">Male</w:t>
      </w:r>
    </w:p>
    <w:p>
      <w:pPr>
        <w:pStyle w:val="Compact"/>
      </w:pPr>
      <w:r>
        <w:t xml:space="preserve">30.6% (7353)</w:t>
      </w:r>
    </w:p>
    <w:p>
      <w:pPr>
        <w:pStyle w:val="Compact"/>
      </w:pPr>
      <w:r>
        <w:t xml:space="preserve">23995</w:t>
      </w:r>
    </w:p>
    <w:p>
      <w:pPr>
        <w:pStyle w:val="Compact"/>
      </w:pPr>
      <w:r>
        <w:t xml:space="preserve">1.16 (1.11, 1.21)</w:t>
      </w:r>
    </w:p>
    <w:p>
      <w:pPr>
        <w:pStyle w:val="Compact"/>
      </w:pPr>
      <w:r>
        <w:t xml:space="preserve">9.49e-11</w:t>
      </w:r>
    </w:p>
    <w:p>
      <w:pPr>
        <w:pStyle w:val="Compact"/>
      </w:pPr>
      <w:r>
        <w:t xml:space="preserve">Age</w:t>
      </w:r>
    </w:p>
    <w:p>
      <w:pPr>
        <w:pStyle w:val="Compact"/>
      </w:pPr>
      <w:r>
        <w:t xml:space="preserve">0-14</w:t>
      </w:r>
    </w:p>
    <w:p>
      <w:pPr>
        <w:pStyle w:val="Compact"/>
      </w:pPr>
      <w:r>
        <w:t xml:space="preserve">13.1% (235)</w:t>
      </w:r>
    </w:p>
    <w:p>
      <w:pPr>
        <w:pStyle w:val="Compact"/>
      </w:pPr>
      <w:r>
        <w:t xml:space="preserve">1793</w:t>
      </w:r>
    </w:p>
    <w:p>
      <w:pPr>
        <w:pStyle w:val="Compact"/>
      </w:pPr>
      <w:r>
        <w:t xml:space="preserve">1.67e-157</w:t>
      </w:r>
    </w:p>
    <w:p>
      <w:pPr>
        <w:pStyle w:val="Compact"/>
      </w:pPr>
      <w:r>
        <w:t xml:space="preserve">15-44</w:t>
      </w:r>
    </w:p>
    <w:p>
      <w:pPr>
        <w:pStyle w:val="Compact"/>
      </w:pPr>
      <w:r>
        <w:t xml:space="preserve">26.0% (6557)</w:t>
      </w:r>
    </w:p>
    <w:p>
      <w:pPr>
        <w:pStyle w:val="Compact"/>
      </w:pPr>
      <w:r>
        <w:t xml:space="preserve">25235</w:t>
      </w:r>
    </w:p>
    <w:p>
      <w:pPr>
        <w:pStyle w:val="Compact"/>
      </w:pPr>
      <w:r>
        <w:t xml:space="preserve">2.10 (1.82, 2.43)</w:t>
      </w:r>
    </w:p>
    <w:p>
      <w:pPr>
        <w:pStyle w:val="Compact"/>
      </w:pPr>
      <w:r>
        <w:t xml:space="preserve">5.83e-24</w:t>
      </w:r>
    </w:p>
    <w:p>
      <w:pPr>
        <w:pStyle w:val="Compact"/>
      </w:pPr>
      <w:r>
        <w:t xml:space="preserve">45-64</w:t>
      </w:r>
    </w:p>
    <w:p>
      <w:pPr>
        <w:pStyle w:val="Compact"/>
      </w:pPr>
      <w:r>
        <w:t xml:space="preserve">32.8% (2964)</w:t>
      </w:r>
    </w:p>
    <w:p>
      <w:pPr>
        <w:pStyle w:val="Compact"/>
      </w:pPr>
      <w:r>
        <w:t xml:space="preserve">9026</w:t>
      </w:r>
    </w:p>
    <w:p>
      <w:pPr>
        <w:pStyle w:val="Compact"/>
      </w:pPr>
      <w:r>
        <w:t xml:space="preserve">2.84 (2.45, 3.30)</w:t>
      </w:r>
    </w:p>
    <w:p>
      <w:pPr>
        <w:pStyle w:val="Compact"/>
      </w:pPr>
      <w:r>
        <w:t xml:space="preserve">3.16e-43</w:t>
      </w:r>
    </w:p>
    <w:p>
      <w:pPr>
        <w:pStyle w:val="Compact"/>
      </w:pPr>
      <w:r>
        <w:t xml:space="preserve">65+</w:t>
      </w:r>
    </w:p>
    <w:p>
      <w:pPr>
        <w:pStyle w:val="Compact"/>
      </w:pPr>
      <w:r>
        <w:t xml:space="preserve">43.6% (2444)</w:t>
      </w:r>
    </w:p>
    <w:p>
      <w:pPr>
        <w:pStyle w:val="Compact"/>
      </w:pPr>
      <w:r>
        <w:t xml:space="preserve">5605</w:t>
      </w:r>
    </w:p>
    <w:p>
      <w:pPr>
        <w:pStyle w:val="Compact"/>
      </w:pPr>
      <w:r>
        <w:t xml:space="preserve">4.42 (3.80, 5.15)</w:t>
      </w:r>
    </w:p>
    <w:p>
      <w:pPr>
        <w:pStyle w:val="Compact"/>
      </w:pPr>
      <w:r>
        <w:t xml:space="preserve">1.43e-81</w:t>
      </w:r>
    </w:p>
    <w:p>
      <w:pPr>
        <w:pStyle w:val="Compact"/>
      </w:pPr>
      <w:r>
        <w:t xml:space="preserve">Ethnic group</w:t>
      </w:r>
    </w:p>
    <w:p>
      <w:pPr>
        <w:pStyle w:val="Compact"/>
      </w:pPr>
      <w:r>
        <w:t xml:space="preserve">White</w:t>
      </w:r>
    </w:p>
    <w:p>
      <w:pPr>
        <w:pStyle w:val="Compact"/>
      </w:pPr>
      <w:r>
        <w:t xml:space="preserve">35.4% (2959)</w:t>
      </w:r>
    </w:p>
    <w:p>
      <w:pPr>
        <w:pStyle w:val="Compact"/>
      </w:pPr>
      <w:r>
        <w:t xml:space="preserve">8359</w:t>
      </w:r>
    </w:p>
    <w:p>
      <w:pPr>
        <w:pStyle w:val="Compact"/>
      </w:pPr>
      <w:r>
        <w:t xml:space="preserve">2.15e-41</w:t>
      </w:r>
    </w:p>
    <w:p>
      <w:pPr>
        <w:pStyle w:val="Compact"/>
      </w:pPr>
      <w:r>
        <w:t xml:space="preserve">Black-Caribbean</w:t>
      </w:r>
    </w:p>
    <w:p>
      <w:pPr>
        <w:pStyle w:val="Compact"/>
      </w:pPr>
      <w:r>
        <w:t xml:space="preserve">24.6% (228)</w:t>
      </w:r>
    </w:p>
    <w:p>
      <w:pPr>
        <w:pStyle w:val="Compact"/>
      </w:pPr>
      <w:r>
        <w:t xml:space="preserve">928</w:t>
      </w:r>
    </w:p>
    <w:p>
      <w:pPr>
        <w:pStyle w:val="Compact"/>
      </w:pPr>
      <w:r>
        <w:t xml:space="preserve">0.62 (0.52, 0.72)</w:t>
      </w:r>
    </w:p>
    <w:p>
      <w:pPr>
        <w:pStyle w:val="Compact"/>
      </w:pPr>
      <w:r>
        <w:t xml:space="preserve">3.96e-09</w:t>
      </w:r>
    </w:p>
    <w:p>
      <w:pPr>
        <w:pStyle w:val="Compact"/>
      </w:pPr>
      <w:r>
        <w:t xml:space="preserve">Black-African</w:t>
      </w:r>
    </w:p>
    <w:p>
      <w:pPr>
        <w:pStyle w:val="Compact"/>
      </w:pPr>
      <w:r>
        <w:t xml:space="preserve">27.3% (1966)</w:t>
      </w:r>
    </w:p>
    <w:p>
      <w:pPr>
        <w:pStyle w:val="Compact"/>
      </w:pPr>
      <w:r>
        <w:t xml:space="preserve">7204</w:t>
      </w:r>
    </w:p>
    <w:p>
      <w:pPr>
        <w:pStyle w:val="Compact"/>
      </w:pPr>
      <w:r>
        <w:t xml:space="preserve">0.73 (0.67, 0.80)</w:t>
      </w:r>
    </w:p>
    <w:p>
      <w:pPr>
        <w:pStyle w:val="Compact"/>
      </w:pPr>
      <w:r>
        <w:t xml:space="preserve">1.34e-12</w:t>
      </w:r>
    </w:p>
    <w:p>
      <w:pPr>
        <w:pStyle w:val="Compact"/>
      </w:pPr>
      <w:r>
        <w:t xml:space="preserve">Black-Other</w:t>
      </w:r>
    </w:p>
    <w:p>
      <w:pPr>
        <w:pStyle w:val="Compact"/>
      </w:pPr>
      <w:r>
        <w:t xml:space="preserve">24.1% (89)</w:t>
      </w:r>
    </w:p>
    <w:p>
      <w:pPr>
        <w:pStyle w:val="Compact"/>
      </w:pPr>
      <w:r>
        <w:t xml:space="preserve">369</w:t>
      </w:r>
    </w:p>
    <w:p>
      <w:pPr>
        <w:pStyle w:val="Compact"/>
      </w:pPr>
      <w:r>
        <w:t xml:space="preserve">0.65 (0.51, 0.83)</w:t>
      </w:r>
    </w:p>
    <w:p>
      <w:pPr>
        <w:pStyle w:val="Compact"/>
      </w:pPr>
      <w:r>
        <w:t xml:space="preserve">0.000717</w:t>
      </w:r>
    </w:p>
    <w:p>
      <w:pPr>
        <w:pStyle w:val="Compact"/>
      </w:pPr>
      <w:r>
        <w:t xml:space="preserve">Indian</w:t>
      </w:r>
    </w:p>
    <w:p>
      <w:pPr>
        <w:pStyle w:val="Compact"/>
      </w:pPr>
      <w:r>
        <w:t xml:space="preserve">25.9% (2805)</w:t>
      </w:r>
    </w:p>
    <w:p>
      <w:pPr>
        <w:pStyle w:val="Compact"/>
      </w:pPr>
      <w:r>
        <w:t xml:space="preserve">10848</w:t>
      </w:r>
    </w:p>
    <w:p>
      <w:pPr>
        <w:pStyle w:val="Compact"/>
      </w:pPr>
      <w:r>
        <w:t xml:space="preserve">0.62 (0.58, 0.68)</w:t>
      </w:r>
    </w:p>
    <w:p>
      <w:pPr>
        <w:pStyle w:val="Compact"/>
      </w:pPr>
      <w:r>
        <w:t xml:space="preserve">5.2e-31</w:t>
      </w:r>
    </w:p>
    <w:p>
      <w:pPr>
        <w:pStyle w:val="Compact"/>
      </w:pPr>
      <w:r>
        <w:t xml:space="preserve">Pakistani</w:t>
      </w:r>
    </w:p>
    <w:p>
      <w:pPr>
        <w:pStyle w:val="Compact"/>
      </w:pPr>
      <w:r>
        <w:t xml:space="preserve">33.2% (2258)</w:t>
      </w:r>
    </w:p>
    <w:p>
      <w:pPr>
        <w:pStyle w:val="Compact"/>
      </w:pPr>
      <w:r>
        <w:t xml:space="preserve">6806</w:t>
      </w:r>
    </w:p>
    <w:p>
      <w:pPr>
        <w:pStyle w:val="Compact"/>
      </w:pPr>
      <w:r>
        <w:t xml:space="preserve">0.89 (0.82, 0.97)</w:t>
      </w:r>
    </w:p>
    <w:p>
      <w:pPr>
        <w:pStyle w:val="Compact"/>
      </w:pPr>
      <w:r>
        <w:t xml:space="preserve">0.00569</w:t>
      </w:r>
    </w:p>
    <w:p>
      <w:pPr>
        <w:pStyle w:val="Compact"/>
      </w:pPr>
      <w:r>
        <w:t xml:space="preserve">Bangladeshi</w:t>
      </w:r>
    </w:p>
    <w:p>
      <w:pPr>
        <w:pStyle w:val="Compact"/>
      </w:pPr>
      <w:r>
        <w:t xml:space="preserve">27.9% (469)</w:t>
      </w:r>
    </w:p>
    <w:p>
      <w:pPr>
        <w:pStyle w:val="Compact"/>
      </w:pPr>
      <w:r>
        <w:t xml:space="preserve">1680</w:t>
      </w:r>
    </w:p>
    <w:p>
      <w:pPr>
        <w:pStyle w:val="Compact"/>
      </w:pPr>
      <w:r>
        <w:t xml:space="preserve">0.71 (0.62, 0.80)</w:t>
      </w:r>
    </w:p>
    <w:p>
      <w:pPr>
        <w:pStyle w:val="Compact"/>
      </w:pPr>
      <w:r>
        <w:t xml:space="preserve">1.03e-07</w:t>
      </w:r>
    </w:p>
    <w:p>
      <w:pPr>
        <w:pStyle w:val="Compact"/>
      </w:pPr>
      <w:r>
        <w:t xml:space="preserve">Chinese</w:t>
      </w:r>
    </w:p>
    <w:p>
      <w:pPr>
        <w:pStyle w:val="Compact"/>
      </w:pPr>
      <w:r>
        <w:t xml:space="preserve">33.6% (166)</w:t>
      </w:r>
    </w:p>
    <w:p>
      <w:pPr>
        <w:pStyle w:val="Compact"/>
      </w:pPr>
      <w:r>
        <w:t xml:space="preserve">494</w:t>
      </w:r>
    </w:p>
    <w:p>
      <w:pPr>
        <w:pStyle w:val="Compact"/>
      </w:pPr>
      <w:r>
        <w:t xml:space="preserve">0.88 (0.72, 1.07)</w:t>
      </w:r>
    </w:p>
    <w:p>
      <w:pPr>
        <w:pStyle w:val="Compact"/>
      </w:pPr>
      <w:r>
        <w:t xml:space="preserve">0.202</w:t>
      </w:r>
    </w:p>
    <w:p>
      <w:pPr>
        <w:pStyle w:val="Compact"/>
      </w:pPr>
      <w:r>
        <w:t xml:space="preserve">Mixed / Other</w:t>
      </w:r>
    </w:p>
    <w:p>
      <w:pPr>
        <w:pStyle w:val="Compact"/>
      </w:pPr>
      <w:r>
        <w:t xml:space="preserve">25.3% (1260)</w:t>
      </w:r>
    </w:p>
    <w:p>
      <w:pPr>
        <w:pStyle w:val="Compact"/>
      </w:pPr>
      <w:r>
        <w:t xml:space="preserve">4971</w:t>
      </w:r>
    </w:p>
    <w:p>
      <w:pPr>
        <w:pStyle w:val="Compact"/>
      </w:pPr>
      <w:r>
        <w:t xml:space="preserve">0.65 (0.59, 0.71)</w:t>
      </w:r>
    </w:p>
    <w:p>
      <w:pPr>
        <w:pStyle w:val="Compact"/>
      </w:pPr>
      <w:r>
        <w:t xml:space="preserve">4.93e-20</w:t>
      </w:r>
    </w:p>
    <w:p>
      <w:pPr>
        <w:pStyle w:val="Compact"/>
      </w:pPr>
      <w:r>
        <w:t xml:space="preserve">UK birth status</w:t>
      </w:r>
    </w:p>
    <w:p>
      <w:pPr>
        <w:pStyle w:val="Compact"/>
      </w:pPr>
      <w:r>
        <w:t xml:space="preserve">Non-UK Born</w:t>
      </w:r>
    </w:p>
    <w:p>
      <w:pPr>
        <w:pStyle w:val="Compact"/>
      </w:pPr>
      <w:r>
        <w:t xml:space="preserve">29.5% (9104)</w:t>
      </w:r>
    </w:p>
    <w:p>
      <w:pPr>
        <w:pStyle w:val="Compact"/>
      </w:pPr>
      <w:r>
        <w:t xml:space="preserve">30880</w:t>
      </w:r>
    </w:p>
    <w:p>
      <w:pPr>
        <w:pStyle w:val="Compact"/>
      </w:pPr>
      <w:r>
        <w:t xml:space="preserve">7.2e-18</w:t>
      </w:r>
    </w:p>
    <w:p>
      <w:pPr>
        <w:pStyle w:val="Compact"/>
      </w:pPr>
      <w:r>
        <w:t xml:space="preserve">UK Born</w:t>
      </w:r>
    </w:p>
    <w:p>
      <w:pPr>
        <w:pStyle w:val="Compact"/>
      </w:pPr>
      <w:r>
        <w:t xml:space="preserve">28.7% (3096)</w:t>
      </w:r>
    </w:p>
    <w:p>
      <w:pPr>
        <w:pStyle w:val="Compact"/>
      </w:pPr>
      <w:r>
        <w:t xml:space="preserve">10779</w:t>
      </w:r>
    </w:p>
    <w:p>
      <w:pPr>
        <w:pStyle w:val="Compact"/>
      </w:pPr>
      <w:r>
        <w:t xml:space="preserve">0.75 (0.70, 0.80)</w:t>
      </w:r>
    </w:p>
    <w:p>
      <w:pPr>
        <w:pStyle w:val="Compact"/>
      </w:pPr>
      <w:r>
        <w:t xml:space="preserve">1.3e-17</w:t>
      </w:r>
    </w:p>
    <w:p>
      <w:pPr>
        <w:pStyle w:val="Compact"/>
      </w:pPr>
      <w:r>
        <w:t xml:space="preserve">Socio-economic status</w:t>
      </w:r>
    </w:p>
    <w:p>
      <w:pPr>
        <w:pStyle w:val="Compact"/>
      </w:pPr>
      <w:r>
        <w:t xml:space="preserve">1</w:t>
      </w:r>
    </w:p>
    <w:p>
      <w:pPr>
        <w:pStyle w:val="Compact"/>
      </w:pPr>
      <w:r>
        <w:t xml:space="preserve">30.7% (4948)</w:t>
      </w:r>
    </w:p>
    <w:p>
      <w:pPr>
        <w:pStyle w:val="Compact"/>
      </w:pPr>
      <w:r>
        <w:t xml:space="preserve">16131</w:t>
      </w:r>
    </w:p>
    <w:p>
      <w:pPr>
        <w:pStyle w:val="Compact"/>
      </w:pPr>
      <w:r>
        <w:t xml:space="preserve">4.88e-08</w:t>
      </w:r>
    </w:p>
    <w:p>
      <w:pPr>
        <w:pStyle w:val="Compact"/>
      </w:pPr>
      <w:r>
        <w:t xml:space="preserve">2</w:t>
      </w:r>
    </w:p>
    <w:p>
      <w:pPr>
        <w:pStyle w:val="Compact"/>
      </w:pPr>
      <w:r>
        <w:t xml:space="preserve">26.8% (3383)</w:t>
      </w:r>
    </w:p>
    <w:p>
      <w:pPr>
        <w:pStyle w:val="Compact"/>
      </w:pPr>
      <w:r>
        <w:t xml:space="preserve">12621</w:t>
      </w:r>
    </w:p>
    <w:p>
      <w:pPr>
        <w:pStyle w:val="Compact"/>
      </w:pPr>
      <w:r>
        <w:t xml:space="preserve">0.84 (0.80, 0.89)</w:t>
      </w:r>
    </w:p>
    <w:p>
      <w:pPr>
        <w:pStyle w:val="Compact"/>
      </w:pPr>
      <w:r>
        <w:t xml:space="preserve">3.58e-10</w:t>
      </w:r>
    </w:p>
    <w:p>
      <w:pPr>
        <w:pStyle w:val="Compact"/>
      </w:pPr>
      <w:r>
        <w:t xml:space="preserve">3</w:t>
      </w:r>
    </w:p>
    <w:p>
      <w:pPr>
        <w:pStyle w:val="Compact"/>
      </w:pPr>
      <w:r>
        <w:t xml:space="preserve">29.2% (1905)</w:t>
      </w:r>
    </w:p>
    <w:p>
      <w:pPr>
        <w:pStyle w:val="Compact"/>
      </w:pPr>
      <w:r>
        <w:t xml:space="preserve">6530</w:t>
      </w:r>
    </w:p>
    <w:p>
      <w:pPr>
        <w:pStyle w:val="Compact"/>
      </w:pPr>
      <w:r>
        <w:t xml:space="preserve">0.92 (0.86, 0.98)</w:t>
      </w:r>
    </w:p>
    <w:p>
      <w:pPr>
        <w:pStyle w:val="Compact"/>
      </w:pPr>
      <w:r>
        <w:t xml:space="preserve">0.0117</w:t>
      </w:r>
    </w:p>
    <w:p>
      <w:pPr>
        <w:pStyle w:val="Compact"/>
      </w:pPr>
      <w:r>
        <w:t xml:space="preserve">4</w:t>
      </w:r>
    </w:p>
    <w:p>
      <w:pPr>
        <w:pStyle w:val="Compact"/>
      </w:pPr>
      <w:r>
        <w:t xml:space="preserve">30.1% (1142)</w:t>
      </w:r>
    </w:p>
    <w:p>
      <w:pPr>
        <w:pStyle w:val="Compact"/>
      </w:pPr>
      <w:r>
        <w:t xml:space="preserve">3796</w:t>
      </w:r>
    </w:p>
    <w:p>
      <w:pPr>
        <w:pStyle w:val="Compact"/>
      </w:pPr>
      <w:r>
        <w:t xml:space="preserve">0.91 (0.84, 0.99)</w:t>
      </w:r>
    </w:p>
    <w:p>
      <w:pPr>
        <w:pStyle w:val="Compact"/>
      </w:pPr>
      <w:r>
        <w:t xml:space="preserve">0.0264</w:t>
      </w:r>
    </w:p>
    <w:p>
      <w:pPr>
        <w:pStyle w:val="Compact"/>
      </w:pPr>
      <w:r>
        <w:t xml:space="preserve">5</w:t>
      </w:r>
    </w:p>
    <w:p>
      <w:pPr>
        <w:pStyle w:val="Compact"/>
      </w:pPr>
      <w:r>
        <w:t xml:space="preserve">31.8% (822)</w:t>
      </w:r>
    </w:p>
    <w:p>
      <w:pPr>
        <w:pStyle w:val="Compact"/>
      </w:pPr>
      <w:r>
        <w:t xml:space="preserve">2581</w:t>
      </w:r>
    </w:p>
    <w:p>
      <w:pPr>
        <w:pStyle w:val="Compact"/>
      </w:pPr>
      <w:r>
        <w:t xml:space="preserve">0.94 (0.85, 1.03)</w:t>
      </w:r>
    </w:p>
    <w:p>
      <w:pPr>
        <w:pStyle w:val="Compact"/>
      </w:pPr>
      <w:r>
        <w:t xml:space="preserve">0.174</w:t>
      </w:r>
    </w:p>
    <w:p>
      <w:pPr>
        <w:pStyle w:val="Heading2"/>
      </w:pPr>
      <w:bookmarkStart w:id="44" w:name="year-of-bcg-vaccination"/>
      <w:r>
        <w:t xml:space="preserve">Year of BCG vaccination</w:t>
      </w:r>
      <w:bookmarkEnd w:id="44"/>
    </w:p>
    <w:p>
      <w:pPr>
        <w:pStyle w:val="FirstParagraph"/>
      </w:pPr>
      <w:r>
        <w:t xml:space="preserve">As for BCG status, year of BCG vaccination is also clearly missing with MAR mechanisms for the variables considered (Table 4).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Heading2"/>
      </w:pPr>
      <w:bookmarkStart w:id="45" w:name="date-of-death"/>
      <w:r>
        <w:t xml:space="preserve">Date of death</w:t>
      </w:r>
      <w:bookmarkEnd w:id="45"/>
    </w:p>
    <w:p>
      <w:pPr>
        <w:pStyle w:val="FirstParagraph"/>
      </w:pPr>
      <w:r>
        <w:t xml:space="preserve">For date of death there is some evidence that data is missing with an MAR mechanism for ethnic group and socio-economic status, with little evidence for any other association (Table 5).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Compact"/>
      </w:pPr>
      <w:r>
        <w:t xml:space="preserve">Table 5: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(1883)</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16.6% (53)</w:t>
      </w:r>
    </w:p>
    <w:p>
      <w:pPr>
        <w:pStyle w:val="Compact"/>
      </w:pPr>
      <w:r>
        <w:t xml:space="preserve">320</w:t>
      </w:r>
    </w:p>
    <w:p>
      <w:pPr>
        <w:pStyle w:val="Compact"/>
      </w:pPr>
      <w:r>
        <w:t xml:space="preserve">0.0876</w:t>
      </w:r>
    </w:p>
    <w:p>
      <w:pPr>
        <w:pStyle w:val="Compact"/>
      </w:pPr>
      <w:r>
        <w:t xml:space="preserve">2011</w:t>
      </w:r>
    </w:p>
    <w:p>
      <w:pPr>
        <w:pStyle w:val="Compact"/>
      </w:pPr>
      <w:r>
        <w:t xml:space="preserve">15.9% (52)</w:t>
      </w:r>
    </w:p>
    <w:p>
      <w:pPr>
        <w:pStyle w:val="Compact"/>
      </w:pPr>
      <w:r>
        <w:t xml:space="preserve">327</w:t>
      </w:r>
    </w:p>
    <w:p>
      <w:pPr>
        <w:pStyle w:val="Compact"/>
      </w:pPr>
      <w:r>
        <w:t xml:space="preserve">0.95 (0.62, 1.46)</w:t>
      </w:r>
    </w:p>
    <w:p>
      <w:pPr>
        <w:pStyle w:val="Compact"/>
      </w:pPr>
      <w:r>
        <w:t xml:space="preserve">0.818</w:t>
      </w:r>
    </w:p>
    <w:p>
      <w:pPr>
        <w:pStyle w:val="Compact"/>
      </w:pPr>
      <w:r>
        <w:t xml:space="preserve">2012</w:t>
      </w:r>
    </w:p>
    <w:p>
      <w:pPr>
        <w:pStyle w:val="Compact"/>
      </w:pPr>
      <w:r>
        <w:t xml:space="preserve">14.5% (51)</w:t>
      </w:r>
    </w:p>
    <w:p>
      <w:pPr>
        <w:pStyle w:val="Compact"/>
      </w:pPr>
      <w:r>
        <w:t xml:space="preserve">351</w:t>
      </w:r>
    </w:p>
    <w:p>
      <w:pPr>
        <w:pStyle w:val="Compact"/>
      </w:pPr>
      <w:r>
        <w:t xml:space="preserve">0.81 (0.53, 1.25)</w:t>
      </w:r>
    </w:p>
    <w:p>
      <w:pPr>
        <w:pStyle w:val="Compact"/>
      </w:pPr>
      <w:r>
        <w:t xml:space="preserve">0.342</w:t>
      </w:r>
    </w:p>
    <w:p>
      <w:pPr>
        <w:pStyle w:val="Compact"/>
      </w:pPr>
      <w:r>
        <w:t xml:space="preserve">2013</w:t>
      </w:r>
    </w:p>
    <w:p>
      <w:pPr>
        <w:pStyle w:val="Compact"/>
      </w:pPr>
      <w:r>
        <w:t xml:space="preserve">13.5% (42)</w:t>
      </w:r>
    </w:p>
    <w:p>
      <w:pPr>
        <w:pStyle w:val="Compact"/>
      </w:pPr>
      <w:r>
        <w:t xml:space="preserve">312</w:t>
      </w:r>
    </w:p>
    <w:p>
      <w:pPr>
        <w:pStyle w:val="Compact"/>
      </w:pPr>
      <w:r>
        <w:t xml:space="preserve">0.73 (0.46, 1.14)</w:t>
      </w:r>
    </w:p>
    <w:p>
      <w:pPr>
        <w:pStyle w:val="Compact"/>
      </w:pPr>
      <w:r>
        <w:t xml:space="preserve">0.163</w:t>
      </w:r>
    </w:p>
    <w:p>
      <w:pPr>
        <w:pStyle w:val="Compact"/>
      </w:pPr>
      <w:r>
        <w:t xml:space="preserve">2014</w:t>
      </w:r>
    </w:p>
    <w:p>
      <w:pPr>
        <w:pStyle w:val="Compact"/>
      </w:pPr>
      <w:r>
        <w:t xml:space="preserve">9.5% (30)</w:t>
      </w:r>
    </w:p>
    <w:p>
      <w:pPr>
        <w:pStyle w:val="Compact"/>
      </w:pPr>
      <w:r>
        <w:t xml:space="preserve">317</w:t>
      </w:r>
    </w:p>
    <w:p>
      <w:pPr>
        <w:pStyle w:val="Compact"/>
      </w:pPr>
      <w:r>
        <w:t xml:space="preserve">0.52 (0.32, 0.84)</w:t>
      </w:r>
    </w:p>
    <w:p>
      <w:pPr>
        <w:pStyle w:val="Compact"/>
      </w:pPr>
      <w:r>
        <w:t xml:space="preserve">0.0081</w:t>
      </w:r>
    </w:p>
    <w:p>
      <w:pPr>
        <w:pStyle w:val="Compact"/>
      </w:pPr>
      <w:r>
        <w:t xml:space="preserve">2015</w:t>
      </w:r>
    </w:p>
    <w:p>
      <w:pPr>
        <w:pStyle w:val="Compact"/>
      </w:pPr>
      <w:r>
        <w:t xml:space="preserve">13.3% (34)</w:t>
      </w:r>
    </w:p>
    <w:p>
      <w:pPr>
        <w:pStyle w:val="Compact"/>
      </w:pPr>
      <w:r>
        <w:t xml:space="preserve">256</w:t>
      </w:r>
    </w:p>
    <w:p>
      <w:pPr>
        <w:pStyle w:val="Compact"/>
      </w:pPr>
      <w:r>
        <w:t xml:space="preserve">0.69 (0.43, 1.11)</w:t>
      </w:r>
    </w:p>
    <w:p>
      <w:pPr>
        <w:pStyle w:val="Compact"/>
      </w:pPr>
      <w:r>
        <w:t xml:space="preserve">0.133</w:t>
      </w:r>
    </w:p>
    <w:p>
      <w:pPr>
        <w:pStyle w:val="Compact"/>
      </w:pPr>
      <w:r>
        <w:t xml:space="preserve">Sex</w:t>
      </w:r>
    </w:p>
    <w:p>
      <w:pPr>
        <w:pStyle w:val="Compact"/>
      </w:pPr>
      <w:r>
        <w:t xml:space="preserve">Female</w:t>
      </w:r>
    </w:p>
    <w:p>
      <w:pPr>
        <w:pStyle w:val="Compact"/>
      </w:pPr>
      <w:r>
        <w:t xml:space="preserve">14.8% (97)</w:t>
      </w:r>
    </w:p>
    <w:p>
      <w:pPr>
        <w:pStyle w:val="Compact"/>
      </w:pPr>
      <w:r>
        <w:t xml:space="preserve">657</w:t>
      </w:r>
    </w:p>
    <w:p>
      <w:pPr>
        <w:pStyle w:val="Compact"/>
      </w:pPr>
      <w:r>
        <w:t xml:space="preserve">0.609</w:t>
      </w:r>
    </w:p>
    <w:p>
      <w:pPr>
        <w:pStyle w:val="Compact"/>
      </w:pPr>
      <w:r>
        <w:t xml:space="preserve">Male</w:t>
      </w:r>
    </w:p>
    <w:p>
      <w:pPr>
        <w:pStyle w:val="Compact"/>
      </w:pPr>
      <w:r>
        <w:t xml:space="preserve">13.5% (165)</w:t>
      </w:r>
    </w:p>
    <w:p>
      <w:pPr>
        <w:pStyle w:val="Compact"/>
      </w:pPr>
      <w:r>
        <w:t xml:space="preserve">1226</w:t>
      </w:r>
    </w:p>
    <w:p>
      <w:pPr>
        <w:pStyle w:val="Compact"/>
      </w:pPr>
      <w:r>
        <w:t xml:space="preserve">0.93 (0.70, 1.23)</w:t>
      </w:r>
    </w:p>
    <w:p>
      <w:pPr>
        <w:pStyle w:val="Compact"/>
      </w:pPr>
      <w:r>
        <w:t xml:space="preserve">0.608</w:t>
      </w:r>
    </w:p>
    <w:p>
      <w:pPr>
        <w:pStyle w:val="Compact"/>
      </w:pPr>
      <w:r>
        <w:t xml:space="preserve">Age</w:t>
      </w:r>
    </w:p>
    <w:p>
      <w:pPr>
        <w:pStyle w:val="Compact"/>
      </w:pPr>
      <w:r>
        <w:t xml:space="preserve">0-14</w:t>
      </w:r>
    </w:p>
    <w:p>
      <w:pPr>
        <w:pStyle w:val="Compact"/>
      </w:pPr>
      <w:r>
        <w:t xml:space="preserve">10.0% (1)</w:t>
      </w:r>
    </w:p>
    <w:p>
      <w:pPr>
        <w:pStyle w:val="Compact"/>
      </w:pPr>
      <w:r>
        <w:t xml:space="preserve">10</w:t>
      </w:r>
    </w:p>
    <w:p>
      <w:pPr>
        <w:pStyle w:val="Compact"/>
      </w:pPr>
      <w:r>
        <w:t xml:space="preserve">0.929</w:t>
      </w:r>
    </w:p>
    <w:p>
      <w:pPr>
        <w:pStyle w:val="Compact"/>
      </w:pPr>
      <w:r>
        <w:t xml:space="preserve">15-44</w:t>
      </w:r>
    </w:p>
    <w:p>
      <w:pPr>
        <w:pStyle w:val="Compact"/>
      </w:pPr>
      <w:r>
        <w:t xml:space="preserve">15.7% (31)</w:t>
      </w:r>
    </w:p>
    <w:p>
      <w:pPr>
        <w:pStyle w:val="Compact"/>
      </w:pPr>
      <w:r>
        <w:t xml:space="preserve">198</w:t>
      </w:r>
    </w:p>
    <w:p>
      <w:pPr>
        <w:pStyle w:val="Compact"/>
      </w:pPr>
      <w:r>
        <w:t xml:space="preserve">1.90 (0.32, 36.43)</w:t>
      </w:r>
    </w:p>
    <w:p>
      <w:pPr>
        <w:pStyle w:val="Compact"/>
      </w:pPr>
      <w:r>
        <w:t xml:space="preserve">0.556</w:t>
      </w:r>
    </w:p>
    <w:p>
      <w:pPr>
        <w:pStyle w:val="Compact"/>
      </w:pPr>
      <w:r>
        <w:t xml:space="preserve">45-64</w:t>
      </w:r>
    </w:p>
    <w:p>
      <w:pPr>
        <w:pStyle w:val="Compact"/>
      </w:pPr>
      <w:r>
        <w:t xml:space="preserve">14.6% (68)</w:t>
      </w:r>
    </w:p>
    <w:p>
      <w:pPr>
        <w:pStyle w:val="Compact"/>
      </w:pPr>
      <w:r>
        <w:t xml:space="preserve">465</w:t>
      </w:r>
    </w:p>
    <w:p>
      <w:pPr>
        <w:pStyle w:val="Compact"/>
      </w:pPr>
      <w:r>
        <w:t xml:space="preserve">1.92 (0.33, 36.42)</w:t>
      </w:r>
    </w:p>
    <w:p>
      <w:pPr>
        <w:pStyle w:val="Compact"/>
      </w:pPr>
      <w:r>
        <w:t xml:space="preserve">0.549</w:t>
      </w:r>
    </w:p>
    <w:p>
      <w:pPr>
        <w:pStyle w:val="Compact"/>
      </w:pPr>
      <w:r>
        <w:t xml:space="preserve">65+</w:t>
      </w:r>
    </w:p>
    <w:p>
      <w:pPr>
        <w:pStyle w:val="Compact"/>
      </w:pPr>
      <w:r>
        <w:t xml:space="preserve">13.4% (162)</w:t>
      </w:r>
    </w:p>
    <w:p>
      <w:pPr>
        <w:pStyle w:val="Compact"/>
      </w:pPr>
      <w:r>
        <w:t xml:space="preserve">1210</w:t>
      </w:r>
    </w:p>
    <w:p>
      <w:pPr>
        <w:pStyle w:val="Compact"/>
      </w:pPr>
      <w:r>
        <w:t xml:space="preserve">1.95 (0.34, 37.04)</w:t>
      </w:r>
    </w:p>
    <w:p>
      <w:pPr>
        <w:pStyle w:val="Compact"/>
      </w:pPr>
      <w:r>
        <w:t xml:space="preserve">0.536</w:t>
      </w:r>
    </w:p>
    <w:p>
      <w:pPr>
        <w:pStyle w:val="Compact"/>
      </w:pPr>
      <w:r>
        <w:t xml:space="preserve">Ethnic group</w:t>
      </w:r>
    </w:p>
    <w:p>
      <w:pPr>
        <w:pStyle w:val="Compact"/>
      </w:pPr>
      <w:r>
        <w:t xml:space="preserve">White</w:t>
      </w:r>
    </w:p>
    <w:p>
      <w:pPr>
        <w:pStyle w:val="Compact"/>
      </w:pPr>
      <w:r>
        <w:t xml:space="preserve">11.1% (102)</w:t>
      </w:r>
    </w:p>
    <w:p>
      <w:pPr>
        <w:pStyle w:val="Compact"/>
      </w:pPr>
      <w:r>
        <w:t xml:space="preserve">920</w:t>
      </w:r>
    </w:p>
    <w:p>
      <w:pPr>
        <w:pStyle w:val="Compact"/>
      </w:pPr>
      <w:r>
        <w:t xml:space="preserve">0.00373</w:t>
      </w:r>
    </w:p>
    <w:p>
      <w:pPr>
        <w:pStyle w:val="Compact"/>
      </w:pPr>
      <w:r>
        <w:t xml:space="preserve">Black-Caribbean</w:t>
      </w:r>
    </w:p>
    <w:p>
      <w:pPr>
        <w:pStyle w:val="Compact"/>
      </w:pPr>
      <w:r>
        <w:t xml:space="preserve">21.7% (10)</w:t>
      </w:r>
    </w:p>
    <w:p>
      <w:pPr>
        <w:pStyle w:val="Compact"/>
      </w:pPr>
      <w:r>
        <w:t xml:space="preserve">46</w:t>
      </w:r>
    </w:p>
    <w:p>
      <w:pPr>
        <w:pStyle w:val="Compact"/>
      </w:pPr>
      <w:r>
        <w:t xml:space="preserve">1.58 (0.67, 3.51)</w:t>
      </w:r>
    </w:p>
    <w:p>
      <w:pPr>
        <w:pStyle w:val="Compact"/>
      </w:pPr>
      <w:r>
        <w:t xml:space="preserve">0.274</w:t>
      </w:r>
    </w:p>
    <w:p>
      <w:pPr>
        <w:pStyle w:val="Compact"/>
      </w:pPr>
      <w:r>
        <w:t xml:space="preserve">Black-African</w:t>
      </w:r>
    </w:p>
    <w:p>
      <w:pPr>
        <w:pStyle w:val="Compact"/>
      </w:pPr>
      <w:r>
        <w:t xml:space="preserve">20.1% (27)</w:t>
      </w:r>
    </w:p>
    <w:p>
      <w:pPr>
        <w:pStyle w:val="Compact"/>
      </w:pPr>
      <w:r>
        <w:t xml:space="preserve">134</w:t>
      </w:r>
    </w:p>
    <w:p>
      <w:pPr>
        <w:pStyle w:val="Compact"/>
      </w:pPr>
      <w:r>
        <w:t xml:space="preserve">1.49 (0.76, 2.94)</w:t>
      </w:r>
    </w:p>
    <w:p>
      <w:pPr>
        <w:pStyle w:val="Compact"/>
      </w:pPr>
      <w:r>
        <w:t xml:space="preserve">0.251</w:t>
      </w:r>
    </w:p>
    <w:p>
      <w:pPr>
        <w:pStyle w:val="Compact"/>
      </w:pPr>
      <w:r>
        <w:t xml:space="preserve">Black-Other</w:t>
      </w:r>
    </w:p>
    <w:p>
      <w:pPr>
        <w:pStyle w:val="Compact"/>
      </w:pPr>
      <w:r>
        <w:t xml:space="preserve">20.0% (1)</w:t>
      </w:r>
    </w:p>
    <w:p>
      <w:pPr>
        <w:pStyle w:val="Compact"/>
      </w:pPr>
      <w:r>
        <w:t xml:space="preserve">5</w:t>
      </w:r>
    </w:p>
    <w:p>
      <w:pPr>
        <w:pStyle w:val="Compact"/>
      </w:pPr>
      <w:r>
        <w:t xml:space="preserve">1.59 (0.08, 11.72)</w:t>
      </w:r>
    </w:p>
    <w:p>
      <w:pPr>
        <w:pStyle w:val="Compact"/>
      </w:pPr>
      <w:r>
        <w:t xml:space="preserve">0.687</w:t>
      </w:r>
    </w:p>
    <w:p>
      <w:pPr>
        <w:pStyle w:val="Compact"/>
      </w:pPr>
      <w:r>
        <w:t xml:space="preserve">Indian</w:t>
      </w:r>
    </w:p>
    <w:p>
      <w:pPr>
        <w:pStyle w:val="Compact"/>
      </w:pPr>
      <w:r>
        <w:t xml:space="preserve">17.4% (64)</w:t>
      </w:r>
    </w:p>
    <w:p>
      <w:pPr>
        <w:pStyle w:val="Compact"/>
      </w:pPr>
      <w:r>
        <w:t xml:space="preserve">367</w:t>
      </w:r>
    </w:p>
    <w:p>
      <w:pPr>
        <w:pStyle w:val="Compact"/>
      </w:pPr>
      <w:r>
        <w:t xml:space="preserve">1.08 (0.62, 1.92)</w:t>
      </w:r>
    </w:p>
    <w:p>
      <w:pPr>
        <w:pStyle w:val="Compact"/>
      </w:pPr>
      <w:r>
        <w:t xml:space="preserve">0.789</w:t>
      </w:r>
    </w:p>
    <w:p>
      <w:pPr>
        <w:pStyle w:val="Compact"/>
      </w:pPr>
      <w:r>
        <w:t xml:space="preserve">Pakistani</w:t>
      </w:r>
    </w:p>
    <w:p>
      <w:pPr>
        <w:pStyle w:val="Compact"/>
      </w:pPr>
      <w:r>
        <w:t xml:space="preserve">8.0% (20)</w:t>
      </w:r>
    </w:p>
    <w:p>
      <w:pPr>
        <w:pStyle w:val="Compact"/>
      </w:pPr>
      <w:r>
        <w:t xml:space="preserve">249</w:t>
      </w:r>
    </w:p>
    <w:p>
      <w:pPr>
        <w:pStyle w:val="Compact"/>
      </w:pPr>
      <w:r>
        <w:t xml:space="preserve">0.50 (0.25, 0.99)</w:t>
      </w:r>
    </w:p>
    <w:p>
      <w:pPr>
        <w:pStyle w:val="Compact"/>
      </w:pPr>
      <w:r>
        <w:t xml:space="preserve">0.0483</w:t>
      </w:r>
    </w:p>
    <w:p>
      <w:pPr>
        <w:pStyle w:val="Compact"/>
      </w:pPr>
      <w:r>
        <w:t xml:space="preserve">Bangladeshi</w:t>
      </w:r>
    </w:p>
    <w:p>
      <w:pPr>
        <w:pStyle w:val="Compact"/>
      </w:pPr>
      <w:r>
        <w:t xml:space="preserve">22.7% (10)</w:t>
      </w:r>
    </w:p>
    <w:p>
      <w:pPr>
        <w:pStyle w:val="Compact"/>
      </w:pPr>
      <w:r>
        <w:t xml:space="preserve">44</w:t>
      </w:r>
    </w:p>
    <w:p>
      <w:pPr>
        <w:pStyle w:val="Compact"/>
      </w:pPr>
      <w:r>
        <w:t xml:space="preserve">1.65 (0.67, 3.87)</w:t>
      </w:r>
    </w:p>
    <w:p>
      <w:pPr>
        <w:pStyle w:val="Compact"/>
      </w:pPr>
      <w:r>
        <w:t xml:space="preserve">0.261</w:t>
      </w:r>
    </w:p>
    <w:p>
      <w:pPr>
        <w:pStyle w:val="Compact"/>
      </w:pPr>
      <w:r>
        <w:t xml:space="preserve">Chinese</w:t>
      </w:r>
    </w:p>
    <w:p>
      <w:pPr>
        <w:pStyle w:val="Compact"/>
      </w:pPr>
      <w:r>
        <w:t xml:space="preserve">14.3% (3)</w:t>
      </w:r>
    </w:p>
    <w:p>
      <w:pPr>
        <w:pStyle w:val="Compact"/>
      </w:pPr>
      <w:r>
        <w:t xml:space="preserve">21</w:t>
      </w:r>
    </w:p>
    <w:p>
      <w:pPr>
        <w:pStyle w:val="Compact"/>
      </w:pPr>
      <w:r>
        <w:t xml:space="preserve">0.89 (0.19, 3.00)</w:t>
      </w:r>
    </w:p>
    <w:p>
      <w:pPr>
        <w:pStyle w:val="Compact"/>
      </w:pPr>
      <w:r>
        <w:t xml:space="preserve">0.864</w:t>
      </w:r>
    </w:p>
    <w:p>
      <w:pPr>
        <w:pStyle w:val="Compact"/>
      </w:pPr>
      <w:r>
        <w:t xml:space="preserve">Mixed / Other</w:t>
      </w:r>
    </w:p>
    <w:p>
      <w:pPr>
        <w:pStyle w:val="Compact"/>
      </w:pPr>
      <w:r>
        <w:t xml:space="preserve">25.8% (25)</w:t>
      </w:r>
    </w:p>
    <w:p>
      <w:pPr>
        <w:pStyle w:val="Compact"/>
      </w:pPr>
      <w:r>
        <w:t xml:space="preserve">97</w:t>
      </w:r>
    </w:p>
    <w:p>
      <w:pPr>
        <w:pStyle w:val="Compact"/>
      </w:pPr>
      <w:r>
        <w:t xml:space="preserve">1.99 (1.01, 3.92)</w:t>
      </w:r>
    </w:p>
    <w:p>
      <w:pPr>
        <w:pStyle w:val="Compact"/>
      </w:pPr>
      <w:r>
        <w:t xml:space="preserve">0.0462</w:t>
      </w:r>
    </w:p>
    <w:p>
      <w:pPr>
        <w:pStyle w:val="Compact"/>
      </w:pPr>
      <w:r>
        <w:t xml:space="preserve">UK birth status</w:t>
      </w:r>
    </w:p>
    <w:p>
      <w:pPr>
        <w:pStyle w:val="Compact"/>
      </w:pPr>
      <w:r>
        <w:t xml:space="preserve">Non-UK Born</w:t>
      </w:r>
    </w:p>
    <w:p>
      <w:pPr>
        <w:pStyle w:val="Compact"/>
      </w:pPr>
      <w:r>
        <w:t xml:space="preserve">16.6% (167)</w:t>
      </w:r>
    </w:p>
    <w:p>
      <w:pPr>
        <w:pStyle w:val="Compact"/>
      </w:pPr>
      <w:r>
        <w:t xml:space="preserve">1004</w:t>
      </w:r>
    </w:p>
    <w:p>
      <w:pPr>
        <w:pStyle w:val="Compact"/>
      </w:pPr>
      <w:r>
        <w:t xml:space="preserve">0.133</w:t>
      </w:r>
    </w:p>
    <w:p>
      <w:pPr>
        <w:pStyle w:val="Compact"/>
      </w:pPr>
      <w:r>
        <w:t xml:space="preserve">UK Born</w:t>
      </w:r>
    </w:p>
    <w:p>
      <w:pPr>
        <w:pStyle w:val="Compact"/>
      </w:pPr>
      <w:r>
        <w:t xml:space="preserve">10.8% (95)</w:t>
      </w:r>
    </w:p>
    <w:p>
      <w:pPr>
        <w:pStyle w:val="Compact"/>
      </w:pPr>
      <w:r>
        <w:t xml:space="preserve">879</w:t>
      </w:r>
    </w:p>
    <w:p>
      <w:pPr>
        <w:pStyle w:val="Compact"/>
      </w:pPr>
      <w:r>
        <w:t xml:space="preserve">0.67 (0.40, 1.14)</w:t>
      </w:r>
    </w:p>
    <w:p>
      <w:pPr>
        <w:pStyle w:val="Compact"/>
      </w:pPr>
      <w:r>
        <w:t xml:space="preserve">0.128</w:t>
      </w:r>
    </w:p>
    <w:p>
      <w:pPr>
        <w:pStyle w:val="Compact"/>
      </w:pPr>
      <w:r>
        <w:t xml:space="preserve">Socio-economic status</w:t>
      </w:r>
    </w:p>
    <w:p>
      <w:pPr>
        <w:pStyle w:val="Compact"/>
      </w:pPr>
      <w:r>
        <w:t xml:space="preserve">1</w:t>
      </w:r>
    </w:p>
    <w:p>
      <w:pPr>
        <w:pStyle w:val="Compact"/>
      </w:pPr>
      <w:r>
        <w:t xml:space="preserve">11.4% (79)</w:t>
      </w:r>
    </w:p>
    <w:p>
      <w:pPr>
        <w:pStyle w:val="Compact"/>
      </w:pPr>
      <w:r>
        <w:t xml:space="preserve">695</w:t>
      </w:r>
    </w:p>
    <w:p>
      <w:pPr>
        <w:pStyle w:val="Compact"/>
      </w:pPr>
      <w:r>
        <w:t xml:space="preserve">0.0265</w:t>
      </w:r>
    </w:p>
    <w:p>
      <w:pPr>
        <w:pStyle w:val="Compact"/>
      </w:pPr>
      <w:r>
        <w:t xml:space="preserve">2</w:t>
      </w:r>
    </w:p>
    <w:p>
      <w:pPr>
        <w:pStyle w:val="Compact"/>
      </w:pPr>
      <w:r>
        <w:t xml:space="preserve">18.3% (86)</w:t>
      </w:r>
    </w:p>
    <w:p>
      <w:pPr>
        <w:pStyle w:val="Compact"/>
      </w:pPr>
      <w:r>
        <w:t xml:space="preserve">470</w:t>
      </w:r>
    </w:p>
    <w:p>
      <w:pPr>
        <w:pStyle w:val="Compact"/>
      </w:pPr>
      <w:r>
        <w:t xml:space="preserve">1.67 (1.19, 2.35)</w:t>
      </w:r>
    </w:p>
    <w:p>
      <w:pPr>
        <w:pStyle w:val="Compact"/>
      </w:pPr>
      <w:r>
        <w:t xml:space="preserve">0.0033</w:t>
      </w:r>
    </w:p>
    <w:p>
      <w:pPr>
        <w:pStyle w:val="Compact"/>
      </w:pPr>
      <w:r>
        <w:t xml:space="preserve">3</w:t>
      </w:r>
    </w:p>
    <w:p>
      <w:pPr>
        <w:pStyle w:val="Compact"/>
      </w:pPr>
      <w:r>
        <w:t xml:space="preserve">16.2% (48)</w:t>
      </w:r>
    </w:p>
    <w:p>
      <w:pPr>
        <w:pStyle w:val="Compact"/>
      </w:pPr>
      <w:r>
        <w:t xml:space="preserve">296</w:t>
      </w:r>
    </w:p>
    <w:p>
      <w:pPr>
        <w:pStyle w:val="Compact"/>
      </w:pPr>
      <w:r>
        <w:t xml:space="preserve">1.49 (0.99, 2.22)</w:t>
      </w:r>
    </w:p>
    <w:p>
      <w:pPr>
        <w:pStyle w:val="Compact"/>
      </w:pPr>
      <w:r>
        <w:t xml:space="preserve">0.0548</w:t>
      </w:r>
    </w:p>
    <w:p>
      <w:pPr>
        <w:pStyle w:val="Compact"/>
      </w:pPr>
      <w:r>
        <w:t xml:space="preserve">4</w:t>
      </w:r>
    </w:p>
    <w:p>
      <w:pPr>
        <w:pStyle w:val="Compact"/>
      </w:pPr>
      <w:r>
        <w:t xml:space="preserve">12.7% (30)</w:t>
      </w:r>
    </w:p>
    <w:p>
      <w:pPr>
        <w:pStyle w:val="Compact"/>
      </w:pPr>
      <w:r>
        <w:t xml:space="preserve">237</w:t>
      </w:r>
    </w:p>
    <w:p>
      <w:pPr>
        <w:pStyle w:val="Compact"/>
      </w:pPr>
      <w:r>
        <w:t xml:space="preserve">1.21 (0.75, 1.90)</w:t>
      </w:r>
    </w:p>
    <w:p>
      <w:pPr>
        <w:pStyle w:val="Compact"/>
      </w:pPr>
      <w:r>
        <w:t xml:space="preserve">0.429</w:t>
      </w:r>
    </w:p>
    <w:p>
      <w:pPr>
        <w:pStyle w:val="Compact"/>
      </w:pPr>
      <w:r>
        <w:t xml:space="preserve">5</w:t>
      </w:r>
    </w:p>
    <w:p>
      <w:pPr>
        <w:pStyle w:val="Compact"/>
      </w:pPr>
      <w:r>
        <w:t xml:space="preserve">10.3% (19)</w:t>
      </w:r>
    </w:p>
    <w:p>
      <w:pPr>
        <w:pStyle w:val="Compact"/>
      </w:pPr>
      <w:r>
        <w:t xml:space="preserve">185</w:t>
      </w:r>
    </w:p>
    <w:p>
      <w:pPr>
        <w:pStyle w:val="Compact"/>
      </w:pPr>
      <w:r>
        <w:t xml:space="preserve">0.95 (0.54, 1.62)</w:t>
      </w:r>
    </w:p>
    <w:p>
      <w:pPr>
        <w:pStyle w:val="Compact"/>
      </w:pPr>
      <w:r>
        <w:t xml:space="preserve">0.866</w:t>
      </w:r>
    </w:p>
    <w:p>
      <w:pPr>
        <w:pStyle w:val="Heading2"/>
      </w:pPr>
      <w:bookmarkStart w:id="46" w:name="cause-of-death"/>
      <w:r>
        <w:t xml:space="preserve">Cause of death</w:t>
      </w:r>
      <w:bookmarkEnd w:id="46"/>
    </w:p>
    <w:p>
      <w:pPr>
        <w:pStyle w:val="FirstParagraph"/>
      </w:pPr>
      <w:r>
        <w:t xml:space="preserve">For cause of death there is less evidence of an MAR mechanism, with little evidence of an association for year, sex, age, or socio-economic group (Table 6).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r>
        <w:br w:type="page"/>
      </w:r>
    </w:p>
    <w:p>
      <w:pPr>
        <w:pStyle w:val="Compact"/>
      </w:pPr>
      <w:r>
        <w:t xml:space="preserve">Table 6: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(1883)</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45.0% (144)</w:t>
      </w:r>
    </w:p>
    <w:p>
      <w:pPr>
        <w:pStyle w:val="Compact"/>
      </w:pPr>
      <w:r>
        <w:t xml:space="preserve">320</w:t>
      </w:r>
    </w:p>
    <w:p>
      <w:pPr>
        <w:pStyle w:val="Compact"/>
      </w:pPr>
      <w:r>
        <w:t xml:space="preserve">0.724</w:t>
      </w:r>
    </w:p>
    <w:p>
      <w:pPr>
        <w:pStyle w:val="Compact"/>
      </w:pPr>
      <w:r>
        <w:t xml:space="preserve">2011</w:t>
      </w:r>
    </w:p>
    <w:p>
      <w:pPr>
        <w:pStyle w:val="Compact"/>
      </w:pPr>
      <w:r>
        <w:t xml:space="preserve">45.6% (149)</w:t>
      </w:r>
    </w:p>
    <w:p>
      <w:pPr>
        <w:pStyle w:val="Compact"/>
      </w:pPr>
      <w:r>
        <w:t xml:space="preserve">327</w:t>
      </w:r>
    </w:p>
    <w:p>
      <w:pPr>
        <w:pStyle w:val="Compact"/>
      </w:pPr>
      <w:r>
        <w:t xml:space="preserve">1.03 (0.75, 1.41)</w:t>
      </w:r>
    </w:p>
    <w:p>
      <w:pPr>
        <w:pStyle w:val="Compact"/>
      </w:pPr>
      <w:r>
        <w:t xml:space="preserve">0.85</w:t>
      </w:r>
    </w:p>
    <w:p>
      <w:pPr>
        <w:pStyle w:val="Compact"/>
      </w:pPr>
      <w:r>
        <w:t xml:space="preserve">2012</w:t>
      </w:r>
    </w:p>
    <w:p>
      <w:pPr>
        <w:pStyle w:val="Compact"/>
      </w:pPr>
      <w:r>
        <w:t xml:space="preserve">45.3% (159)</w:t>
      </w:r>
    </w:p>
    <w:p>
      <w:pPr>
        <w:pStyle w:val="Compact"/>
      </w:pPr>
      <w:r>
        <w:t xml:space="preserve">351</w:t>
      </w:r>
    </w:p>
    <w:p>
      <w:pPr>
        <w:pStyle w:val="Compact"/>
      </w:pPr>
      <w:r>
        <w:t xml:space="preserve">1.02 (0.75, 1.39)</w:t>
      </w:r>
    </w:p>
    <w:p>
      <w:pPr>
        <w:pStyle w:val="Compact"/>
      </w:pPr>
      <w:r>
        <w:t xml:space="preserve">0.905</w:t>
      </w:r>
    </w:p>
    <w:p>
      <w:pPr>
        <w:pStyle w:val="Compact"/>
      </w:pPr>
      <w:r>
        <w:t xml:space="preserve">2013</w:t>
      </w:r>
    </w:p>
    <w:p>
      <w:pPr>
        <w:pStyle w:val="Compact"/>
      </w:pPr>
      <w:r>
        <w:t xml:space="preserve">43.9% (137)</w:t>
      </w:r>
    </w:p>
    <w:p>
      <w:pPr>
        <w:pStyle w:val="Compact"/>
      </w:pPr>
      <w:r>
        <w:t xml:space="preserve">312</w:t>
      </w:r>
    </w:p>
    <w:p>
      <w:pPr>
        <w:pStyle w:val="Compact"/>
      </w:pPr>
      <w:r>
        <w:t xml:space="preserve">0.99 (0.72, 1.37)</w:t>
      </w:r>
    </w:p>
    <w:p>
      <w:pPr>
        <w:pStyle w:val="Compact"/>
      </w:pPr>
      <w:r>
        <w:t xml:space="preserve">0.954</w:t>
      </w:r>
    </w:p>
    <w:p>
      <w:pPr>
        <w:pStyle w:val="Compact"/>
      </w:pPr>
      <w:r>
        <w:t xml:space="preserve">2014</w:t>
      </w:r>
    </w:p>
    <w:p>
      <w:pPr>
        <w:pStyle w:val="Compact"/>
      </w:pPr>
      <w:r>
        <w:t xml:space="preserve">44.8% (142)</w:t>
      </w:r>
    </w:p>
    <w:p>
      <w:pPr>
        <w:pStyle w:val="Compact"/>
      </w:pPr>
      <w:r>
        <w:t xml:space="preserve">317</w:t>
      </w:r>
    </w:p>
    <w:p>
      <w:pPr>
        <w:pStyle w:val="Compact"/>
      </w:pPr>
      <w:r>
        <w:t xml:space="preserve">0.96 (0.70, 1.32)</w:t>
      </w:r>
    </w:p>
    <w:p>
      <w:pPr>
        <w:pStyle w:val="Compact"/>
      </w:pPr>
      <w:r>
        <w:t xml:space="preserve">0.793</w:t>
      </w:r>
    </w:p>
    <w:p>
      <w:pPr>
        <w:pStyle w:val="Compact"/>
      </w:pPr>
      <w:r>
        <w:t xml:space="preserve">2015</w:t>
      </w:r>
    </w:p>
    <w:p>
      <w:pPr>
        <w:pStyle w:val="Compact"/>
      </w:pPr>
      <w:r>
        <w:t xml:space="preserve">38.7% (99)</w:t>
      </w:r>
    </w:p>
    <w:p>
      <w:pPr>
        <w:pStyle w:val="Compact"/>
      </w:pPr>
      <w:r>
        <w:t xml:space="preserve">256</w:t>
      </w:r>
    </w:p>
    <w:p>
      <w:pPr>
        <w:pStyle w:val="Compact"/>
      </w:pPr>
      <w:r>
        <w:t xml:space="preserve">0.80 (0.57, 1.12)</w:t>
      </w:r>
    </w:p>
    <w:p>
      <w:pPr>
        <w:pStyle w:val="Compact"/>
      </w:pPr>
      <w:r>
        <w:t xml:space="preserve">0.196</w:t>
      </w:r>
    </w:p>
    <w:p>
      <w:pPr>
        <w:pStyle w:val="Compact"/>
      </w:pPr>
      <w:r>
        <w:t xml:space="preserve">Sex</w:t>
      </w:r>
    </w:p>
    <w:p>
      <w:pPr>
        <w:pStyle w:val="Compact"/>
      </w:pPr>
      <w:r>
        <w:t xml:space="preserve">Female</w:t>
      </w:r>
    </w:p>
    <w:p>
      <w:pPr>
        <w:pStyle w:val="Compact"/>
      </w:pPr>
      <w:r>
        <w:t xml:space="preserve">44.7% (294)</w:t>
      </w:r>
    </w:p>
    <w:p>
      <w:pPr>
        <w:pStyle w:val="Compact"/>
      </w:pPr>
      <w:r>
        <w:t xml:space="preserve">657</w:t>
      </w:r>
    </w:p>
    <w:p>
      <w:pPr>
        <w:pStyle w:val="Compact"/>
      </w:pPr>
      <w:r>
        <w:t xml:space="preserve">0.628</w:t>
      </w:r>
    </w:p>
    <w:p>
      <w:pPr>
        <w:pStyle w:val="Compact"/>
      </w:pPr>
      <w:r>
        <w:t xml:space="preserve">Male</w:t>
      </w:r>
    </w:p>
    <w:p>
      <w:pPr>
        <w:pStyle w:val="Compact"/>
      </w:pPr>
      <w:r>
        <w:t xml:space="preserve">43.7% (536)</w:t>
      </w:r>
    </w:p>
    <w:p>
      <w:pPr>
        <w:pStyle w:val="Compact"/>
      </w:pPr>
      <w:r>
        <w:t xml:space="preserve">1226</w:t>
      </w:r>
    </w:p>
    <w:p>
      <w:pPr>
        <w:pStyle w:val="Compact"/>
      </w:pPr>
      <w:r>
        <w:t xml:space="preserve">0.95 (0.78, 1.16)</w:t>
      </w:r>
    </w:p>
    <w:p>
      <w:pPr>
        <w:pStyle w:val="Compact"/>
      </w:pPr>
      <w:r>
        <w:t xml:space="preserve">0.628</w:t>
      </w:r>
    </w:p>
    <w:p>
      <w:pPr>
        <w:pStyle w:val="Compact"/>
      </w:pPr>
      <w:r>
        <w:t xml:space="preserve">Age</w:t>
      </w:r>
    </w:p>
    <w:p>
      <w:pPr>
        <w:pStyle w:val="Compact"/>
      </w:pPr>
      <w:r>
        <w:t xml:space="preserve">0-14</w:t>
      </w:r>
    </w:p>
    <w:p>
      <w:pPr>
        <w:pStyle w:val="Compact"/>
      </w:pPr>
      <w:r>
        <w:t xml:space="preserve">50.0% (5)</w:t>
      </w:r>
    </w:p>
    <w:p>
      <w:pPr>
        <w:pStyle w:val="Compact"/>
      </w:pPr>
      <w:r>
        <w:t xml:space="preserve">10</w:t>
      </w:r>
    </w:p>
    <w:p>
      <w:pPr>
        <w:pStyle w:val="Compact"/>
      </w:pPr>
      <w:r>
        <w:t xml:space="preserve">0.116</w:t>
      </w:r>
    </w:p>
    <w:p>
      <w:pPr>
        <w:pStyle w:val="Compact"/>
      </w:pPr>
      <w:r>
        <w:t xml:space="preserve">15-44</w:t>
      </w:r>
    </w:p>
    <w:p>
      <w:pPr>
        <w:pStyle w:val="Compact"/>
      </w:pPr>
      <w:r>
        <w:t xml:space="preserve">35.4% (70)</w:t>
      </w:r>
    </w:p>
    <w:p>
      <w:pPr>
        <w:pStyle w:val="Compact"/>
      </w:pPr>
      <w:r>
        <w:t xml:space="preserve">198</w:t>
      </w:r>
    </w:p>
    <w:p>
      <w:pPr>
        <w:pStyle w:val="Compact"/>
      </w:pPr>
      <w:r>
        <w:t xml:space="preserve">0.64 (0.17, 2.48)</w:t>
      </w:r>
    </w:p>
    <w:p>
      <w:pPr>
        <w:pStyle w:val="Compact"/>
      </w:pPr>
      <w:r>
        <w:t xml:space="preserve">0.509</w:t>
      </w:r>
    </w:p>
    <w:p>
      <w:pPr>
        <w:pStyle w:val="Compact"/>
      </w:pPr>
      <w:r>
        <w:t xml:space="preserve">45-64</w:t>
      </w:r>
    </w:p>
    <w:p>
      <w:pPr>
        <w:pStyle w:val="Compact"/>
      </w:pPr>
      <w:r>
        <w:t xml:space="preserve">43.0% (200)</w:t>
      </w:r>
    </w:p>
    <w:p>
      <w:pPr>
        <w:pStyle w:val="Compact"/>
      </w:pPr>
      <w:r>
        <w:t xml:space="preserve">465</w:t>
      </w:r>
    </w:p>
    <w:p>
      <w:pPr>
        <w:pStyle w:val="Compact"/>
      </w:pPr>
      <w:r>
        <w:t xml:space="preserve">0.90 (0.24, 3.44)</w:t>
      </w:r>
    </w:p>
    <w:p>
      <w:pPr>
        <w:pStyle w:val="Compact"/>
      </w:pPr>
      <w:r>
        <w:t xml:space="preserve">0.874</w:t>
      </w:r>
    </w:p>
    <w:p>
      <w:pPr>
        <w:pStyle w:val="Compact"/>
      </w:pPr>
      <w:r>
        <w:t xml:space="preserve">65+</w:t>
      </w:r>
    </w:p>
    <w:p>
      <w:pPr>
        <w:pStyle w:val="Compact"/>
      </w:pPr>
      <w:r>
        <w:t xml:space="preserve">45.9% (555)</w:t>
      </w:r>
    </w:p>
    <w:p>
      <w:pPr>
        <w:pStyle w:val="Compact"/>
      </w:pPr>
      <w:r>
        <w:t xml:space="preserve">1210</w:t>
      </w:r>
    </w:p>
    <w:p>
      <w:pPr>
        <w:pStyle w:val="Compact"/>
      </w:pPr>
      <w:r>
        <w:t xml:space="preserve">0.96 (0.25, 3.67)</w:t>
      </w:r>
    </w:p>
    <w:p>
      <w:pPr>
        <w:pStyle w:val="Compact"/>
      </w:pPr>
      <w:r>
        <w:t xml:space="preserve">0.957</w:t>
      </w:r>
    </w:p>
    <w:p>
      <w:pPr>
        <w:pStyle w:val="Compact"/>
      </w:pPr>
      <w:r>
        <w:t xml:space="preserve">Ethnic group</w:t>
      </w:r>
    </w:p>
    <w:p>
      <w:pPr>
        <w:pStyle w:val="Compact"/>
      </w:pPr>
      <w:r>
        <w:t xml:space="preserve">White</w:t>
      </w:r>
    </w:p>
    <w:p>
      <w:pPr>
        <w:pStyle w:val="Compact"/>
      </w:pPr>
      <w:r>
        <w:t xml:space="preserve">48.2% (443)</w:t>
      </w:r>
    </w:p>
    <w:p>
      <w:pPr>
        <w:pStyle w:val="Compact"/>
      </w:pPr>
      <w:r>
        <w:t xml:space="preserve">920</w:t>
      </w:r>
    </w:p>
    <w:p>
      <w:pPr>
        <w:pStyle w:val="Compact"/>
      </w:pPr>
      <w:r>
        <w:t xml:space="preserve">0.000704</w:t>
      </w:r>
    </w:p>
    <w:p>
      <w:pPr>
        <w:pStyle w:val="Compact"/>
      </w:pPr>
      <w:r>
        <w:t xml:space="preserve">Black-Caribbean</w:t>
      </w:r>
    </w:p>
    <w:p>
      <w:pPr>
        <w:pStyle w:val="Compact"/>
      </w:pPr>
      <w:r>
        <w:t xml:space="preserve">21.7% (10)</w:t>
      </w:r>
    </w:p>
    <w:p>
      <w:pPr>
        <w:pStyle w:val="Compact"/>
      </w:pPr>
      <w:r>
        <w:t xml:space="preserve">46</w:t>
      </w:r>
    </w:p>
    <w:p>
      <w:pPr>
        <w:pStyle w:val="Compact"/>
      </w:pPr>
      <w:r>
        <w:t xml:space="preserve">0.40 (0.18, 0.82)</w:t>
      </w:r>
    </w:p>
    <w:p>
      <w:pPr>
        <w:pStyle w:val="Compact"/>
      </w:pPr>
      <w:r>
        <w:t xml:space="preserve">0.0173</w:t>
      </w:r>
    </w:p>
    <w:p>
      <w:pPr>
        <w:pStyle w:val="Compact"/>
      </w:pPr>
      <w:r>
        <w:t xml:space="preserve">Black-African</w:t>
      </w:r>
    </w:p>
    <w:p>
      <w:pPr>
        <w:pStyle w:val="Compact"/>
      </w:pPr>
      <w:r>
        <w:t xml:space="preserve">45.5% (61)</w:t>
      </w:r>
    </w:p>
    <w:p>
      <w:pPr>
        <w:pStyle w:val="Compact"/>
      </w:pPr>
      <w:r>
        <w:t xml:space="preserve">134</w:t>
      </w:r>
    </w:p>
    <w:p>
      <w:pPr>
        <w:pStyle w:val="Compact"/>
      </w:pPr>
      <w:r>
        <w:t xml:space="preserve">1.41 (0.85, 2.36)</w:t>
      </w:r>
    </w:p>
    <w:p>
      <w:pPr>
        <w:pStyle w:val="Compact"/>
      </w:pPr>
      <w:r>
        <w:t xml:space="preserve">0.183</w:t>
      </w:r>
    </w:p>
    <w:p>
      <w:pPr>
        <w:pStyle w:val="Compact"/>
      </w:pPr>
      <w:r>
        <w:t xml:space="preserve">Black-Other</w:t>
      </w:r>
    </w:p>
    <w:p>
      <w:pPr>
        <w:pStyle w:val="Compact"/>
      </w:pPr>
      <w:r>
        <w:t xml:space="preserve">20.0% (1)</w:t>
      </w:r>
    </w:p>
    <w:p>
      <w:pPr>
        <w:pStyle w:val="Compact"/>
      </w:pPr>
      <w:r>
        <w:t xml:space="preserve">5</w:t>
      </w:r>
    </w:p>
    <w:p>
      <w:pPr>
        <w:pStyle w:val="Compact"/>
      </w:pPr>
      <w:r>
        <w:t xml:space="preserve">0.41 (0.02, 2.87)</w:t>
      </w:r>
    </w:p>
    <w:p>
      <w:pPr>
        <w:pStyle w:val="Compact"/>
      </w:pPr>
      <w:r>
        <w:t xml:space="preserve">0.428</w:t>
      </w:r>
    </w:p>
    <w:p>
      <w:pPr>
        <w:pStyle w:val="Compact"/>
      </w:pPr>
      <w:r>
        <w:t xml:space="preserve">Indian</w:t>
      </w:r>
    </w:p>
    <w:p>
      <w:pPr>
        <w:pStyle w:val="Compact"/>
      </w:pPr>
      <w:r>
        <w:t xml:space="preserve">35.7% (131)</w:t>
      </w:r>
    </w:p>
    <w:p>
      <w:pPr>
        <w:pStyle w:val="Compact"/>
      </w:pPr>
      <w:r>
        <w:t xml:space="preserve">367</w:t>
      </w:r>
    </w:p>
    <w:p>
      <w:pPr>
        <w:pStyle w:val="Compact"/>
      </w:pPr>
      <w:r>
        <w:t xml:space="preserve">0.83 (0.55, 1.27)</w:t>
      </w:r>
    </w:p>
    <w:p>
      <w:pPr>
        <w:pStyle w:val="Compact"/>
      </w:pPr>
      <w:r>
        <w:t xml:space="preserve">0.388</w:t>
      </w:r>
    </w:p>
    <w:p>
      <w:pPr>
        <w:pStyle w:val="Compact"/>
      </w:pPr>
      <w:r>
        <w:t xml:space="preserve">Pakistani</w:t>
      </w:r>
    </w:p>
    <w:p>
      <w:pPr>
        <w:pStyle w:val="Compact"/>
      </w:pPr>
      <w:r>
        <w:t xml:space="preserve">49.4% (123)</w:t>
      </w:r>
    </w:p>
    <w:p>
      <w:pPr>
        <w:pStyle w:val="Compact"/>
      </w:pPr>
      <w:r>
        <w:t xml:space="preserve">249</w:t>
      </w:r>
    </w:p>
    <w:p>
      <w:pPr>
        <w:pStyle w:val="Compact"/>
      </w:pPr>
      <w:r>
        <w:t xml:space="preserve">1.47 (0.95, 2.29)</w:t>
      </w:r>
    </w:p>
    <w:p>
      <w:pPr>
        <w:pStyle w:val="Compact"/>
      </w:pPr>
      <w:r>
        <w:t xml:space="preserve">0.0857</w:t>
      </w:r>
    </w:p>
    <w:p>
      <w:pPr>
        <w:pStyle w:val="Compact"/>
      </w:pPr>
      <w:r>
        <w:t xml:space="preserve">Bangladeshi</w:t>
      </w:r>
    </w:p>
    <w:p>
      <w:pPr>
        <w:pStyle w:val="Compact"/>
      </w:pPr>
      <w:r>
        <w:t xml:space="preserve">27.3% (12)</w:t>
      </w:r>
    </w:p>
    <w:p>
      <w:pPr>
        <w:pStyle w:val="Compact"/>
      </w:pPr>
      <w:r>
        <w:t xml:space="preserve">44</w:t>
      </w:r>
    </w:p>
    <w:p>
      <w:pPr>
        <w:pStyle w:val="Compact"/>
      </w:pPr>
      <w:r>
        <w:t xml:space="preserve">0.60 (0.27, 1.26)</w:t>
      </w:r>
    </w:p>
    <w:p>
      <w:pPr>
        <w:pStyle w:val="Compact"/>
      </w:pPr>
      <w:r>
        <w:t xml:space="preserve">0.189</w:t>
      </w:r>
    </w:p>
    <w:p>
      <w:pPr>
        <w:pStyle w:val="Compact"/>
      </w:pPr>
      <w:r>
        <w:t xml:space="preserve">Chinese</w:t>
      </w:r>
    </w:p>
    <w:p>
      <w:pPr>
        <w:pStyle w:val="Compact"/>
      </w:pPr>
      <w:r>
        <w:t xml:space="preserve">52.4% (11)</w:t>
      </w:r>
    </w:p>
    <w:p>
      <w:pPr>
        <w:pStyle w:val="Compact"/>
      </w:pPr>
      <w:r>
        <w:t xml:space="preserve">21</w:t>
      </w:r>
    </w:p>
    <w:p>
      <w:pPr>
        <w:pStyle w:val="Compact"/>
      </w:pPr>
      <w:r>
        <w:t xml:space="preserve">1.64 (0.64, 4.23)</w:t>
      </w:r>
    </w:p>
    <w:p>
      <w:pPr>
        <w:pStyle w:val="Compact"/>
      </w:pPr>
      <w:r>
        <w:t xml:space="preserve">0.302</w:t>
      </w:r>
    </w:p>
    <w:p>
      <w:pPr>
        <w:pStyle w:val="Compact"/>
      </w:pPr>
      <w:r>
        <w:t xml:space="preserve">Mixed / Other</w:t>
      </w:r>
    </w:p>
    <w:p>
      <w:pPr>
        <w:pStyle w:val="Compact"/>
      </w:pPr>
      <w:r>
        <w:t xml:space="preserve">39.2% (38)</w:t>
      </w:r>
    </w:p>
    <w:p>
      <w:pPr>
        <w:pStyle w:val="Compact"/>
      </w:pPr>
      <w:r>
        <w:t xml:space="preserve">97</w:t>
      </w:r>
    </w:p>
    <w:p>
      <w:pPr>
        <w:pStyle w:val="Compact"/>
      </w:pPr>
      <w:r>
        <w:t xml:space="preserve">1.00 (0.58, 1.72)</w:t>
      </w:r>
    </w:p>
    <w:p>
      <w:pPr>
        <w:pStyle w:val="Compact"/>
      </w:pPr>
      <w:r>
        <w:t xml:space="preserve">0.991</w:t>
      </w:r>
    </w:p>
    <w:p>
      <w:pPr>
        <w:pStyle w:val="Compact"/>
      </w:pPr>
      <w:r>
        <w:t xml:space="preserve">UK birth status</w:t>
      </w:r>
    </w:p>
    <w:p>
      <w:pPr>
        <w:pStyle w:val="Compact"/>
      </w:pPr>
      <w:r>
        <w:t xml:space="preserve">Non-UK Born</w:t>
      </w:r>
    </w:p>
    <w:p>
      <w:pPr>
        <w:pStyle w:val="Compact"/>
      </w:pPr>
      <w:r>
        <w:t xml:space="preserve">40.1% (403)</w:t>
      </w:r>
    </w:p>
    <w:p>
      <w:pPr>
        <w:pStyle w:val="Compact"/>
      </w:pPr>
      <w:r>
        <w:t xml:space="preserve">1004</w:t>
      </w:r>
    </w:p>
    <w:p>
      <w:pPr>
        <w:pStyle w:val="Compact"/>
      </w:pPr>
      <w:r>
        <w:t xml:space="preserve">0.072</w:t>
      </w:r>
    </w:p>
    <w:p>
      <w:pPr>
        <w:pStyle w:val="Compact"/>
      </w:pPr>
      <w:r>
        <w:t xml:space="preserve">UK Born</w:t>
      </w:r>
    </w:p>
    <w:p>
      <w:pPr>
        <w:pStyle w:val="Compact"/>
      </w:pPr>
      <w:r>
        <w:t xml:space="preserve">48.6% (427)</w:t>
      </w:r>
    </w:p>
    <w:p>
      <w:pPr>
        <w:pStyle w:val="Compact"/>
      </w:pPr>
      <w:r>
        <w:t xml:space="preserve">879</w:t>
      </w:r>
    </w:p>
    <w:p>
      <w:pPr>
        <w:pStyle w:val="Compact"/>
      </w:pPr>
      <w:r>
        <w:t xml:space="preserve">1.41 (0.97, 2.07)</w:t>
      </w:r>
    </w:p>
    <w:p>
      <w:pPr>
        <w:pStyle w:val="Compact"/>
      </w:pPr>
      <w:r>
        <w:t xml:space="preserve">0.073</w:t>
      </w:r>
    </w:p>
    <w:p>
      <w:pPr>
        <w:pStyle w:val="Compact"/>
      </w:pPr>
      <w:r>
        <w:t xml:space="preserve">Socio-economic status</w:t>
      </w:r>
    </w:p>
    <w:p>
      <w:pPr>
        <w:pStyle w:val="Compact"/>
      </w:pPr>
      <w:r>
        <w:t xml:space="preserve">1</w:t>
      </w:r>
    </w:p>
    <w:p>
      <w:pPr>
        <w:pStyle w:val="Compact"/>
      </w:pPr>
      <w:r>
        <w:t xml:space="preserve">43.7% (304)</w:t>
      </w:r>
    </w:p>
    <w:p>
      <w:pPr>
        <w:pStyle w:val="Compact"/>
      </w:pPr>
      <w:r>
        <w:t xml:space="preserve">695</w:t>
      </w:r>
    </w:p>
    <w:p>
      <w:pPr>
        <w:pStyle w:val="Compact"/>
      </w:pPr>
      <w:r>
        <w:t xml:space="preserve">0.345</w:t>
      </w:r>
    </w:p>
    <w:p>
      <w:pPr>
        <w:pStyle w:val="Compact"/>
      </w:pPr>
      <w:r>
        <w:t xml:space="preserve">2</w:t>
      </w:r>
    </w:p>
    <w:p>
      <w:pPr>
        <w:pStyle w:val="Compact"/>
      </w:pPr>
      <w:r>
        <w:t xml:space="preserve">40.0% (188)</w:t>
      </w:r>
    </w:p>
    <w:p>
      <w:pPr>
        <w:pStyle w:val="Compact"/>
      </w:pPr>
      <w:r>
        <w:t xml:space="preserve">470</w:t>
      </w:r>
    </w:p>
    <w:p>
      <w:pPr>
        <w:pStyle w:val="Compact"/>
      </w:pPr>
      <w:r>
        <w:t xml:space="preserve">0.93 (0.72, 1.18)</w:t>
      </w:r>
    </w:p>
    <w:p>
      <w:pPr>
        <w:pStyle w:val="Compact"/>
      </w:pPr>
      <w:r>
        <w:t xml:space="preserve">0.54</w:t>
      </w:r>
    </w:p>
    <w:p>
      <w:pPr>
        <w:pStyle w:val="Compact"/>
      </w:pPr>
      <w:r>
        <w:t xml:space="preserve">3</w:t>
      </w:r>
    </w:p>
    <w:p>
      <w:pPr>
        <w:pStyle w:val="Compact"/>
      </w:pPr>
      <w:r>
        <w:t xml:space="preserve">42.9% (127)</w:t>
      </w:r>
    </w:p>
    <w:p>
      <w:pPr>
        <w:pStyle w:val="Compact"/>
      </w:pPr>
      <w:r>
        <w:t xml:space="preserve">296</w:t>
      </w:r>
    </w:p>
    <w:p>
      <w:pPr>
        <w:pStyle w:val="Compact"/>
      </w:pPr>
      <w:r>
        <w:t xml:space="preserve">0.98 (0.74, 1.31)</w:t>
      </w:r>
    </w:p>
    <w:p>
      <w:pPr>
        <w:pStyle w:val="Compact"/>
      </w:pPr>
      <w:r>
        <w:t xml:space="preserve">0.916</w:t>
      </w:r>
    </w:p>
    <w:p>
      <w:pPr>
        <w:pStyle w:val="Compact"/>
      </w:pPr>
      <w:r>
        <w:t xml:space="preserve">4</w:t>
      </w:r>
    </w:p>
    <w:p>
      <w:pPr>
        <w:pStyle w:val="Compact"/>
      </w:pPr>
      <w:r>
        <w:t xml:space="preserve">49.8% (118)</w:t>
      </w:r>
    </w:p>
    <w:p>
      <w:pPr>
        <w:pStyle w:val="Compact"/>
      </w:pPr>
      <w:r>
        <w:t xml:space="preserve">237</w:t>
      </w:r>
    </w:p>
    <w:p>
      <w:pPr>
        <w:pStyle w:val="Compact"/>
      </w:pPr>
      <w:r>
        <w:t xml:space="preserve">1.24 (0.91, 1.69)</w:t>
      </w:r>
    </w:p>
    <w:p>
      <w:pPr>
        <w:pStyle w:val="Compact"/>
      </w:pPr>
      <w:r>
        <w:t xml:space="preserve">0.172</w:t>
      </w:r>
    </w:p>
    <w:p>
      <w:pPr>
        <w:pStyle w:val="Compact"/>
      </w:pPr>
      <w:r>
        <w:t xml:space="preserve">5</w:t>
      </w:r>
    </w:p>
    <w:p>
      <w:pPr>
        <w:pStyle w:val="Compact"/>
      </w:pPr>
      <w:r>
        <w:t xml:space="preserve">50.3% (93)</w:t>
      </w:r>
    </w:p>
    <w:p>
      <w:pPr>
        <w:pStyle w:val="Compact"/>
      </w:pPr>
      <w:r>
        <w:t xml:space="preserve">185</w:t>
      </w:r>
    </w:p>
    <w:p>
      <w:pPr>
        <w:pStyle w:val="Compact"/>
      </w:pPr>
      <w:r>
        <w:t xml:space="preserve">1.21 (0.86, 1.71)</w:t>
      </w:r>
    </w:p>
    <w:p>
      <w:pPr>
        <w:pStyle w:val="Compact"/>
      </w:pPr>
      <w:r>
        <w:t xml:space="preserve">0.262</w:t>
      </w:r>
    </w:p>
    <w:p>
      <w:pPr>
        <w:pStyle w:val="Heading2"/>
      </w:pPr>
      <w:bookmarkStart w:id="47" w:name="date-of-symptom-onset"/>
      <w:r>
        <w:t xml:space="preserve">Date of symptom onset</w:t>
      </w:r>
      <w:bookmarkEnd w:id="47"/>
    </w:p>
    <w:p>
      <w:pPr>
        <w:pStyle w:val="FirstParagraph"/>
      </w:pPr>
      <w:r>
        <w:t xml:space="preserve">For date of symptom onset there was strong evidence of an MAR mechanism for all variables considered, except for sex (Table 7).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Compact"/>
      </w:pPr>
      <w:r>
        <w:t xml:space="preserve">Table 7: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34.0% (2426)</w:t>
      </w:r>
    </w:p>
    <w:p>
      <w:pPr>
        <w:pStyle w:val="Compact"/>
      </w:pPr>
      <w:r>
        <w:t xml:space="preserve">7143</w:t>
      </w:r>
    </w:p>
    <w:p>
      <w:pPr>
        <w:pStyle w:val="Compact"/>
      </w:pPr>
      <w:r>
        <w:t xml:space="preserve">0</w:t>
      </w:r>
    </w:p>
    <w:p>
      <w:pPr>
        <w:pStyle w:val="Compact"/>
      </w:pPr>
      <w:r>
        <w:t xml:space="preserve">2011</w:t>
      </w:r>
    </w:p>
    <w:p>
      <w:pPr>
        <w:pStyle w:val="Compact"/>
      </w:pPr>
      <w:r>
        <w:t xml:space="preserve">30.1% (2339)</w:t>
      </w:r>
    </w:p>
    <w:p>
      <w:pPr>
        <w:pStyle w:val="Compact"/>
      </w:pPr>
      <w:r>
        <w:t xml:space="preserve">7781</w:t>
      </w:r>
    </w:p>
    <w:p>
      <w:pPr>
        <w:pStyle w:val="Compact"/>
      </w:pPr>
      <w:r>
        <w:t xml:space="preserve">0.83 (0.78, 0.89)</w:t>
      </w:r>
    </w:p>
    <w:p>
      <w:pPr>
        <w:pStyle w:val="Compact"/>
      </w:pPr>
      <w:r>
        <w:t xml:space="preserve">2.03e-07</w:t>
      </w:r>
    </w:p>
    <w:p>
      <w:pPr>
        <w:pStyle w:val="Compact"/>
      </w:pPr>
      <w:r>
        <w:t xml:space="preserve">2012</w:t>
      </w:r>
    </w:p>
    <w:p>
      <w:pPr>
        <w:pStyle w:val="Compact"/>
      </w:pPr>
      <w:r>
        <w:t xml:space="preserve">24.2% (1878)</w:t>
      </w:r>
    </w:p>
    <w:p>
      <w:pPr>
        <w:pStyle w:val="Compact"/>
      </w:pPr>
      <w:r>
        <w:t xml:space="preserve">7755</w:t>
      </w:r>
    </w:p>
    <w:p>
      <w:pPr>
        <w:pStyle w:val="Compact"/>
      </w:pPr>
      <w:r>
        <w:t xml:space="preserve">0.61 (0.57, 0.66)</w:t>
      </w:r>
    </w:p>
    <w:p>
      <w:pPr>
        <w:pStyle w:val="Compact"/>
      </w:pPr>
      <w:r>
        <w:t xml:space="preserve">2.24e-40</w:t>
      </w:r>
    </w:p>
    <w:p>
      <w:pPr>
        <w:pStyle w:val="Compact"/>
      </w:pPr>
      <w:r>
        <w:t xml:space="preserve">2013</w:t>
      </w:r>
    </w:p>
    <w:p>
      <w:pPr>
        <w:pStyle w:val="Compact"/>
      </w:pPr>
      <w:r>
        <w:t xml:space="preserve">17.5% (1233)</w:t>
      </w:r>
    </w:p>
    <w:p>
      <w:pPr>
        <w:pStyle w:val="Compact"/>
      </w:pPr>
      <w:r>
        <w:t xml:space="preserve">7034</w:t>
      </w:r>
    </w:p>
    <w:p>
      <w:pPr>
        <w:pStyle w:val="Compact"/>
      </w:pPr>
      <w:r>
        <w:t xml:space="preserve">0.41 (0.38, 0.44)</w:t>
      </w:r>
    </w:p>
    <w:p>
      <w:pPr>
        <w:pStyle w:val="Compact"/>
      </w:pPr>
      <w:r>
        <w:t xml:space="preserve">8.22e-108</w:t>
      </w:r>
    </w:p>
    <w:p>
      <w:pPr>
        <w:pStyle w:val="Compact"/>
      </w:pPr>
      <w:r>
        <w:t xml:space="preserve">2014</w:t>
      </w:r>
    </w:p>
    <w:p>
      <w:pPr>
        <w:pStyle w:val="Compact"/>
      </w:pPr>
      <w:r>
        <w:t xml:space="preserve">11.8% (744)</w:t>
      </w:r>
    </w:p>
    <w:p>
      <w:pPr>
        <w:pStyle w:val="Compact"/>
      </w:pPr>
      <w:r>
        <w:t xml:space="preserve">6327</w:t>
      </w:r>
    </w:p>
    <w:p>
      <w:pPr>
        <w:pStyle w:val="Compact"/>
      </w:pPr>
      <w:r>
        <w:t xml:space="preserve">0.25 (0.23, 0.28)</w:t>
      </w:r>
    </w:p>
    <w:p>
      <w:pPr>
        <w:pStyle w:val="Compact"/>
      </w:pPr>
      <w:r>
        <w:t xml:space="preserve">1.52e-188</w:t>
      </w:r>
    </w:p>
    <w:p>
      <w:pPr>
        <w:pStyle w:val="Compact"/>
      </w:pPr>
      <w:r>
        <w:t xml:space="preserve">2015</w:t>
      </w:r>
    </w:p>
    <w:p>
      <w:pPr>
        <w:pStyle w:val="Compact"/>
      </w:pPr>
      <w:r>
        <w:t xml:space="preserve">6.9% (390)</w:t>
      </w:r>
    </w:p>
    <w:p>
      <w:pPr>
        <w:pStyle w:val="Compact"/>
      </w:pPr>
      <w:r>
        <w:t xml:space="preserve">5619</w:t>
      </w:r>
    </w:p>
    <w:p>
      <w:pPr>
        <w:pStyle w:val="Compact"/>
      </w:pPr>
      <w:r>
        <w:t xml:space="preserve">0.14 (0.13, 0.16)</w:t>
      </w:r>
    </w:p>
    <w:p>
      <w:pPr>
        <w:pStyle w:val="Compact"/>
      </w:pPr>
      <w:r>
        <w:t xml:space="preserve">8.88e-245</w:t>
      </w:r>
    </w:p>
    <w:p>
      <w:pPr>
        <w:pStyle w:val="Compact"/>
      </w:pPr>
      <w:r>
        <w:t xml:space="preserve">Sex</w:t>
      </w:r>
    </w:p>
    <w:p>
      <w:pPr>
        <w:pStyle w:val="Compact"/>
      </w:pPr>
      <w:r>
        <w:t xml:space="preserve">Female</w:t>
      </w:r>
    </w:p>
    <w:p>
      <w:pPr>
        <w:pStyle w:val="Compact"/>
      </w:pPr>
      <w:r>
        <w:t xml:space="preserve">22.0% (3894)</w:t>
      </w:r>
    </w:p>
    <w:p>
      <w:pPr>
        <w:pStyle w:val="Compact"/>
      </w:pPr>
      <w:r>
        <w:t xml:space="preserve">17664</w:t>
      </w:r>
    </w:p>
    <w:p>
      <w:pPr>
        <w:pStyle w:val="Compact"/>
      </w:pPr>
      <w:r>
        <w:t xml:space="preserve">0.93</w:t>
      </w:r>
    </w:p>
    <w:p>
      <w:pPr>
        <w:pStyle w:val="Compact"/>
      </w:pPr>
      <w:r>
        <w:t xml:space="preserve">Male</w:t>
      </w:r>
    </w:p>
    <w:p>
      <w:pPr>
        <w:pStyle w:val="Compact"/>
      </w:pPr>
      <w:r>
        <w:t xml:space="preserve">21.3% (5116)</w:t>
      </w:r>
    </w:p>
    <w:p>
      <w:pPr>
        <w:pStyle w:val="Compact"/>
      </w:pPr>
      <w:r>
        <w:t xml:space="preserve">23995</w:t>
      </w:r>
    </w:p>
    <w:p>
      <w:pPr>
        <w:pStyle w:val="Compact"/>
      </w:pPr>
      <w:r>
        <w:t xml:space="preserve">1.00 (0.95, 1.05)</w:t>
      </w:r>
    </w:p>
    <w:p>
      <w:pPr>
        <w:pStyle w:val="Compact"/>
      </w:pPr>
      <w:r>
        <w:t xml:space="preserve">0.93</w:t>
      </w:r>
    </w:p>
    <w:p>
      <w:pPr>
        <w:pStyle w:val="Compact"/>
      </w:pPr>
      <w:r>
        <w:t xml:space="preserve">Age</w:t>
      </w:r>
    </w:p>
    <w:p>
      <w:pPr>
        <w:pStyle w:val="Compact"/>
      </w:pPr>
      <w:r>
        <w:t xml:space="preserve">0-14</w:t>
      </w:r>
    </w:p>
    <w:p>
      <w:pPr>
        <w:pStyle w:val="Compact"/>
      </w:pPr>
      <w:r>
        <w:t xml:space="preserve">38.1% (684)</w:t>
      </w:r>
    </w:p>
    <w:p>
      <w:pPr>
        <w:pStyle w:val="Compact"/>
      </w:pPr>
      <w:r>
        <w:t xml:space="preserve">1793</w:t>
      </w:r>
    </w:p>
    <w:p>
      <w:pPr>
        <w:pStyle w:val="Compact"/>
      </w:pPr>
      <w:r>
        <w:t xml:space="preserve">3.59e-73</w:t>
      </w:r>
    </w:p>
    <w:p>
      <w:pPr>
        <w:pStyle w:val="Compact"/>
      </w:pPr>
      <w:r>
        <w:t xml:space="preserve">15-44</w:t>
      </w:r>
    </w:p>
    <w:p>
      <w:pPr>
        <w:pStyle w:val="Compact"/>
      </w:pPr>
      <w:r>
        <w:t xml:space="preserve">20.5% (5182)</w:t>
      </w:r>
    </w:p>
    <w:p>
      <w:pPr>
        <w:pStyle w:val="Compact"/>
      </w:pPr>
      <w:r>
        <w:t xml:space="preserve">25235</w:t>
      </w:r>
    </w:p>
    <w:p>
      <w:pPr>
        <w:pStyle w:val="Compact"/>
      </w:pPr>
      <w:r>
        <w:t xml:space="preserve">0.35 (0.31, 0.39)</w:t>
      </w:r>
    </w:p>
    <w:p>
      <w:pPr>
        <w:pStyle w:val="Compact"/>
      </w:pPr>
      <w:r>
        <w:t xml:space="preserve">6.74e-77</w:t>
      </w:r>
    </w:p>
    <w:p>
      <w:pPr>
        <w:pStyle w:val="Compact"/>
      </w:pPr>
      <w:r>
        <w:t xml:space="preserve">45-64</w:t>
      </w:r>
    </w:p>
    <w:p>
      <w:pPr>
        <w:pStyle w:val="Compact"/>
      </w:pPr>
      <w:r>
        <w:t xml:space="preserve">20.7% (1870)</w:t>
      </w:r>
    </w:p>
    <w:p>
      <w:pPr>
        <w:pStyle w:val="Compact"/>
      </w:pPr>
      <w:r>
        <w:t xml:space="preserve">9026</w:t>
      </w:r>
    </w:p>
    <w:p>
      <w:pPr>
        <w:pStyle w:val="Compact"/>
      </w:pPr>
      <w:r>
        <w:t xml:space="preserve">0.37 (0.33, 0.42)</w:t>
      </w:r>
    </w:p>
    <w:p>
      <w:pPr>
        <w:pStyle w:val="Compact"/>
      </w:pPr>
      <w:r>
        <w:t xml:space="preserve">2.18e-58</w:t>
      </w:r>
    </w:p>
    <w:p>
      <w:pPr>
        <w:pStyle w:val="Compact"/>
      </w:pPr>
      <w:r>
        <w:t xml:space="preserve">65+</w:t>
      </w:r>
    </w:p>
    <w:p>
      <w:pPr>
        <w:pStyle w:val="Compact"/>
      </w:pPr>
      <w:r>
        <w:t xml:space="preserve">22.7% (1274)</w:t>
      </w:r>
    </w:p>
    <w:p>
      <w:pPr>
        <w:pStyle w:val="Compact"/>
      </w:pPr>
      <w:r>
        <w:t xml:space="preserve">5605</w:t>
      </w:r>
    </w:p>
    <w:p>
      <w:pPr>
        <w:pStyle w:val="Compact"/>
      </w:pPr>
      <w:r>
        <w:t xml:space="preserve">0.43 (0.38, 0.49)</w:t>
      </w:r>
    </w:p>
    <w:p>
      <w:pPr>
        <w:pStyle w:val="Compact"/>
      </w:pPr>
      <w:r>
        <w:t xml:space="preserve">2.31e-39</w:t>
      </w:r>
    </w:p>
    <w:p>
      <w:pPr>
        <w:pStyle w:val="Compact"/>
      </w:pPr>
      <w:r>
        <w:t xml:space="preserve">Ethnic group</w:t>
      </w:r>
    </w:p>
    <w:p>
      <w:pPr>
        <w:pStyle w:val="Compact"/>
      </w:pPr>
      <w:r>
        <w:t xml:space="preserve">White</w:t>
      </w:r>
    </w:p>
    <w:p>
      <w:pPr>
        <w:pStyle w:val="Compact"/>
      </w:pPr>
      <w:r>
        <w:t xml:space="preserve">20.9% (1749)</w:t>
      </w:r>
    </w:p>
    <w:p>
      <w:pPr>
        <w:pStyle w:val="Compact"/>
      </w:pPr>
      <w:r>
        <w:t xml:space="preserve">8359</w:t>
      </w:r>
    </w:p>
    <w:p>
      <w:pPr>
        <w:pStyle w:val="Compact"/>
      </w:pPr>
      <w:r>
        <w:t xml:space="preserve">3.98e-09</w:t>
      </w:r>
    </w:p>
    <w:p>
      <w:pPr>
        <w:pStyle w:val="Compact"/>
      </w:pPr>
      <w:r>
        <w:t xml:space="preserve">Black-Caribbean</w:t>
      </w:r>
    </w:p>
    <w:p>
      <w:pPr>
        <w:pStyle w:val="Compact"/>
      </w:pPr>
      <w:r>
        <w:t xml:space="preserve">23.1% (214)</w:t>
      </w:r>
    </w:p>
    <w:p>
      <w:pPr>
        <w:pStyle w:val="Compact"/>
      </w:pPr>
      <w:r>
        <w:t xml:space="preserve">928</w:t>
      </w:r>
    </w:p>
    <w:p>
      <w:pPr>
        <w:pStyle w:val="Compact"/>
      </w:pPr>
      <w:r>
        <w:t xml:space="preserve">1.04 (0.88, 1.23)</w:t>
      </w:r>
    </w:p>
    <w:p>
      <w:pPr>
        <w:pStyle w:val="Compact"/>
      </w:pPr>
      <w:r>
        <w:t xml:space="preserve">0.658</w:t>
      </w:r>
    </w:p>
    <w:p>
      <w:pPr>
        <w:pStyle w:val="Compact"/>
      </w:pPr>
      <w:r>
        <w:t xml:space="preserve">Black-African</w:t>
      </w:r>
    </w:p>
    <w:p>
      <w:pPr>
        <w:pStyle w:val="Compact"/>
      </w:pPr>
      <w:r>
        <w:t xml:space="preserve">23.0% (1654)</w:t>
      </w:r>
    </w:p>
    <w:p>
      <w:pPr>
        <w:pStyle w:val="Compact"/>
      </w:pPr>
      <w:r>
        <w:t xml:space="preserve">7204</w:t>
      </w:r>
    </w:p>
    <w:p>
      <w:pPr>
        <w:pStyle w:val="Compact"/>
      </w:pPr>
      <w:r>
        <w:t xml:space="preserve">0.89 (0.80, 0.98)</w:t>
      </w:r>
    </w:p>
    <w:p>
      <w:pPr>
        <w:pStyle w:val="Compact"/>
      </w:pPr>
      <w:r>
        <w:t xml:space="preserve">0.0179</w:t>
      </w:r>
    </w:p>
    <w:p>
      <w:pPr>
        <w:pStyle w:val="Compact"/>
      </w:pPr>
      <w:r>
        <w:t xml:space="preserve">Black-Other</w:t>
      </w:r>
    </w:p>
    <w:p>
      <w:pPr>
        <w:pStyle w:val="Compact"/>
      </w:pPr>
      <w:r>
        <w:t xml:space="preserve">18.7% (69)</w:t>
      </w:r>
    </w:p>
    <w:p>
      <w:pPr>
        <w:pStyle w:val="Compact"/>
      </w:pPr>
      <w:r>
        <w:t xml:space="preserve">369</w:t>
      </w:r>
    </w:p>
    <w:p>
      <w:pPr>
        <w:pStyle w:val="Compact"/>
      </w:pPr>
      <w:r>
        <w:t xml:space="preserve">0.79 (0.60, 1.04)</w:t>
      </w:r>
    </w:p>
    <w:p>
      <w:pPr>
        <w:pStyle w:val="Compact"/>
      </w:pPr>
      <w:r>
        <w:t xml:space="preserve">0.106</w:t>
      </w:r>
    </w:p>
    <w:p>
      <w:pPr>
        <w:pStyle w:val="Compact"/>
      </w:pPr>
      <w:r>
        <w:t xml:space="preserve">Indian</w:t>
      </w:r>
    </w:p>
    <w:p>
      <w:pPr>
        <w:pStyle w:val="Compact"/>
      </w:pPr>
      <w:r>
        <w:t xml:space="preserve">22.2% (2404)</w:t>
      </w:r>
    </w:p>
    <w:p>
      <w:pPr>
        <w:pStyle w:val="Compact"/>
      </w:pPr>
      <w:r>
        <w:t xml:space="preserve">10848</w:t>
      </w:r>
    </w:p>
    <w:p>
      <w:pPr>
        <w:pStyle w:val="Compact"/>
      </w:pPr>
      <w:r>
        <w:t xml:space="preserve">0.86 (0.79, 0.94)</w:t>
      </w:r>
    </w:p>
    <w:p>
      <w:pPr>
        <w:pStyle w:val="Compact"/>
      </w:pPr>
      <w:r>
        <w:t xml:space="preserve">0.00119</w:t>
      </w:r>
    </w:p>
    <w:p>
      <w:pPr>
        <w:pStyle w:val="Compact"/>
      </w:pPr>
      <w:r>
        <w:t xml:space="preserve">Pakistani</w:t>
      </w:r>
    </w:p>
    <w:p>
      <w:pPr>
        <w:pStyle w:val="Compact"/>
      </w:pPr>
      <w:r>
        <w:t xml:space="preserve">19.2% (1305)</w:t>
      </w:r>
    </w:p>
    <w:p>
      <w:pPr>
        <w:pStyle w:val="Compact"/>
      </w:pPr>
      <w:r>
        <w:t xml:space="preserve">6806</w:t>
      </w:r>
    </w:p>
    <w:p>
      <w:pPr>
        <w:pStyle w:val="Compact"/>
      </w:pPr>
      <w:r>
        <w:t xml:space="preserve">0.75 (0.68, 0.83)</w:t>
      </w:r>
    </w:p>
    <w:p>
      <w:pPr>
        <w:pStyle w:val="Compact"/>
      </w:pPr>
      <w:r>
        <w:t xml:space="preserve">5.56e-09</w:t>
      </w:r>
    </w:p>
    <w:p>
      <w:pPr>
        <w:pStyle w:val="Compact"/>
      </w:pPr>
      <w:r>
        <w:t xml:space="preserve">Bangladeshi</w:t>
      </w:r>
    </w:p>
    <w:p>
      <w:pPr>
        <w:pStyle w:val="Compact"/>
      </w:pPr>
      <w:r>
        <w:t xml:space="preserve">23.9% (401)</w:t>
      </w:r>
    </w:p>
    <w:p>
      <w:pPr>
        <w:pStyle w:val="Compact"/>
      </w:pPr>
      <w:r>
        <w:t xml:space="preserve">1680</w:t>
      </w:r>
    </w:p>
    <w:p>
      <w:pPr>
        <w:pStyle w:val="Compact"/>
      </w:pPr>
      <w:r>
        <w:t xml:space="preserve">1.05 (0.91, 1.20)</w:t>
      </w:r>
    </w:p>
    <w:p>
      <w:pPr>
        <w:pStyle w:val="Compact"/>
      </w:pPr>
      <w:r>
        <w:t xml:space="preserve">0.524</w:t>
      </w:r>
    </w:p>
    <w:p>
      <w:pPr>
        <w:pStyle w:val="Compact"/>
      </w:pPr>
      <w:r>
        <w:t xml:space="preserve">Chinese</w:t>
      </w:r>
    </w:p>
    <w:p>
      <w:pPr>
        <w:pStyle w:val="Compact"/>
      </w:pPr>
      <w:r>
        <w:t xml:space="preserve">18.8% (93)</w:t>
      </w:r>
    </w:p>
    <w:p>
      <w:pPr>
        <w:pStyle w:val="Compact"/>
      </w:pPr>
      <w:r>
        <w:t xml:space="preserve">494</w:t>
      </w:r>
    </w:p>
    <w:p>
      <w:pPr>
        <w:pStyle w:val="Compact"/>
      </w:pPr>
      <w:r>
        <w:t xml:space="preserve">0.74 (0.58, 0.94)</w:t>
      </w:r>
    </w:p>
    <w:p>
      <w:pPr>
        <w:pStyle w:val="Compact"/>
      </w:pPr>
      <w:r>
        <w:t xml:space="preserve">0.016</w:t>
      </w:r>
    </w:p>
    <w:p>
      <w:pPr>
        <w:pStyle w:val="Compact"/>
      </w:pPr>
      <w:r>
        <w:t xml:space="preserve">Mixed / Other</w:t>
      </w:r>
    </w:p>
    <w:p>
      <w:pPr>
        <w:pStyle w:val="Compact"/>
      </w:pPr>
      <w:r>
        <w:t xml:space="preserve">22.6% (1121)</w:t>
      </w:r>
    </w:p>
    <w:p>
      <w:pPr>
        <w:pStyle w:val="Compact"/>
      </w:pPr>
      <w:r>
        <w:t xml:space="preserve">4971</w:t>
      </w:r>
    </w:p>
    <w:p>
      <w:pPr>
        <w:pStyle w:val="Compact"/>
      </w:pPr>
      <w:r>
        <w:t xml:space="preserve">0.93 (0.83, 1.03)</w:t>
      </w:r>
    </w:p>
    <w:p>
      <w:pPr>
        <w:pStyle w:val="Compact"/>
      </w:pPr>
      <w:r>
        <w:t xml:space="preserve">0.152</w:t>
      </w:r>
    </w:p>
    <w:p>
      <w:pPr>
        <w:pStyle w:val="Compact"/>
      </w:pPr>
      <w:r>
        <w:t xml:space="preserve">UK birth status</w:t>
      </w:r>
    </w:p>
    <w:p>
      <w:pPr>
        <w:pStyle w:val="Compact"/>
      </w:pPr>
      <w:r>
        <w:t xml:space="preserve">Non-UK Born</w:t>
      </w:r>
    </w:p>
    <w:p>
      <w:pPr>
        <w:pStyle w:val="Compact"/>
      </w:pPr>
      <w:r>
        <w:t xml:space="preserve">21.9% (6774)</w:t>
      </w:r>
    </w:p>
    <w:p>
      <w:pPr>
        <w:pStyle w:val="Compact"/>
      </w:pPr>
      <w:r>
        <w:t xml:space="preserve">30880</w:t>
      </w:r>
    </w:p>
    <w:p>
      <w:pPr>
        <w:pStyle w:val="Compact"/>
      </w:pPr>
      <w:r>
        <w:t xml:space="preserve">5.44e-12</w:t>
      </w:r>
    </w:p>
    <w:p>
      <w:pPr>
        <w:pStyle w:val="Compact"/>
      </w:pPr>
      <w:r>
        <w:t xml:space="preserve">UK Born</w:t>
      </w:r>
    </w:p>
    <w:p>
      <w:pPr>
        <w:pStyle w:val="Compact"/>
      </w:pPr>
      <w:r>
        <w:t xml:space="preserve">20.7% (2236)</w:t>
      </w:r>
    </w:p>
    <w:p>
      <w:pPr>
        <w:pStyle w:val="Compact"/>
      </w:pPr>
      <w:r>
        <w:t xml:space="preserve">10779</w:t>
      </w:r>
    </w:p>
    <w:p>
      <w:pPr>
        <w:pStyle w:val="Compact"/>
      </w:pPr>
      <w:r>
        <w:t xml:space="preserve">0.77 (0.71, 0.83)</w:t>
      </w:r>
    </w:p>
    <w:p>
      <w:pPr>
        <w:pStyle w:val="Compact"/>
      </w:pPr>
      <w:r>
        <w:t xml:space="preserve">7.6e-12</w:t>
      </w:r>
    </w:p>
    <w:p>
      <w:pPr>
        <w:pStyle w:val="Compact"/>
      </w:pPr>
      <w:r>
        <w:t xml:space="preserve">Socio-economic status</w:t>
      </w:r>
    </w:p>
    <w:p>
      <w:pPr>
        <w:pStyle w:val="Compact"/>
      </w:pPr>
      <w:r>
        <w:t xml:space="preserve">1</w:t>
      </w:r>
    </w:p>
    <w:p>
      <w:pPr>
        <w:pStyle w:val="Compact"/>
      </w:pPr>
      <w:r>
        <w:t xml:space="preserve">19.9% (3218)</w:t>
      </w:r>
    </w:p>
    <w:p>
      <w:pPr>
        <w:pStyle w:val="Compact"/>
      </w:pPr>
      <w:r>
        <w:t xml:space="preserve">16131</w:t>
      </w:r>
    </w:p>
    <w:p>
      <w:pPr>
        <w:pStyle w:val="Compact"/>
      </w:pPr>
      <w:r>
        <w:t xml:space="preserve">5e-17</w:t>
      </w:r>
    </w:p>
    <w:p>
      <w:pPr>
        <w:pStyle w:val="Compact"/>
      </w:pPr>
      <w:r>
        <w:t xml:space="preserve">2</w:t>
      </w:r>
    </w:p>
    <w:p>
      <w:pPr>
        <w:pStyle w:val="Compact"/>
      </w:pPr>
      <w:r>
        <w:t xml:space="preserve">22.9% (2888)</w:t>
      </w:r>
    </w:p>
    <w:p>
      <w:pPr>
        <w:pStyle w:val="Compact"/>
      </w:pPr>
      <w:r>
        <w:t xml:space="preserve">12621</w:t>
      </w:r>
    </w:p>
    <w:p>
      <w:pPr>
        <w:pStyle w:val="Compact"/>
      </w:pPr>
      <w:r>
        <w:t xml:space="preserve">1.22 (1.15, 1.29)</w:t>
      </w:r>
    </w:p>
    <w:p>
      <w:pPr>
        <w:pStyle w:val="Compact"/>
      </w:pPr>
      <w:r>
        <w:t xml:space="preserve">9.51e-11</w:t>
      </w:r>
    </w:p>
    <w:p>
      <w:pPr>
        <w:pStyle w:val="Compact"/>
      </w:pPr>
      <w:r>
        <w:t xml:space="preserve">3</w:t>
      </w:r>
    </w:p>
    <w:p>
      <w:pPr>
        <w:pStyle w:val="Compact"/>
      </w:pPr>
      <w:r>
        <w:t xml:space="preserve">24.2% (1578)</w:t>
      </w:r>
    </w:p>
    <w:p>
      <w:pPr>
        <w:pStyle w:val="Compact"/>
      </w:pPr>
      <w:r>
        <w:t xml:space="preserve">6530</w:t>
      </w:r>
    </w:p>
    <w:p>
      <w:pPr>
        <w:pStyle w:val="Compact"/>
      </w:pPr>
      <w:r>
        <w:t xml:space="preserve">1.33 (1.24, 1.43)</w:t>
      </w:r>
    </w:p>
    <w:p>
      <w:pPr>
        <w:pStyle w:val="Compact"/>
      </w:pPr>
      <w:r>
        <w:t xml:space="preserve">5.79e-15</w:t>
      </w:r>
    </w:p>
    <w:p>
      <w:pPr>
        <w:pStyle w:val="Compact"/>
      </w:pPr>
      <w:r>
        <w:t xml:space="preserve">4</w:t>
      </w:r>
    </w:p>
    <w:p>
      <w:pPr>
        <w:pStyle w:val="Compact"/>
      </w:pPr>
      <w:r>
        <w:t xml:space="preserve">22.0% (837)</w:t>
      </w:r>
    </w:p>
    <w:p>
      <w:pPr>
        <w:pStyle w:val="Compact"/>
      </w:pPr>
      <w:r>
        <w:t xml:space="preserve">3796</w:t>
      </w:r>
    </w:p>
    <w:p>
      <w:pPr>
        <w:pStyle w:val="Compact"/>
      </w:pPr>
      <w:r>
        <w:t xml:space="preserve">1.20 (1.09, 1.31)</w:t>
      </w:r>
    </w:p>
    <w:p>
      <w:pPr>
        <w:pStyle w:val="Compact"/>
      </w:pPr>
      <w:r>
        <w:t xml:space="preserve">8.72e-05</w:t>
      </w:r>
    </w:p>
    <w:p>
      <w:pPr>
        <w:pStyle w:val="Compact"/>
      </w:pPr>
      <w:r>
        <w:t xml:space="preserve">5</w:t>
      </w:r>
    </w:p>
    <w:p>
      <w:pPr>
        <w:pStyle w:val="Compact"/>
      </w:pPr>
      <w:r>
        <w:t xml:space="preserve">18.9% (489)</w:t>
      </w:r>
    </w:p>
    <w:p>
      <w:pPr>
        <w:pStyle w:val="Compact"/>
      </w:pPr>
      <w:r>
        <w:t xml:space="preserve">2581</w:t>
      </w:r>
    </w:p>
    <w:p>
      <w:pPr>
        <w:pStyle w:val="Compact"/>
      </w:pPr>
      <w:r>
        <w:t xml:space="preserve">1.00 (0.89, 1.12)</w:t>
      </w:r>
    </w:p>
    <w:p>
      <w:pPr>
        <w:pStyle w:val="Compact"/>
      </w:pPr>
      <w:r>
        <w:t xml:space="preserve">0.991</w:t>
      </w:r>
    </w:p>
    <w:p>
      <w:pPr>
        <w:pStyle w:val="Heading2"/>
      </w:pPr>
      <w:bookmarkStart w:id="48" w:name="date-of-diagnosis"/>
      <w:r>
        <w:t xml:space="preserve">Date of diagnosis</w:t>
      </w:r>
      <w:bookmarkEnd w:id="48"/>
    </w:p>
    <w:p>
      <w:pPr>
        <w:pStyle w:val="FirstParagraph"/>
      </w:pPr>
      <w:r>
        <w:t xml:space="preserve">For date of diagnosis there was again strong evidence for an MAR mechanism for all variables considered, except for sex for which there was very weak evidence (Table 8).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Compact"/>
      </w:pPr>
      <w:r>
        <w:t xml:space="preserve">Table 8: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26.9% (1918)</w:t>
      </w:r>
    </w:p>
    <w:p>
      <w:pPr>
        <w:pStyle w:val="Compact"/>
      </w:pPr>
      <w:r>
        <w:t xml:space="preserve">7143</w:t>
      </w:r>
    </w:p>
    <w:p>
      <w:pPr>
        <w:pStyle w:val="Compact"/>
      </w:pPr>
      <w:r>
        <w:t xml:space="preserve">1.65e-283</w:t>
      </w:r>
    </w:p>
    <w:p>
      <w:pPr>
        <w:pStyle w:val="Compact"/>
      </w:pPr>
      <w:r>
        <w:t xml:space="preserve">2011</w:t>
      </w:r>
    </w:p>
    <w:p>
      <w:pPr>
        <w:pStyle w:val="Compact"/>
      </w:pPr>
      <w:r>
        <w:t xml:space="preserve">22.3% (1736)</w:t>
      </w:r>
    </w:p>
    <w:p>
      <w:pPr>
        <w:pStyle w:val="Compact"/>
      </w:pPr>
      <w:r>
        <w:t xml:space="preserve">7781</w:t>
      </w:r>
    </w:p>
    <w:p>
      <w:pPr>
        <w:pStyle w:val="Compact"/>
      </w:pPr>
      <w:r>
        <w:t xml:space="preserve">0.78 (0.72, 0.84)</w:t>
      </w:r>
    </w:p>
    <w:p>
      <w:pPr>
        <w:pStyle w:val="Compact"/>
      </w:pPr>
      <w:r>
        <w:t xml:space="preserve">6.72e-11</w:t>
      </w:r>
    </w:p>
    <w:p>
      <w:pPr>
        <w:pStyle w:val="Compact"/>
      </w:pPr>
      <w:r>
        <w:t xml:space="preserve">2012</w:t>
      </w:r>
    </w:p>
    <w:p>
      <w:pPr>
        <w:pStyle w:val="Compact"/>
      </w:pPr>
      <w:r>
        <w:t xml:space="preserve">18.8% (1458)</w:t>
      </w:r>
    </w:p>
    <w:p>
      <w:pPr>
        <w:pStyle w:val="Compact"/>
      </w:pPr>
      <w:r>
        <w:t xml:space="preserve">7755</w:t>
      </w:r>
    </w:p>
    <w:p>
      <w:pPr>
        <w:pStyle w:val="Compact"/>
      </w:pPr>
      <w:r>
        <w:t xml:space="preserve">0.63 (0.58, 0.68)</w:t>
      </w:r>
    </w:p>
    <w:p>
      <w:pPr>
        <w:pStyle w:val="Compact"/>
      </w:pPr>
      <w:r>
        <w:t xml:space="preserve">4.31e-31</w:t>
      </w:r>
    </w:p>
    <w:p>
      <w:pPr>
        <w:pStyle w:val="Compact"/>
      </w:pPr>
      <w:r>
        <w:t xml:space="preserve">2013</w:t>
      </w:r>
    </w:p>
    <w:p>
      <w:pPr>
        <w:pStyle w:val="Compact"/>
      </w:pPr>
      <w:r>
        <w:t xml:space="preserve">12.9% (909)</w:t>
      </w:r>
    </w:p>
    <w:p>
      <w:pPr>
        <w:pStyle w:val="Compact"/>
      </w:pPr>
      <w:r>
        <w:t xml:space="preserve">7034</w:t>
      </w:r>
    </w:p>
    <w:p>
      <w:pPr>
        <w:pStyle w:val="Compact"/>
      </w:pPr>
      <w:r>
        <w:t xml:space="preserve">0.41 (0.37, 0.44)</w:t>
      </w:r>
    </w:p>
    <w:p>
      <w:pPr>
        <w:pStyle w:val="Compact"/>
      </w:pPr>
      <w:r>
        <w:t xml:space="preserve">1.46e-89</w:t>
      </w:r>
    </w:p>
    <w:p>
      <w:pPr>
        <w:pStyle w:val="Compact"/>
      </w:pPr>
      <w:r>
        <w:t xml:space="preserve">2014</w:t>
      </w:r>
    </w:p>
    <w:p>
      <w:pPr>
        <w:pStyle w:val="Compact"/>
      </w:pPr>
      <w:r>
        <w:t xml:space="preserve">10.4% (659)</w:t>
      </w:r>
    </w:p>
    <w:p>
      <w:pPr>
        <w:pStyle w:val="Compact"/>
      </w:pPr>
      <w:r>
        <w:t xml:space="preserve">6327</w:t>
      </w:r>
    </w:p>
    <w:p>
      <w:pPr>
        <w:pStyle w:val="Compact"/>
      </w:pPr>
      <w:r>
        <w:t xml:space="preserve">0.32 (0.29, 0.35)</w:t>
      </w:r>
    </w:p>
    <w:p>
      <w:pPr>
        <w:pStyle w:val="Compact"/>
      </w:pPr>
      <w:r>
        <w:t xml:space="preserve">1.05e-118</w:t>
      </w:r>
    </w:p>
    <w:p>
      <w:pPr>
        <w:pStyle w:val="Compact"/>
      </w:pPr>
      <w:r>
        <w:t xml:space="preserve">2015</w:t>
      </w:r>
    </w:p>
    <w:p>
      <w:pPr>
        <w:pStyle w:val="Compact"/>
      </w:pPr>
      <w:r>
        <w:t xml:space="preserve">7.4% (415)</w:t>
      </w:r>
    </w:p>
    <w:p>
      <w:pPr>
        <w:pStyle w:val="Compact"/>
      </w:pPr>
      <w:r>
        <w:t xml:space="preserve">5619</w:t>
      </w:r>
    </w:p>
    <w:p>
      <w:pPr>
        <w:pStyle w:val="Compact"/>
      </w:pPr>
      <w:r>
        <w:t xml:space="preserve">0.22 (0.19, 0.24)</w:t>
      </w:r>
    </w:p>
    <w:p>
      <w:pPr>
        <w:pStyle w:val="Compact"/>
      </w:pPr>
      <w:r>
        <w:t xml:space="preserve">1.63e-154</w:t>
      </w:r>
    </w:p>
    <w:p>
      <w:pPr>
        <w:pStyle w:val="Compact"/>
      </w:pPr>
      <w:r>
        <w:t xml:space="preserve">Sex</w:t>
      </w:r>
    </w:p>
    <w:p>
      <w:pPr>
        <w:pStyle w:val="Compact"/>
      </w:pPr>
      <w:r>
        <w:t xml:space="preserve">Female</w:t>
      </w:r>
    </w:p>
    <w:p>
      <w:pPr>
        <w:pStyle w:val="Compact"/>
      </w:pPr>
      <w:r>
        <w:t xml:space="preserve">16.9% (2984)</w:t>
      </w:r>
    </w:p>
    <w:p>
      <w:pPr>
        <w:pStyle w:val="Compact"/>
      </w:pPr>
      <w:r>
        <w:t xml:space="preserve">17664</w:t>
      </w:r>
    </w:p>
    <w:p>
      <w:pPr>
        <w:pStyle w:val="Compact"/>
      </w:pPr>
      <w:r>
        <w:t xml:space="preserve">0.0296</w:t>
      </w:r>
    </w:p>
    <w:p>
      <w:pPr>
        <w:pStyle w:val="Compact"/>
      </w:pPr>
      <w:r>
        <w:t xml:space="preserve">Male</w:t>
      </w:r>
    </w:p>
    <w:p>
      <w:pPr>
        <w:pStyle w:val="Compact"/>
      </w:pPr>
      <w:r>
        <w:t xml:space="preserve">17.1% (4111)</w:t>
      </w:r>
    </w:p>
    <w:p>
      <w:pPr>
        <w:pStyle w:val="Compact"/>
      </w:pPr>
      <w:r>
        <w:t xml:space="preserve">23995</w:t>
      </w:r>
    </w:p>
    <w:p>
      <w:pPr>
        <w:pStyle w:val="Compact"/>
      </w:pPr>
      <w:r>
        <w:t xml:space="preserve">1.06 (1.01, 1.12)</w:t>
      </w:r>
    </w:p>
    <w:p>
      <w:pPr>
        <w:pStyle w:val="Compact"/>
      </w:pPr>
      <w:r>
        <w:t xml:space="preserve">0.0298</w:t>
      </w:r>
    </w:p>
    <w:p>
      <w:pPr>
        <w:pStyle w:val="Compact"/>
      </w:pPr>
      <w:r>
        <w:t xml:space="preserve">Age</w:t>
      </w:r>
    </w:p>
    <w:p>
      <w:pPr>
        <w:pStyle w:val="Compact"/>
      </w:pPr>
      <w:r>
        <w:t xml:space="preserve">0-14</w:t>
      </w:r>
    </w:p>
    <w:p>
      <w:pPr>
        <w:pStyle w:val="Compact"/>
      </w:pPr>
      <w:r>
        <w:t xml:space="preserve">19.4% (348)</w:t>
      </w:r>
    </w:p>
    <w:p>
      <w:pPr>
        <w:pStyle w:val="Compact"/>
      </w:pPr>
      <w:r>
        <w:t xml:space="preserve">1793</w:t>
      </w:r>
    </w:p>
    <w:p>
      <w:pPr>
        <w:pStyle w:val="Compact"/>
      </w:pPr>
      <w:r>
        <w:t xml:space="preserve">0.000164</w:t>
      </w:r>
    </w:p>
    <w:p>
      <w:pPr>
        <w:pStyle w:val="Compact"/>
      </w:pPr>
      <w:r>
        <w:t xml:space="preserve">15-44</w:t>
      </w:r>
    </w:p>
    <w:p>
      <w:pPr>
        <w:pStyle w:val="Compact"/>
      </w:pPr>
      <w:r>
        <w:t xml:space="preserve">17.8% (4504)</w:t>
      </w:r>
    </w:p>
    <w:p>
      <w:pPr>
        <w:pStyle w:val="Compact"/>
      </w:pPr>
      <w:r>
        <w:t xml:space="preserve">25235</w:t>
      </w:r>
    </w:p>
    <w:p>
      <w:pPr>
        <w:pStyle w:val="Compact"/>
      </w:pPr>
      <w:r>
        <w:t xml:space="preserve">0.76 (0.67, 0.87)</w:t>
      </w:r>
    </w:p>
    <w:p>
      <w:pPr>
        <w:pStyle w:val="Compact"/>
      </w:pPr>
      <w:r>
        <w:t xml:space="preserve">3.85e-05</w:t>
      </w:r>
    </w:p>
    <w:p>
      <w:pPr>
        <w:pStyle w:val="Compact"/>
      </w:pPr>
      <w:r>
        <w:t xml:space="preserve">45-64</w:t>
      </w:r>
    </w:p>
    <w:p>
      <w:pPr>
        <w:pStyle w:val="Compact"/>
      </w:pPr>
      <w:r>
        <w:t xml:space="preserve">15.9% (1434)</w:t>
      </w:r>
    </w:p>
    <w:p>
      <w:pPr>
        <w:pStyle w:val="Compact"/>
      </w:pPr>
      <w:r>
        <w:t xml:space="preserve">9026</w:t>
      </w:r>
    </w:p>
    <w:p>
      <w:pPr>
        <w:pStyle w:val="Compact"/>
      </w:pPr>
      <w:r>
        <w:t xml:space="preserve">0.73 (0.64, 0.84)</w:t>
      </w:r>
    </w:p>
    <w:p>
      <w:pPr>
        <w:pStyle w:val="Compact"/>
      </w:pPr>
      <w:r>
        <w:t xml:space="preserve">1.54e-05</w:t>
      </w:r>
    </w:p>
    <w:p>
      <w:pPr>
        <w:pStyle w:val="Compact"/>
      </w:pPr>
      <w:r>
        <w:t xml:space="preserve">65+</w:t>
      </w:r>
    </w:p>
    <w:p>
      <w:pPr>
        <w:pStyle w:val="Compact"/>
      </w:pPr>
      <w:r>
        <w:t xml:space="preserve">14.4% (809)</w:t>
      </w:r>
    </w:p>
    <w:p>
      <w:pPr>
        <w:pStyle w:val="Compact"/>
      </w:pPr>
      <w:r>
        <w:t xml:space="preserve">5605</w:t>
      </w:r>
    </w:p>
    <w:p>
      <w:pPr>
        <w:pStyle w:val="Compact"/>
      </w:pPr>
      <w:r>
        <w:t xml:space="preserve">0.72 (0.62, 0.84)</w:t>
      </w:r>
    </w:p>
    <w:p>
      <w:pPr>
        <w:pStyle w:val="Compact"/>
      </w:pPr>
      <w:r>
        <w:t xml:space="preserve">1.84e-05</w:t>
      </w:r>
    </w:p>
    <w:p>
      <w:pPr>
        <w:pStyle w:val="Compact"/>
      </w:pPr>
      <w:r>
        <w:t xml:space="preserve">Ethnic group</w:t>
      </w:r>
    </w:p>
    <w:p>
      <w:pPr>
        <w:pStyle w:val="Compact"/>
      </w:pPr>
      <w:r>
        <w:t xml:space="preserve">White</w:t>
      </w:r>
    </w:p>
    <w:p>
      <w:pPr>
        <w:pStyle w:val="Compact"/>
      </w:pPr>
      <w:r>
        <w:t xml:space="preserve">12.5% (1043)</w:t>
      </w:r>
    </w:p>
    <w:p>
      <w:pPr>
        <w:pStyle w:val="Compact"/>
      </w:pPr>
      <w:r>
        <w:t xml:space="preserve">8359</w:t>
      </w:r>
    </w:p>
    <w:p>
      <w:pPr>
        <w:pStyle w:val="Compact"/>
      </w:pPr>
      <w:r>
        <w:t xml:space="preserve">2.91e-67</w:t>
      </w:r>
    </w:p>
    <w:p>
      <w:pPr>
        <w:pStyle w:val="Compact"/>
      </w:pPr>
      <w:r>
        <w:t xml:space="preserve">Black-Caribbean</w:t>
      </w:r>
    </w:p>
    <w:p>
      <w:pPr>
        <w:pStyle w:val="Compact"/>
      </w:pPr>
      <w:r>
        <w:t xml:space="preserve">25.2% (234)</w:t>
      </w:r>
    </w:p>
    <w:p>
      <w:pPr>
        <w:pStyle w:val="Compact"/>
      </w:pPr>
      <w:r>
        <w:t xml:space="preserve">928</w:t>
      </w:r>
    </w:p>
    <w:p>
      <w:pPr>
        <w:pStyle w:val="Compact"/>
      </w:pPr>
      <w:r>
        <w:t xml:space="preserve">2.21 (1.87, 2.61)</w:t>
      </w:r>
    </w:p>
    <w:p>
      <w:pPr>
        <w:pStyle w:val="Compact"/>
      </w:pPr>
      <w:r>
        <w:t xml:space="preserve">2.58e-20</w:t>
      </w:r>
    </w:p>
    <w:p>
      <w:pPr>
        <w:pStyle w:val="Compact"/>
      </w:pPr>
      <w:r>
        <w:t xml:space="preserve">Black-African</w:t>
      </w:r>
    </w:p>
    <w:p>
      <w:pPr>
        <w:pStyle w:val="Compact"/>
      </w:pPr>
      <w:r>
        <w:t xml:space="preserve">21.9% (1577)</w:t>
      </w:r>
    </w:p>
    <w:p>
      <w:pPr>
        <w:pStyle w:val="Compact"/>
      </w:pPr>
      <w:r>
        <w:t xml:space="preserve">7204</w:t>
      </w:r>
    </w:p>
    <w:p>
      <w:pPr>
        <w:pStyle w:val="Compact"/>
      </w:pPr>
      <w:r>
        <w:t xml:space="preserve">1.49 (1.34, 1.66)</w:t>
      </w:r>
    </w:p>
    <w:p>
      <w:pPr>
        <w:pStyle w:val="Compact"/>
      </w:pPr>
      <w:r>
        <w:t xml:space="preserve">5.45e-13</w:t>
      </w:r>
    </w:p>
    <w:p>
      <w:pPr>
        <w:pStyle w:val="Compact"/>
      </w:pPr>
      <w:r>
        <w:t xml:space="preserve">Black-Other</w:t>
      </w:r>
    </w:p>
    <w:p>
      <w:pPr>
        <w:pStyle w:val="Compact"/>
      </w:pPr>
      <w:r>
        <w:t xml:space="preserve">17.9% (66)</w:t>
      </w:r>
    </w:p>
    <w:p>
      <w:pPr>
        <w:pStyle w:val="Compact"/>
      </w:pPr>
      <w:r>
        <w:t xml:space="preserve">369</w:t>
      </w:r>
    </w:p>
    <w:p>
      <w:pPr>
        <w:pStyle w:val="Compact"/>
      </w:pPr>
      <w:r>
        <w:t xml:space="preserve">1.32 (0.98, 1.74)</w:t>
      </w:r>
    </w:p>
    <w:p>
      <w:pPr>
        <w:pStyle w:val="Compact"/>
      </w:pPr>
      <w:r>
        <w:t xml:space="preserve">0.0587</w:t>
      </w:r>
    </w:p>
    <w:p>
      <w:pPr>
        <w:pStyle w:val="Compact"/>
      </w:pPr>
      <w:r>
        <w:t xml:space="preserve">Indian</w:t>
      </w:r>
    </w:p>
    <w:p>
      <w:pPr>
        <w:pStyle w:val="Compact"/>
      </w:pPr>
      <w:r>
        <w:t xml:space="preserve">18.0% (1957)</w:t>
      </w:r>
    </w:p>
    <w:p>
      <w:pPr>
        <w:pStyle w:val="Compact"/>
      </w:pPr>
      <w:r>
        <w:t xml:space="preserve">10848</w:t>
      </w:r>
    </w:p>
    <w:p>
      <w:pPr>
        <w:pStyle w:val="Compact"/>
      </w:pPr>
      <w:r>
        <w:t xml:space="preserve">1.09 (0.99, 1.21)</w:t>
      </w:r>
    </w:p>
    <w:p>
      <w:pPr>
        <w:pStyle w:val="Compact"/>
      </w:pPr>
      <w:r>
        <w:t xml:space="preserve">0.0858</w:t>
      </w:r>
    </w:p>
    <w:p>
      <w:pPr>
        <w:pStyle w:val="Compact"/>
      </w:pPr>
      <w:r>
        <w:t xml:space="preserve">Pakistani</w:t>
      </w:r>
    </w:p>
    <w:p>
      <w:pPr>
        <w:pStyle w:val="Compact"/>
      </w:pPr>
      <w:r>
        <w:t xml:space="preserve">11.8% (805)</w:t>
      </w:r>
    </w:p>
    <w:p>
      <w:pPr>
        <w:pStyle w:val="Compact"/>
      </w:pPr>
      <w:r>
        <w:t xml:space="preserve">6806</w:t>
      </w:r>
    </w:p>
    <w:p>
      <w:pPr>
        <w:pStyle w:val="Compact"/>
      </w:pPr>
      <w:r>
        <w:t xml:space="preserve">0.75 (0.67, 0.84)</w:t>
      </w:r>
    </w:p>
    <w:p>
      <w:pPr>
        <w:pStyle w:val="Compact"/>
      </w:pPr>
      <w:r>
        <w:t xml:space="preserve">8.98e-07</w:t>
      </w:r>
    </w:p>
    <w:p>
      <w:pPr>
        <w:pStyle w:val="Compact"/>
      </w:pPr>
      <w:r>
        <w:t xml:space="preserve">Bangladeshi</w:t>
      </w:r>
    </w:p>
    <w:p>
      <w:pPr>
        <w:pStyle w:val="Compact"/>
      </w:pPr>
      <w:r>
        <w:t xml:space="preserve">21.5% (361)</w:t>
      </w:r>
    </w:p>
    <w:p>
      <w:pPr>
        <w:pStyle w:val="Compact"/>
      </w:pPr>
      <w:r>
        <w:t xml:space="preserve">1680</w:t>
      </w:r>
    </w:p>
    <w:p>
      <w:pPr>
        <w:pStyle w:val="Compact"/>
      </w:pPr>
      <w:r>
        <w:t xml:space="preserve">1.57 (1.35, 1.82)</w:t>
      </w:r>
    </w:p>
    <w:p>
      <w:pPr>
        <w:pStyle w:val="Compact"/>
      </w:pPr>
      <w:r>
        <w:t xml:space="preserve">2.63e-09</w:t>
      </w:r>
    </w:p>
    <w:p>
      <w:pPr>
        <w:pStyle w:val="Compact"/>
      </w:pPr>
      <w:r>
        <w:t xml:space="preserve">Chinese</w:t>
      </w:r>
    </w:p>
    <w:p>
      <w:pPr>
        <w:pStyle w:val="Compact"/>
      </w:pPr>
      <w:r>
        <w:t xml:space="preserve">13.4% (66)</w:t>
      </w:r>
    </w:p>
    <w:p>
      <w:pPr>
        <w:pStyle w:val="Compact"/>
      </w:pPr>
      <w:r>
        <w:t xml:space="preserve">494</w:t>
      </w:r>
    </w:p>
    <w:p>
      <w:pPr>
        <w:pStyle w:val="Compact"/>
      </w:pPr>
      <w:r>
        <w:t xml:space="preserve">0.82 (0.61, 1.07)</w:t>
      </w:r>
    </w:p>
    <w:p>
      <w:pPr>
        <w:pStyle w:val="Compact"/>
      </w:pPr>
      <w:r>
        <w:t xml:space="preserve">0.153</w:t>
      </w:r>
    </w:p>
    <w:p>
      <w:pPr>
        <w:pStyle w:val="Compact"/>
      </w:pPr>
      <w:r>
        <w:t xml:space="preserve">Mixed / Other</w:t>
      </w:r>
    </w:p>
    <w:p>
      <w:pPr>
        <w:pStyle w:val="Compact"/>
      </w:pPr>
      <w:r>
        <w:t xml:space="preserve">19.8% (986)</w:t>
      </w:r>
    </w:p>
    <w:p>
      <w:pPr>
        <w:pStyle w:val="Compact"/>
      </w:pPr>
      <w:r>
        <w:t xml:space="preserve">4971</w:t>
      </w:r>
    </w:p>
    <w:p>
      <w:pPr>
        <w:pStyle w:val="Compact"/>
      </w:pPr>
      <w:r>
        <w:t xml:space="preserve">1.32 (1.18, 1.48)</w:t>
      </w:r>
    </w:p>
    <w:p>
      <w:pPr>
        <w:pStyle w:val="Compact"/>
      </w:pPr>
      <w:r>
        <w:t xml:space="preserve">1.84e-06</w:t>
      </w:r>
    </w:p>
    <w:p>
      <w:pPr>
        <w:pStyle w:val="Compact"/>
      </w:pPr>
      <w:r>
        <w:t xml:space="preserve">UK birth status</w:t>
      </w:r>
    </w:p>
    <w:p>
      <w:pPr>
        <w:pStyle w:val="Compact"/>
      </w:pPr>
      <w:r>
        <w:t xml:space="preserve">Non-UK Born</w:t>
      </w:r>
    </w:p>
    <w:p>
      <w:pPr>
        <w:pStyle w:val="Compact"/>
      </w:pPr>
      <w:r>
        <w:t xml:space="preserve">18.4% (5696)</w:t>
      </w:r>
    </w:p>
    <w:p>
      <w:pPr>
        <w:pStyle w:val="Compact"/>
      </w:pPr>
      <w:r>
        <w:t xml:space="preserve">30880</w:t>
      </w:r>
    </w:p>
    <w:p>
      <w:pPr>
        <w:pStyle w:val="Compact"/>
      </w:pPr>
      <w:r>
        <w:t xml:space="preserve">6.07e-16</w:t>
      </w:r>
    </w:p>
    <w:p>
      <w:pPr>
        <w:pStyle w:val="Compact"/>
      </w:pPr>
      <w:r>
        <w:t xml:space="preserve">UK Born</w:t>
      </w:r>
    </w:p>
    <w:p>
      <w:pPr>
        <w:pStyle w:val="Compact"/>
      </w:pPr>
      <w:r>
        <w:t xml:space="preserve">13.0% (1399)</w:t>
      </w:r>
    </w:p>
    <w:p>
      <w:pPr>
        <w:pStyle w:val="Compact"/>
      </w:pPr>
      <w:r>
        <w:t xml:space="preserve">10779</w:t>
      </w:r>
    </w:p>
    <w:p>
      <w:pPr>
        <w:pStyle w:val="Compact"/>
      </w:pPr>
      <w:r>
        <w:t xml:space="preserve">0.71 (0.65, 0.77)</w:t>
      </w:r>
    </w:p>
    <w:p>
      <w:pPr>
        <w:pStyle w:val="Compact"/>
      </w:pPr>
      <w:r>
        <w:t xml:space="preserve">1.23e-15</w:t>
      </w:r>
    </w:p>
    <w:p>
      <w:pPr>
        <w:pStyle w:val="Compact"/>
      </w:pPr>
      <w:r>
        <w:t xml:space="preserve">Socio-economic status</w:t>
      </w:r>
    </w:p>
    <w:p>
      <w:pPr>
        <w:pStyle w:val="Compact"/>
      </w:pPr>
      <w:r>
        <w:t xml:space="preserve">1</w:t>
      </w:r>
    </w:p>
    <w:p>
      <w:pPr>
        <w:pStyle w:val="Compact"/>
      </w:pPr>
      <w:r>
        <w:t xml:space="preserve">14.4% (2317)</w:t>
      </w:r>
    </w:p>
    <w:p>
      <w:pPr>
        <w:pStyle w:val="Compact"/>
      </w:pPr>
      <w:r>
        <w:t xml:space="preserve">16131</w:t>
      </w:r>
    </w:p>
    <w:p>
      <w:pPr>
        <w:pStyle w:val="Compact"/>
      </w:pPr>
      <w:r>
        <w:t xml:space="preserve">1.05e-45</w:t>
      </w:r>
    </w:p>
    <w:p>
      <w:pPr>
        <w:pStyle w:val="Compact"/>
      </w:pPr>
      <w:r>
        <w:t xml:space="preserve">2</w:t>
      </w:r>
    </w:p>
    <w:p>
      <w:pPr>
        <w:pStyle w:val="Compact"/>
      </w:pPr>
      <w:r>
        <w:t xml:space="preserve">19.6% (2469)</w:t>
      </w:r>
    </w:p>
    <w:p>
      <w:pPr>
        <w:pStyle w:val="Compact"/>
      </w:pPr>
      <w:r>
        <w:t xml:space="preserve">12621</w:t>
      </w:r>
    </w:p>
    <w:p>
      <w:pPr>
        <w:pStyle w:val="Compact"/>
      </w:pPr>
      <w:r>
        <w:t xml:space="preserve">1.48 (1.39, 1.58)</w:t>
      </w:r>
    </w:p>
    <w:p>
      <w:pPr>
        <w:pStyle w:val="Compact"/>
      </w:pPr>
      <w:r>
        <w:t xml:space="preserve">1.7e-32</w:t>
      </w:r>
    </w:p>
    <w:p>
      <w:pPr>
        <w:pStyle w:val="Compact"/>
      </w:pPr>
      <w:r>
        <w:t xml:space="preserve">3</w:t>
      </w:r>
    </w:p>
    <w:p>
      <w:pPr>
        <w:pStyle w:val="Compact"/>
      </w:pPr>
      <w:r>
        <w:t xml:space="preserve">20.3% (1325)</w:t>
      </w:r>
    </w:p>
    <w:p>
      <w:pPr>
        <w:pStyle w:val="Compact"/>
      </w:pPr>
      <w:r>
        <w:t xml:space="preserve">6530</w:t>
      </w:r>
    </w:p>
    <w:p>
      <w:pPr>
        <w:pStyle w:val="Compact"/>
      </w:pPr>
      <w:r>
        <w:t xml:space="preserve">1.62 (1.50, 1.75)</w:t>
      </w:r>
    </w:p>
    <w:p>
      <w:pPr>
        <w:pStyle w:val="Compact"/>
      </w:pPr>
      <w:r>
        <w:t xml:space="preserve">8.07e-34</w:t>
      </w:r>
    </w:p>
    <w:p>
      <w:pPr>
        <w:pStyle w:val="Compact"/>
      </w:pPr>
      <w:r>
        <w:t xml:space="preserve">4</w:t>
      </w:r>
    </w:p>
    <w:p>
      <w:pPr>
        <w:pStyle w:val="Compact"/>
      </w:pPr>
      <w:r>
        <w:t xml:space="preserve">17.0% (645)</w:t>
      </w:r>
    </w:p>
    <w:p>
      <w:pPr>
        <w:pStyle w:val="Compact"/>
      </w:pPr>
      <w:r>
        <w:t xml:space="preserve">3796</w:t>
      </w:r>
    </w:p>
    <w:p>
      <w:pPr>
        <w:pStyle w:val="Compact"/>
      </w:pPr>
      <w:r>
        <w:t xml:space="preserve">1.37 (1.24, 1.52)</w:t>
      </w:r>
    </w:p>
    <w:p>
      <w:pPr>
        <w:pStyle w:val="Compact"/>
      </w:pPr>
      <w:r>
        <w:t xml:space="preserve">4.77e-10</w:t>
      </w:r>
    </w:p>
    <w:p>
      <w:pPr>
        <w:pStyle w:val="Compact"/>
      </w:pPr>
      <w:r>
        <w:t xml:space="preserve">5</w:t>
      </w:r>
    </w:p>
    <w:p>
      <w:pPr>
        <w:pStyle w:val="Compact"/>
      </w:pPr>
      <w:r>
        <w:t xml:space="preserve">13.1% (339)</w:t>
      </w:r>
    </w:p>
    <w:p>
      <w:pPr>
        <w:pStyle w:val="Compact"/>
      </w:pPr>
      <w:r>
        <w:t xml:space="preserve">2581</w:t>
      </w:r>
    </w:p>
    <w:p>
      <w:pPr>
        <w:pStyle w:val="Compact"/>
      </w:pPr>
      <w:r>
        <w:t xml:space="preserve">1.07 (0.94, 1.21)</w:t>
      </w:r>
    </w:p>
    <w:p>
      <w:pPr>
        <w:pStyle w:val="Compact"/>
      </w:pPr>
      <w:r>
        <w:t xml:space="preserve">0.313</w:t>
      </w:r>
    </w:p>
    <w:p>
      <w:pPr>
        <w:pStyle w:val="Heading2"/>
      </w:pPr>
      <w:bookmarkStart w:id="49" w:name="date-of-starting-treatment"/>
      <w:r>
        <w:t xml:space="preserve">Date of starting treatment</w:t>
      </w:r>
      <w:bookmarkEnd w:id="49"/>
    </w:p>
    <w:p>
      <w:pPr>
        <w:pStyle w:val="FirstParagraph"/>
      </w:pPr>
      <w:r>
        <w:t xml:space="preserve">For date of starting treatment there is little evidence that missing data is associated with any variable considered, except for year of notification (Table 9). Variable completeness improved year-on-year, with a 96% drop in missing data in 2015 compared to 2010.</w:t>
      </w:r>
    </w:p>
    <w:p>
      <w:pPr>
        <w:pStyle w:val="Compact"/>
      </w:pPr>
      <w:r>
        <w:t xml:space="preserve">Table 9: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(40977)</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3.5% (244)</w:t>
      </w:r>
    </w:p>
    <w:p>
      <w:pPr>
        <w:pStyle w:val="Compact"/>
      </w:pPr>
      <w:r>
        <w:t xml:space="preserve">7020</w:t>
      </w:r>
    </w:p>
    <w:p>
      <w:pPr>
        <w:pStyle w:val="Compact"/>
      </w:pPr>
      <w:r>
        <w:t xml:space="preserve">2.4e-70</w:t>
      </w:r>
    </w:p>
    <w:p>
      <w:pPr>
        <w:pStyle w:val="Compact"/>
      </w:pPr>
      <w:r>
        <w:t xml:space="preserve">2011</w:t>
      </w:r>
    </w:p>
    <w:p>
      <w:pPr>
        <w:pStyle w:val="Compact"/>
      </w:pPr>
      <w:r>
        <w:t xml:space="preserve">3.2% (242)</w:t>
      </w:r>
    </w:p>
    <w:p>
      <w:pPr>
        <w:pStyle w:val="Compact"/>
      </w:pPr>
      <w:r>
        <w:t xml:space="preserve">7655</w:t>
      </w:r>
    </w:p>
    <w:p>
      <w:pPr>
        <w:pStyle w:val="Compact"/>
      </w:pPr>
      <w:r>
        <w:t xml:space="preserve">0.91 (0.76, 1.08)</w:t>
      </w:r>
    </w:p>
    <w:p>
      <w:pPr>
        <w:pStyle w:val="Compact"/>
      </w:pPr>
      <w:r>
        <w:t xml:space="preserve">0.281</w:t>
      </w:r>
    </w:p>
    <w:p>
      <w:pPr>
        <w:pStyle w:val="Compact"/>
      </w:pPr>
      <w:r>
        <w:t xml:space="preserve">2012</w:t>
      </w:r>
    </w:p>
    <w:p>
      <w:pPr>
        <w:pStyle w:val="Compact"/>
      </w:pPr>
      <w:r>
        <w:t xml:space="preserve">2.5% (187)</w:t>
      </w:r>
    </w:p>
    <w:p>
      <w:pPr>
        <w:pStyle w:val="Compact"/>
      </w:pPr>
      <w:r>
        <w:t xml:space="preserve">7628</w:t>
      </w:r>
    </w:p>
    <w:p>
      <w:pPr>
        <w:pStyle w:val="Compact"/>
      </w:pPr>
      <w:r>
        <w:t xml:space="preserve">0.69 (0.57, 0.84)</w:t>
      </w:r>
    </w:p>
    <w:p>
      <w:pPr>
        <w:pStyle w:val="Compact"/>
      </w:pPr>
      <w:r>
        <w:t xml:space="preserve">0.000211</w:t>
      </w:r>
    </w:p>
    <w:p>
      <w:pPr>
        <w:pStyle w:val="Compact"/>
      </w:pPr>
      <w:r>
        <w:t xml:space="preserve">2013</w:t>
      </w:r>
    </w:p>
    <w:p>
      <w:pPr>
        <w:pStyle w:val="Compact"/>
      </w:pPr>
      <w:r>
        <w:t xml:space="preserve">2.2% (154)</w:t>
      </w:r>
    </w:p>
    <w:p>
      <w:pPr>
        <w:pStyle w:val="Compact"/>
      </w:pPr>
      <w:r>
        <w:t xml:space="preserve">6923</w:t>
      </w:r>
    </w:p>
    <w:p>
      <w:pPr>
        <w:pStyle w:val="Compact"/>
      </w:pPr>
      <w:r>
        <w:t xml:space="preserve">0.63 (0.51, 0.77)</w:t>
      </w:r>
    </w:p>
    <w:p>
      <w:pPr>
        <w:pStyle w:val="Compact"/>
      </w:pPr>
      <w:r>
        <w:t xml:space="preserve">8.29e-06</w:t>
      </w:r>
    </w:p>
    <w:p>
      <w:pPr>
        <w:pStyle w:val="Compact"/>
      </w:pPr>
      <w:r>
        <w:t xml:space="preserve">2014</w:t>
      </w:r>
    </w:p>
    <w:p>
      <w:pPr>
        <w:pStyle w:val="Compact"/>
      </w:pPr>
      <w:r>
        <w:t xml:space="preserve">0.8% (51)</w:t>
      </w:r>
    </w:p>
    <w:p>
      <w:pPr>
        <w:pStyle w:val="Compact"/>
      </w:pPr>
      <w:r>
        <w:t xml:space="preserve">6239</w:t>
      </w:r>
    </w:p>
    <w:p>
      <w:pPr>
        <w:pStyle w:val="Compact"/>
      </w:pPr>
      <w:r>
        <w:t xml:space="preserve">0.23 (0.17, 0.31)</w:t>
      </w:r>
    </w:p>
    <w:p>
      <w:pPr>
        <w:pStyle w:val="Compact"/>
      </w:pPr>
      <w:r>
        <w:t xml:space="preserve">1.29e-21</w:t>
      </w:r>
    </w:p>
    <w:p>
      <w:pPr>
        <w:pStyle w:val="Compact"/>
      </w:pPr>
      <w:r>
        <w:t xml:space="preserve">2015</w:t>
      </w:r>
    </w:p>
    <w:p>
      <w:pPr>
        <w:pStyle w:val="Compact"/>
      </w:pPr>
      <w:r>
        <w:t xml:space="preserve">0.1% (8)</w:t>
      </w:r>
    </w:p>
    <w:p>
      <w:pPr>
        <w:pStyle w:val="Compact"/>
      </w:pPr>
      <w:r>
        <w:t xml:space="preserve">5512</w:t>
      </w:r>
    </w:p>
    <w:p>
      <w:pPr>
        <w:pStyle w:val="Compact"/>
      </w:pPr>
      <w:r>
        <w:t xml:space="preserve">0.04 (0.02, 0.08)</w:t>
      </w:r>
    </w:p>
    <w:p>
      <w:pPr>
        <w:pStyle w:val="Compact"/>
      </w:pPr>
      <w:r>
        <w:t xml:space="preserve">3.62e-19</w:t>
      </w:r>
    </w:p>
    <w:p>
      <w:pPr>
        <w:pStyle w:val="Compact"/>
      </w:pPr>
      <w:r>
        <w:t xml:space="preserve">Sex</w:t>
      </w:r>
    </w:p>
    <w:p>
      <w:pPr>
        <w:pStyle w:val="Compact"/>
      </w:pPr>
      <w:r>
        <w:t xml:space="preserve">Female</w:t>
      </w:r>
    </w:p>
    <w:p>
      <w:pPr>
        <w:pStyle w:val="Compact"/>
      </w:pPr>
      <w:r>
        <w:t xml:space="preserve">2.2% (383)</w:t>
      </w:r>
    </w:p>
    <w:p>
      <w:pPr>
        <w:pStyle w:val="Compact"/>
      </w:pPr>
      <w:r>
        <w:t xml:space="preserve">17439</w:t>
      </w:r>
    </w:p>
    <w:p>
      <w:pPr>
        <w:pStyle w:val="Compact"/>
      </w:pPr>
      <w:r>
        <w:t xml:space="preserve">0.83</w:t>
      </w:r>
    </w:p>
    <w:p>
      <w:pPr>
        <w:pStyle w:val="Compact"/>
      </w:pPr>
      <w:r>
        <w:t xml:space="preserve">Male</w:t>
      </w:r>
    </w:p>
    <w:p>
      <w:pPr>
        <w:pStyle w:val="Compact"/>
      </w:pPr>
      <w:r>
        <w:t xml:space="preserve">2.1% (503)</w:t>
      </w:r>
    </w:p>
    <w:p>
      <w:pPr>
        <w:pStyle w:val="Compact"/>
      </w:pPr>
      <w:r>
        <w:t xml:space="preserve">23538</w:t>
      </w:r>
    </w:p>
    <w:p>
      <w:pPr>
        <w:pStyle w:val="Compact"/>
      </w:pPr>
      <w:r>
        <w:t xml:space="preserve">0.99 (0.86, 1.13)</w:t>
      </w:r>
    </w:p>
    <w:p>
      <w:pPr>
        <w:pStyle w:val="Compact"/>
      </w:pPr>
      <w:r>
        <w:t xml:space="preserve">0.83</w:t>
      </w:r>
    </w:p>
    <w:p>
      <w:pPr>
        <w:pStyle w:val="Compact"/>
      </w:pPr>
      <w:r>
        <w:t xml:space="preserve">Age</w:t>
      </w:r>
    </w:p>
    <w:p>
      <w:pPr>
        <w:pStyle w:val="Compact"/>
      </w:pPr>
      <w:r>
        <w:t xml:space="preserve">0-14</w:t>
      </w:r>
    </w:p>
    <w:p>
      <w:pPr>
        <w:pStyle w:val="Compact"/>
      </w:pPr>
      <w:r>
        <w:t xml:space="preserve">3.0% (54)</w:t>
      </w:r>
    </w:p>
    <w:p>
      <w:pPr>
        <w:pStyle w:val="Compact"/>
      </w:pPr>
      <w:r>
        <w:t xml:space="preserve">1783</w:t>
      </w:r>
    </w:p>
    <w:p>
      <w:pPr>
        <w:pStyle w:val="Compact"/>
      </w:pPr>
      <w:r>
        <w:t xml:space="preserve">0.157</w:t>
      </w:r>
    </w:p>
    <w:p>
      <w:pPr>
        <w:pStyle w:val="Compact"/>
      </w:pPr>
      <w:r>
        <w:t xml:space="preserve">15-44</w:t>
      </w:r>
    </w:p>
    <w:p>
      <w:pPr>
        <w:pStyle w:val="Compact"/>
      </w:pPr>
      <w:r>
        <w:t xml:space="preserve">2.2% (539)</w:t>
      </w:r>
    </w:p>
    <w:p>
      <w:pPr>
        <w:pStyle w:val="Compact"/>
      </w:pPr>
      <w:r>
        <w:t xml:space="preserve">25000</w:t>
      </w:r>
    </w:p>
    <w:p>
      <w:pPr>
        <w:pStyle w:val="Compact"/>
      </w:pPr>
      <w:r>
        <w:t xml:space="preserve">0.72 (0.53, 0.98)</w:t>
      </w:r>
    </w:p>
    <w:p>
      <w:pPr>
        <w:pStyle w:val="Compact"/>
      </w:pPr>
      <w:r>
        <w:t xml:space="preserve">0.0303</w:t>
      </w:r>
    </w:p>
    <w:p>
      <w:pPr>
        <w:pStyle w:val="Compact"/>
      </w:pPr>
      <w:r>
        <w:t xml:space="preserve">45-64</w:t>
      </w:r>
    </w:p>
    <w:p>
      <w:pPr>
        <w:pStyle w:val="Compact"/>
      </w:pPr>
      <w:r>
        <w:t xml:space="preserve">2.0% (180)</w:t>
      </w:r>
    </w:p>
    <w:p>
      <w:pPr>
        <w:pStyle w:val="Compact"/>
      </w:pPr>
      <w:r>
        <w:t xml:space="preserve">8896</w:t>
      </w:r>
    </w:p>
    <w:p>
      <w:pPr>
        <w:pStyle w:val="Compact"/>
      </w:pPr>
      <w:r>
        <w:t xml:space="preserve">0.68 (0.49, 0.95)</w:t>
      </w:r>
    </w:p>
    <w:p>
      <w:pPr>
        <w:pStyle w:val="Compact"/>
      </w:pPr>
      <w:r>
        <w:t xml:space="preserve">0.0209</w:t>
      </w:r>
    </w:p>
    <w:p>
      <w:pPr>
        <w:pStyle w:val="Compact"/>
      </w:pPr>
      <w:r>
        <w:t xml:space="preserve">65+</w:t>
      </w:r>
    </w:p>
    <w:p>
      <w:pPr>
        <w:pStyle w:val="Compact"/>
      </w:pPr>
      <w:r>
        <w:t xml:space="preserve">2.1% (113)</w:t>
      </w:r>
    </w:p>
    <w:p>
      <w:pPr>
        <w:pStyle w:val="Compact"/>
      </w:pPr>
      <w:r>
        <w:t xml:space="preserve">5298</w:t>
      </w:r>
    </w:p>
    <w:p>
      <w:pPr>
        <w:pStyle w:val="Compact"/>
      </w:pPr>
      <w:r>
        <w:t xml:space="preserve">0.69 (0.49, 0.99)</w:t>
      </w:r>
    </w:p>
    <w:p>
      <w:pPr>
        <w:pStyle w:val="Compact"/>
      </w:pPr>
      <w:r>
        <w:t xml:space="preserve">0.042</w:t>
      </w:r>
    </w:p>
    <w:p>
      <w:pPr>
        <w:pStyle w:val="Compact"/>
      </w:pPr>
      <w:r>
        <w:t xml:space="preserve">Ethnic group</w:t>
      </w:r>
    </w:p>
    <w:p>
      <w:pPr>
        <w:pStyle w:val="Compact"/>
      </w:pPr>
      <w:r>
        <w:t xml:space="preserve">White</w:t>
      </w:r>
    </w:p>
    <w:p>
      <w:pPr>
        <w:pStyle w:val="Compact"/>
      </w:pPr>
      <w:r>
        <w:t xml:space="preserve">2.3% (182)</w:t>
      </w:r>
    </w:p>
    <w:p>
      <w:pPr>
        <w:pStyle w:val="Compact"/>
      </w:pPr>
      <w:r>
        <w:t xml:space="preserve">8055</w:t>
      </w:r>
    </w:p>
    <w:p>
      <w:pPr>
        <w:pStyle w:val="Compact"/>
      </w:pPr>
      <w:r>
        <w:t xml:space="preserve">0.423</w:t>
      </w:r>
    </w:p>
    <w:p>
      <w:pPr>
        <w:pStyle w:val="Compact"/>
      </w:pPr>
      <w:r>
        <w:t xml:space="preserve">Black-Caribbean</w:t>
      </w:r>
    </w:p>
    <w:p>
      <w:pPr>
        <w:pStyle w:val="Compact"/>
      </w:pPr>
      <w:r>
        <w:t xml:space="preserve">2.2% (20)</w:t>
      </w:r>
    </w:p>
    <w:p>
      <w:pPr>
        <w:pStyle w:val="Compact"/>
      </w:pPr>
      <w:r>
        <w:t xml:space="preserve">916</w:t>
      </w:r>
    </w:p>
    <w:p>
      <w:pPr>
        <w:pStyle w:val="Compact"/>
      </w:pPr>
      <w:r>
        <w:t xml:space="preserve">0.89 (0.54, 1.39)</w:t>
      </w:r>
    </w:p>
    <w:p>
      <w:pPr>
        <w:pStyle w:val="Compact"/>
      </w:pPr>
      <w:r>
        <w:t xml:space="preserve">0.626</w:t>
      </w:r>
    </w:p>
    <w:p>
      <w:pPr>
        <w:pStyle w:val="Compact"/>
      </w:pPr>
      <w:r>
        <w:t xml:space="preserve">Black-African</w:t>
      </w:r>
    </w:p>
    <w:p>
      <w:pPr>
        <w:pStyle w:val="Compact"/>
      </w:pPr>
      <w:r>
        <w:t xml:space="preserve">1.9% (139)</w:t>
      </w:r>
    </w:p>
    <w:p>
      <w:pPr>
        <w:pStyle w:val="Compact"/>
      </w:pPr>
      <w:r>
        <w:t xml:space="preserve">7140</w:t>
      </w:r>
    </w:p>
    <w:p>
      <w:pPr>
        <w:pStyle w:val="Compact"/>
      </w:pPr>
      <w:r>
        <w:t xml:space="preserve">0.73 (0.55, 0.96)</w:t>
      </w:r>
    </w:p>
    <w:p>
      <w:pPr>
        <w:pStyle w:val="Compact"/>
      </w:pPr>
      <w:r>
        <w:t xml:space="preserve">0.025</w:t>
      </w:r>
    </w:p>
    <w:p>
      <w:pPr>
        <w:pStyle w:val="Compact"/>
      </w:pPr>
      <w:r>
        <w:t xml:space="preserve">Black-Other</w:t>
      </w:r>
    </w:p>
    <w:p>
      <w:pPr>
        <w:pStyle w:val="Compact"/>
      </w:pPr>
      <w:r>
        <w:t xml:space="preserve">3.0% (11)</w:t>
      </w:r>
    </w:p>
    <w:p>
      <w:pPr>
        <w:pStyle w:val="Compact"/>
      </w:pPr>
      <w:r>
        <w:t xml:space="preserve">368</w:t>
      </w:r>
    </w:p>
    <w:p>
      <w:pPr>
        <w:pStyle w:val="Compact"/>
      </w:pPr>
      <w:r>
        <w:t xml:space="preserve">1.33 (0.67, 2.38)</w:t>
      </w:r>
    </w:p>
    <w:p>
      <w:pPr>
        <w:pStyle w:val="Compact"/>
      </w:pPr>
      <w:r>
        <w:t xml:space="preserve">0.379</w:t>
      </w:r>
    </w:p>
    <w:p>
      <w:pPr>
        <w:pStyle w:val="Compact"/>
      </w:pPr>
      <w:r>
        <w:t xml:space="preserve">Indian</w:t>
      </w:r>
    </w:p>
    <w:p>
      <w:pPr>
        <w:pStyle w:val="Compact"/>
      </w:pPr>
      <w:r>
        <w:t xml:space="preserve">2.1% (230)</w:t>
      </w:r>
    </w:p>
    <w:p>
      <w:pPr>
        <w:pStyle w:val="Compact"/>
      </w:pPr>
      <w:r>
        <w:t xml:space="preserve">10707</w:t>
      </w:r>
    </w:p>
    <w:p>
      <w:pPr>
        <w:pStyle w:val="Compact"/>
      </w:pPr>
      <w:r>
        <w:t xml:space="preserve">0.86 (0.67, 1.10)</w:t>
      </w:r>
    </w:p>
    <w:p>
      <w:pPr>
        <w:pStyle w:val="Compact"/>
      </w:pPr>
      <w:r>
        <w:t xml:space="preserve">0.23</w:t>
      </w:r>
    </w:p>
    <w:p>
      <w:pPr>
        <w:pStyle w:val="Compact"/>
      </w:pPr>
      <w:r>
        <w:t xml:space="preserve">Pakistani</w:t>
      </w:r>
    </w:p>
    <w:p>
      <w:pPr>
        <w:pStyle w:val="Compact"/>
      </w:pPr>
      <w:r>
        <w:t xml:space="preserve">2.4% (158)</w:t>
      </w:r>
    </w:p>
    <w:p>
      <w:pPr>
        <w:pStyle w:val="Compact"/>
      </w:pPr>
      <w:r>
        <w:t xml:space="preserve">6721</w:t>
      </w:r>
    </w:p>
    <w:p>
      <w:pPr>
        <w:pStyle w:val="Compact"/>
      </w:pPr>
      <w:r>
        <w:t xml:space="preserve">0.92 (0.72, 1.19)</w:t>
      </w:r>
    </w:p>
    <w:p>
      <w:pPr>
        <w:pStyle w:val="Compact"/>
      </w:pPr>
      <w:r>
        <w:t xml:space="preserve">0.536</w:t>
      </w:r>
    </w:p>
    <w:p>
      <w:pPr>
        <w:pStyle w:val="Compact"/>
      </w:pPr>
      <w:r>
        <w:t xml:space="preserve">Bangladeshi</w:t>
      </w:r>
    </w:p>
    <w:p>
      <w:pPr>
        <w:pStyle w:val="Compact"/>
      </w:pPr>
      <w:r>
        <w:t xml:space="preserve">2.2% (37)</w:t>
      </w:r>
    </w:p>
    <w:p>
      <w:pPr>
        <w:pStyle w:val="Compact"/>
      </w:pPr>
      <w:r>
        <w:t xml:space="preserve">1665</w:t>
      </w:r>
    </w:p>
    <w:p>
      <w:pPr>
        <w:pStyle w:val="Compact"/>
      </w:pPr>
      <w:r>
        <w:t xml:space="preserve">0.88 (0.59, 1.29)</w:t>
      </w:r>
    </w:p>
    <w:p>
      <w:pPr>
        <w:pStyle w:val="Compact"/>
      </w:pPr>
      <w:r>
        <w:t xml:space="preserve">0.526</w:t>
      </w:r>
    </w:p>
    <w:p>
      <w:pPr>
        <w:pStyle w:val="Compact"/>
      </w:pPr>
      <w:r>
        <w:t xml:space="preserve">Chinese</w:t>
      </w:r>
    </w:p>
    <w:p>
      <w:pPr>
        <w:pStyle w:val="Compact"/>
      </w:pPr>
      <w:r>
        <w:t xml:space="preserve">1.7% (8)</w:t>
      </w:r>
    </w:p>
    <w:p>
      <w:pPr>
        <w:pStyle w:val="Compact"/>
      </w:pPr>
      <w:r>
        <w:t xml:space="preserve">483</w:t>
      </w:r>
    </w:p>
    <w:p>
      <w:pPr>
        <w:pStyle w:val="Compact"/>
      </w:pPr>
      <w:r>
        <w:t xml:space="preserve">0.68 (0.30, 1.33)</w:t>
      </w:r>
    </w:p>
    <w:p>
      <w:pPr>
        <w:pStyle w:val="Compact"/>
      </w:pPr>
      <w:r>
        <w:t xml:space="preserve">0.307</w:t>
      </w:r>
    </w:p>
    <w:p>
      <w:pPr>
        <w:pStyle w:val="Compact"/>
      </w:pPr>
      <w:r>
        <w:t xml:space="preserve">Mixed / Other</w:t>
      </w:r>
    </w:p>
    <w:p>
      <w:pPr>
        <w:pStyle w:val="Compact"/>
      </w:pPr>
      <w:r>
        <w:t xml:space="preserve">2.1% (101)</w:t>
      </w:r>
    </w:p>
    <w:p>
      <w:pPr>
        <w:pStyle w:val="Compact"/>
      </w:pPr>
      <w:r>
        <w:t xml:space="preserve">4922</w:t>
      </w:r>
    </w:p>
    <w:p>
      <w:pPr>
        <w:pStyle w:val="Compact"/>
      </w:pPr>
      <w:r>
        <w:t xml:space="preserve">0.86 (0.64, 1.15)</w:t>
      </w:r>
    </w:p>
    <w:p>
      <w:pPr>
        <w:pStyle w:val="Compact"/>
      </w:pPr>
      <w:r>
        <w:t xml:space="preserve">0.308</w:t>
      </w:r>
    </w:p>
    <w:p>
      <w:pPr>
        <w:pStyle w:val="Compact"/>
      </w:pPr>
      <w:r>
        <w:t xml:space="preserve">UK birth status</w:t>
      </w:r>
    </w:p>
    <w:p>
      <w:pPr>
        <w:pStyle w:val="Compact"/>
      </w:pPr>
      <w:r>
        <w:t xml:space="preserve">Non-UK Born</w:t>
      </w:r>
    </w:p>
    <w:p>
      <w:pPr>
        <w:pStyle w:val="Compact"/>
      </w:pPr>
      <w:r>
        <w:t xml:space="preserve">2.1% (646)</w:t>
      </w:r>
    </w:p>
    <w:p>
      <w:pPr>
        <w:pStyle w:val="Compact"/>
      </w:pPr>
      <w:r>
        <w:t xml:space="preserve">30481</w:t>
      </w:r>
    </w:p>
    <w:p>
      <w:pPr>
        <w:pStyle w:val="Compact"/>
      </w:pPr>
      <w:r>
        <w:t xml:space="preserve">0.763</w:t>
      </w:r>
    </w:p>
    <w:p>
      <w:pPr>
        <w:pStyle w:val="Compact"/>
      </w:pPr>
      <w:r>
        <w:t xml:space="preserve">UK Born</w:t>
      </w:r>
    </w:p>
    <w:p>
      <w:pPr>
        <w:pStyle w:val="Compact"/>
      </w:pPr>
      <w:r>
        <w:t xml:space="preserve">2.3% (240)</w:t>
      </w:r>
    </w:p>
    <w:p>
      <w:pPr>
        <w:pStyle w:val="Compact"/>
      </w:pPr>
      <w:r>
        <w:t xml:space="preserve">10496</w:t>
      </w:r>
    </w:p>
    <w:p>
      <w:pPr>
        <w:pStyle w:val="Compact"/>
      </w:pPr>
      <w:r>
        <w:t xml:space="preserve">0.97 (0.79, 1.18)</w:t>
      </w:r>
    </w:p>
    <w:p>
      <w:pPr>
        <w:pStyle w:val="Compact"/>
      </w:pPr>
      <w:r>
        <w:t xml:space="preserve">0.763</w:t>
      </w:r>
    </w:p>
    <w:p>
      <w:pPr>
        <w:pStyle w:val="Compact"/>
      </w:pPr>
      <w:r>
        <w:t xml:space="preserve">Socio-economic status</w:t>
      </w:r>
    </w:p>
    <w:p>
      <w:pPr>
        <w:pStyle w:val="Compact"/>
      </w:pPr>
      <w:r>
        <w:t xml:space="preserve">1</w:t>
      </w:r>
    </w:p>
    <w:p>
      <w:pPr>
        <w:pStyle w:val="Compact"/>
      </w:pPr>
      <w:r>
        <w:t xml:space="preserve">2.3% (364)</w:t>
      </w:r>
    </w:p>
    <w:p>
      <w:pPr>
        <w:pStyle w:val="Compact"/>
      </w:pPr>
      <w:r>
        <w:t xml:space="preserve">15884</w:t>
      </w:r>
    </w:p>
    <w:p>
      <w:pPr>
        <w:pStyle w:val="Compact"/>
      </w:pPr>
      <w:r>
        <w:t xml:space="preserve">0.517</w:t>
      </w:r>
    </w:p>
    <w:p>
      <w:pPr>
        <w:pStyle w:val="Compact"/>
      </w:pPr>
      <w:r>
        <w:t xml:space="preserve">2</w:t>
      </w:r>
    </w:p>
    <w:p>
      <w:pPr>
        <w:pStyle w:val="Compact"/>
      </w:pPr>
      <w:r>
        <w:t xml:space="preserve">2.1% (263)</w:t>
      </w:r>
    </w:p>
    <w:p>
      <w:pPr>
        <w:pStyle w:val="Compact"/>
      </w:pPr>
      <w:r>
        <w:t xml:space="preserve">12422</w:t>
      </w:r>
    </w:p>
    <w:p>
      <w:pPr>
        <w:pStyle w:val="Compact"/>
      </w:pPr>
      <w:r>
        <w:t xml:space="preserve">0.92 (0.78, 1.08)</w:t>
      </w:r>
    </w:p>
    <w:p>
      <w:pPr>
        <w:pStyle w:val="Compact"/>
      </w:pPr>
      <w:r>
        <w:t xml:space="preserve">0.32</w:t>
      </w:r>
    </w:p>
    <w:p>
      <w:pPr>
        <w:pStyle w:val="Compact"/>
      </w:pPr>
      <w:r>
        <w:t xml:space="preserve">3</w:t>
      </w:r>
    </w:p>
    <w:p>
      <w:pPr>
        <w:pStyle w:val="Compact"/>
      </w:pPr>
      <w:r>
        <w:t xml:space="preserve">2.0% (131)</w:t>
      </w:r>
    </w:p>
    <w:p>
      <w:pPr>
        <w:pStyle w:val="Compact"/>
      </w:pPr>
      <w:r>
        <w:t xml:space="preserve">6435</w:t>
      </w:r>
    </w:p>
    <w:p>
      <w:pPr>
        <w:pStyle w:val="Compact"/>
      </w:pPr>
      <w:r>
        <w:t xml:space="preserve">0.89 (0.72, 1.09)</w:t>
      </w:r>
    </w:p>
    <w:p>
      <w:pPr>
        <w:pStyle w:val="Compact"/>
      </w:pPr>
      <w:r>
        <w:t xml:space="preserve">0.282</w:t>
      </w:r>
    </w:p>
    <w:p>
      <w:pPr>
        <w:pStyle w:val="Compact"/>
      </w:pPr>
      <w:r>
        <w:t xml:space="preserve">4</w:t>
      </w:r>
    </w:p>
    <w:p>
      <w:pPr>
        <w:pStyle w:val="Compact"/>
      </w:pPr>
      <w:r>
        <w:t xml:space="preserve">1.9% (70)</w:t>
      </w:r>
    </w:p>
    <w:p>
      <w:pPr>
        <w:pStyle w:val="Compact"/>
      </w:pPr>
      <w:r>
        <w:t xml:space="preserve">3712</w:t>
      </w:r>
    </w:p>
    <w:p>
      <w:pPr>
        <w:pStyle w:val="Compact"/>
      </w:pPr>
      <w:r>
        <w:t xml:space="preserve">0.83 (0.63, 1.07)</w:t>
      </w:r>
    </w:p>
    <w:p>
      <w:pPr>
        <w:pStyle w:val="Compact"/>
      </w:pPr>
      <w:r>
        <w:t xml:space="preserve">0.168</w:t>
      </w:r>
    </w:p>
    <w:p>
      <w:pPr>
        <w:pStyle w:val="Compact"/>
      </w:pPr>
      <w:r>
        <w:t xml:space="preserve">5</w:t>
      </w:r>
    </w:p>
    <w:p>
      <w:pPr>
        <w:pStyle w:val="Compact"/>
      </w:pPr>
      <w:r>
        <w:t xml:space="preserve">2.3% (58)</w:t>
      </w:r>
    </w:p>
    <w:p>
      <w:pPr>
        <w:pStyle w:val="Compact"/>
      </w:pPr>
      <w:r>
        <w:t xml:space="preserve">2524</w:t>
      </w:r>
    </w:p>
    <w:p>
      <w:pPr>
        <w:pStyle w:val="Compact"/>
      </w:pPr>
      <w:r>
        <w:t xml:space="preserve">1.04 (0.77, 1.37)</w:t>
      </w:r>
    </w:p>
    <w:p>
      <w:pPr>
        <w:pStyle w:val="Compact"/>
      </w:pPr>
      <w:r>
        <w:t xml:space="preserve">0.804</w:t>
      </w:r>
    </w:p>
    <w:p>
      <w:pPr>
        <w:pStyle w:val="Heading2"/>
      </w:pPr>
      <w:bookmarkStart w:id="50" w:name="date-of-ending-treatment"/>
      <w:r>
        <w:t xml:space="preserve">Date of ending treatment</w:t>
      </w:r>
      <w:bookmarkEnd w:id="50"/>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10).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Compact"/>
      </w:pPr>
      <w:r>
        <w:t xml:space="preserve">Table 10: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(33606)</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2.9% (182)</w:t>
      </w:r>
    </w:p>
    <w:p>
      <w:pPr>
        <w:pStyle w:val="Compact"/>
      </w:pPr>
      <w:r>
        <w:t xml:space="preserve">6171</w:t>
      </w:r>
    </w:p>
    <w:p>
      <w:pPr>
        <w:pStyle w:val="Compact"/>
      </w:pPr>
      <w:r>
        <w:t xml:space="preserve">2.52e-14</w:t>
      </w:r>
    </w:p>
    <w:p>
      <w:pPr>
        <w:pStyle w:val="Compact"/>
      </w:pPr>
      <w:r>
        <w:t xml:space="preserve">2011</w:t>
      </w:r>
    </w:p>
    <w:p>
      <w:pPr>
        <w:pStyle w:val="Compact"/>
      </w:pPr>
      <w:r>
        <w:t xml:space="preserve">2.6% (177)</w:t>
      </w:r>
    </w:p>
    <w:p>
      <w:pPr>
        <w:pStyle w:val="Compact"/>
      </w:pPr>
      <w:r>
        <w:t xml:space="preserve">6855</w:t>
      </w:r>
    </w:p>
    <w:p>
      <w:pPr>
        <w:pStyle w:val="Compact"/>
      </w:pPr>
      <w:r>
        <w:t xml:space="preserve">0.88 (0.71, 1.08)</w:t>
      </w:r>
    </w:p>
    <w:p>
      <w:pPr>
        <w:pStyle w:val="Compact"/>
      </w:pPr>
      <w:r>
        <w:t xml:space="preserve">0.223</w:t>
      </w:r>
    </w:p>
    <w:p>
      <w:pPr>
        <w:pStyle w:val="Compact"/>
      </w:pPr>
      <w:r>
        <w:t xml:space="preserve">2012</w:t>
      </w:r>
    </w:p>
    <w:p>
      <w:pPr>
        <w:pStyle w:val="Compact"/>
      </w:pPr>
      <w:r>
        <w:t xml:space="preserve">2.4% (164)</w:t>
      </w:r>
    </w:p>
    <w:p>
      <w:pPr>
        <w:pStyle w:val="Compact"/>
      </w:pPr>
      <w:r>
        <w:t xml:space="preserve">6882</w:t>
      </w:r>
    </w:p>
    <w:p>
      <w:pPr>
        <w:pStyle w:val="Compact"/>
      </w:pPr>
      <w:r>
        <w:t xml:space="preserve">0.80 (0.64, 0.99)</w:t>
      </w:r>
    </w:p>
    <w:p>
      <w:pPr>
        <w:pStyle w:val="Compact"/>
      </w:pPr>
      <w:r>
        <w:t xml:space="preserve">0.0379</w:t>
      </w:r>
    </w:p>
    <w:p>
      <w:pPr>
        <w:pStyle w:val="Compact"/>
      </w:pPr>
      <w:r>
        <w:t xml:space="preserve">2013</w:t>
      </w:r>
    </w:p>
    <w:p>
      <w:pPr>
        <w:pStyle w:val="Compact"/>
      </w:pPr>
      <w:r>
        <w:t xml:space="preserve">1.5% (97)</w:t>
      </w:r>
    </w:p>
    <w:p>
      <w:pPr>
        <w:pStyle w:val="Compact"/>
      </w:pPr>
      <w:r>
        <w:t xml:space="preserve">6298</w:t>
      </w:r>
    </w:p>
    <w:p>
      <w:pPr>
        <w:pStyle w:val="Compact"/>
      </w:pPr>
      <w:r>
        <w:t xml:space="preserve">0.51 (0.39, 0.65)</w:t>
      </w:r>
    </w:p>
    <w:p>
      <w:pPr>
        <w:pStyle w:val="Compact"/>
      </w:pPr>
      <w:r>
        <w:t xml:space="preserve">8.39e-08</w:t>
      </w:r>
    </w:p>
    <w:p>
      <w:pPr>
        <w:pStyle w:val="Compact"/>
      </w:pPr>
      <w:r>
        <w:t xml:space="preserve">2014</w:t>
      </w:r>
    </w:p>
    <w:p>
      <w:pPr>
        <w:pStyle w:val="Compact"/>
      </w:pPr>
      <w:r>
        <w:t xml:space="preserve">1.2% (66)</w:t>
      </w:r>
    </w:p>
    <w:p>
      <w:pPr>
        <w:pStyle w:val="Compact"/>
      </w:pPr>
      <w:r>
        <w:t xml:space="preserve">5341</w:t>
      </w:r>
    </w:p>
    <w:p>
      <w:pPr>
        <w:pStyle w:val="Compact"/>
      </w:pPr>
      <w:r>
        <w:t xml:space="preserve">0.40 (0.30, 0.53)</w:t>
      </w:r>
    </w:p>
    <w:p>
      <w:pPr>
        <w:pStyle w:val="Compact"/>
      </w:pPr>
      <w:r>
        <w:t xml:space="preserve">2.2e-10</w:t>
      </w:r>
    </w:p>
    <w:p>
      <w:pPr>
        <w:pStyle w:val="Compact"/>
      </w:pPr>
      <w:r>
        <w:t xml:space="preserve">2015</w:t>
      </w:r>
    </w:p>
    <w:p>
      <w:pPr>
        <w:pStyle w:val="Compact"/>
      </w:pPr>
      <w:r>
        <w:t xml:space="preserve">1.4% (28)</w:t>
      </w:r>
    </w:p>
    <w:p>
      <w:pPr>
        <w:pStyle w:val="Compact"/>
      </w:pPr>
      <w:r>
        <w:t xml:space="preserve">2059</w:t>
      </w:r>
    </w:p>
    <w:p>
      <w:pPr>
        <w:pStyle w:val="Compact"/>
      </w:pPr>
      <w:r>
        <w:t xml:space="preserve">0.45 (0.30, 0.66)</w:t>
      </w:r>
    </w:p>
    <w:p>
      <w:pPr>
        <w:pStyle w:val="Compact"/>
      </w:pPr>
      <w:r>
        <w:t xml:space="preserve">0.00011</w:t>
      </w:r>
    </w:p>
    <w:p>
      <w:pPr>
        <w:pStyle w:val="Compact"/>
      </w:pPr>
      <w:r>
        <w:t xml:space="preserve">Sex</w:t>
      </w:r>
    </w:p>
    <w:p>
      <w:pPr>
        <w:pStyle w:val="Compact"/>
      </w:pPr>
      <w:r>
        <w:t xml:space="preserve">Female</w:t>
      </w:r>
    </w:p>
    <w:p>
      <w:pPr>
        <w:pStyle w:val="Compact"/>
      </w:pPr>
      <w:r>
        <w:t xml:space="preserve">2.1% (311)</w:t>
      </w:r>
    </w:p>
    <w:p>
      <w:pPr>
        <w:pStyle w:val="Compact"/>
      </w:pPr>
      <w:r>
        <w:t xml:space="preserve">14630</w:t>
      </w:r>
    </w:p>
    <w:p>
      <w:pPr>
        <w:pStyle w:val="Compact"/>
      </w:pPr>
      <w:r>
        <w:t xml:space="preserve">0.859</w:t>
      </w:r>
    </w:p>
    <w:p>
      <w:pPr>
        <w:pStyle w:val="Compact"/>
      </w:pPr>
      <w:r>
        <w:t xml:space="preserve">Male</w:t>
      </w:r>
    </w:p>
    <w:p>
      <w:pPr>
        <w:pStyle w:val="Compact"/>
      </w:pPr>
      <w:r>
        <w:t xml:space="preserve">2.1% (403)</w:t>
      </w:r>
    </w:p>
    <w:p>
      <w:pPr>
        <w:pStyle w:val="Compact"/>
      </w:pPr>
      <w:r>
        <w:t xml:space="preserve">18976</w:t>
      </w:r>
    </w:p>
    <w:p>
      <w:pPr>
        <w:pStyle w:val="Compact"/>
      </w:pPr>
      <w:r>
        <w:t xml:space="preserve">1.01 (0.87, 1.18)</w:t>
      </w:r>
    </w:p>
    <w:p>
      <w:pPr>
        <w:pStyle w:val="Compact"/>
      </w:pPr>
      <w:r>
        <w:t xml:space="preserve">0.86</w:t>
      </w:r>
    </w:p>
    <w:p>
      <w:pPr>
        <w:pStyle w:val="Compact"/>
      </w:pPr>
      <w:r>
        <w:t xml:space="preserve">Age</w:t>
      </w:r>
    </w:p>
    <w:p>
      <w:pPr>
        <w:pStyle w:val="Compact"/>
      </w:pPr>
      <w:r>
        <w:t xml:space="preserve">0-14</w:t>
      </w:r>
    </w:p>
    <w:p>
      <w:pPr>
        <w:pStyle w:val="Compact"/>
      </w:pPr>
      <w:r>
        <w:t xml:space="preserve">2.7% (44)</w:t>
      </w:r>
    </w:p>
    <w:p>
      <w:pPr>
        <w:pStyle w:val="Compact"/>
      </w:pPr>
      <w:r>
        <w:t xml:space="preserve">1617</w:t>
      </w:r>
    </w:p>
    <w:p>
      <w:pPr>
        <w:pStyle w:val="Compact"/>
      </w:pPr>
      <w:r>
        <w:t xml:space="preserve">0.711</w:t>
      </w:r>
    </w:p>
    <w:p>
      <w:pPr>
        <w:pStyle w:val="Compact"/>
      </w:pPr>
      <w:r>
        <w:t xml:space="preserve">15-44</w:t>
      </w:r>
    </w:p>
    <w:p>
      <w:pPr>
        <w:pStyle w:val="Compact"/>
      </w:pPr>
      <w:r>
        <w:t xml:space="preserve">2.0% (419)</w:t>
      </w:r>
    </w:p>
    <w:p>
      <w:pPr>
        <w:pStyle w:val="Compact"/>
      </w:pPr>
      <w:r>
        <w:t xml:space="preserve">21027</w:t>
      </w:r>
    </w:p>
    <w:p>
      <w:pPr>
        <w:pStyle w:val="Compact"/>
      </w:pPr>
      <w:r>
        <w:t xml:space="preserve">0.83 (0.60, 1.18)</w:t>
      </w:r>
    </w:p>
    <w:p>
      <w:pPr>
        <w:pStyle w:val="Compact"/>
      </w:pPr>
      <w:r>
        <w:t xml:space="preserve">0.282</w:t>
      </w:r>
    </w:p>
    <w:p>
      <w:pPr>
        <w:pStyle w:val="Compact"/>
      </w:pPr>
      <w:r>
        <w:t xml:space="preserve">45-64</w:t>
      </w:r>
    </w:p>
    <w:p>
      <w:pPr>
        <w:pStyle w:val="Compact"/>
      </w:pPr>
      <w:r>
        <w:t xml:space="preserve">2.3% (165)</w:t>
      </w:r>
    </w:p>
    <w:p>
      <w:pPr>
        <w:pStyle w:val="Compact"/>
      </w:pPr>
      <w:r>
        <w:t xml:space="preserve">7272</w:t>
      </w:r>
    </w:p>
    <w:p>
      <w:pPr>
        <w:pStyle w:val="Compact"/>
      </w:pPr>
      <w:r>
        <w:t xml:space="preserve">0.88 (0.62, 1.27)</w:t>
      </w:r>
    </w:p>
    <w:p>
      <w:pPr>
        <w:pStyle w:val="Compact"/>
      </w:pPr>
      <w:r>
        <w:t xml:space="preserve">0.479</w:t>
      </w:r>
    </w:p>
    <w:p>
      <w:pPr>
        <w:pStyle w:val="Compact"/>
      </w:pPr>
      <w:r>
        <w:t xml:space="preserve">65+</w:t>
      </w:r>
    </w:p>
    <w:p>
      <w:pPr>
        <w:pStyle w:val="Compact"/>
      </w:pPr>
      <w:r>
        <w:t xml:space="preserve">2.3% (86)</w:t>
      </w:r>
    </w:p>
    <w:p>
      <w:pPr>
        <w:pStyle w:val="Compact"/>
      </w:pPr>
      <w:r>
        <w:t xml:space="preserve">3690</w:t>
      </w:r>
    </w:p>
    <w:p>
      <w:pPr>
        <w:pStyle w:val="Compact"/>
      </w:pPr>
      <w:r>
        <w:t xml:space="preserve">0.83 (0.56, 1.23)</w:t>
      </w:r>
    </w:p>
    <w:p>
      <w:pPr>
        <w:pStyle w:val="Compact"/>
      </w:pPr>
      <w:r>
        <w:t xml:space="preserve">0.338</w:t>
      </w:r>
    </w:p>
    <w:p>
      <w:pPr>
        <w:pStyle w:val="Compact"/>
      </w:pPr>
      <w:r>
        <w:t xml:space="preserve">Ethnic group</w:t>
      </w:r>
    </w:p>
    <w:p>
      <w:pPr>
        <w:pStyle w:val="Compact"/>
      </w:pPr>
      <w:r>
        <w:t xml:space="preserve">White</w:t>
      </w:r>
    </w:p>
    <w:p>
      <w:pPr>
        <w:pStyle w:val="Compact"/>
      </w:pPr>
      <w:r>
        <w:t xml:space="preserve">2.9% (176)</w:t>
      </w:r>
    </w:p>
    <w:p>
      <w:pPr>
        <w:pStyle w:val="Compact"/>
      </w:pPr>
      <w:r>
        <w:t xml:space="preserve">6076</w:t>
      </w:r>
    </w:p>
    <w:p>
      <w:pPr>
        <w:pStyle w:val="Compact"/>
      </w:pPr>
      <w:r>
        <w:t xml:space="preserve">0.00931</w:t>
      </w:r>
    </w:p>
    <w:p>
      <w:pPr>
        <w:pStyle w:val="Compact"/>
      </w:pPr>
      <w:r>
        <w:t xml:space="preserve">Black-Caribbean</w:t>
      </w:r>
    </w:p>
    <w:p>
      <w:pPr>
        <w:pStyle w:val="Compact"/>
      </w:pPr>
      <w:r>
        <w:t xml:space="preserve">2.8% (21)</w:t>
      </w:r>
    </w:p>
    <w:p>
      <w:pPr>
        <w:pStyle w:val="Compact"/>
      </w:pPr>
      <w:r>
        <w:t xml:space="preserve">753</w:t>
      </w:r>
    </w:p>
    <w:p>
      <w:pPr>
        <w:pStyle w:val="Compact"/>
      </w:pPr>
      <w:r>
        <w:t xml:space="preserve">1.01 (0.62, 1.57)</w:t>
      </w:r>
    </w:p>
    <w:p>
      <w:pPr>
        <w:pStyle w:val="Compact"/>
      </w:pPr>
      <w:r>
        <w:t xml:space="preserve">0.972</w:t>
      </w:r>
    </w:p>
    <w:p>
      <w:pPr>
        <w:pStyle w:val="Compact"/>
      </w:pPr>
      <w:r>
        <w:t xml:space="preserve">Black-African</w:t>
      </w:r>
    </w:p>
    <w:p>
      <w:pPr>
        <w:pStyle w:val="Compact"/>
      </w:pPr>
      <w:r>
        <w:t xml:space="preserve">1.9% (114)</w:t>
      </w:r>
    </w:p>
    <w:p>
      <w:pPr>
        <w:pStyle w:val="Compact"/>
      </w:pPr>
      <w:r>
        <w:t xml:space="preserve">6071</w:t>
      </w:r>
    </w:p>
    <w:p>
      <w:pPr>
        <w:pStyle w:val="Compact"/>
      </w:pPr>
      <w:r>
        <w:t xml:space="preserve">0.69 (0.52, 0.93)</w:t>
      </w:r>
    </w:p>
    <w:p>
      <w:pPr>
        <w:pStyle w:val="Compact"/>
      </w:pPr>
      <w:r>
        <w:t xml:space="preserve">0.0162</w:t>
      </w:r>
    </w:p>
    <w:p>
      <w:pPr>
        <w:pStyle w:val="Compact"/>
      </w:pPr>
      <w:r>
        <w:t xml:space="preserve">Black-Other</w:t>
      </w:r>
    </w:p>
    <w:p>
      <w:pPr>
        <w:pStyle w:val="Compact"/>
      </w:pPr>
      <w:r>
        <w:t xml:space="preserve">2.3% (7)</w:t>
      </w:r>
    </w:p>
    <w:p>
      <w:pPr>
        <w:pStyle w:val="Compact"/>
      </w:pPr>
      <w:r>
        <w:t xml:space="preserve">306</w:t>
      </w:r>
    </w:p>
    <w:p>
      <w:pPr>
        <w:pStyle w:val="Compact"/>
      </w:pPr>
      <w:r>
        <w:t xml:space="preserve">0.88 (0.37, 1.78)</w:t>
      </w:r>
    </w:p>
    <w:p>
      <w:pPr>
        <w:pStyle w:val="Compact"/>
      </w:pPr>
      <w:r>
        <w:t xml:space="preserve">0.751</w:t>
      </w:r>
    </w:p>
    <w:p>
      <w:pPr>
        <w:pStyle w:val="Compact"/>
      </w:pPr>
      <w:r>
        <w:t xml:space="preserve">Indian</w:t>
      </w:r>
    </w:p>
    <w:p>
      <w:pPr>
        <w:pStyle w:val="Compact"/>
      </w:pPr>
      <w:r>
        <w:t xml:space="preserve">1.7% (150)</w:t>
      </w:r>
    </w:p>
    <w:p>
      <w:pPr>
        <w:pStyle w:val="Compact"/>
      </w:pPr>
      <w:r>
        <w:t xml:space="preserve">8842</w:t>
      </w:r>
    </w:p>
    <w:p>
      <w:pPr>
        <w:pStyle w:val="Compact"/>
      </w:pPr>
      <w:r>
        <w:t xml:space="preserve">0.66 (0.51, 0.87)</w:t>
      </w:r>
    </w:p>
    <w:p>
      <w:pPr>
        <w:pStyle w:val="Compact"/>
      </w:pPr>
      <w:r>
        <w:t xml:space="preserve">0.00317</w:t>
      </w:r>
    </w:p>
    <w:p>
      <w:pPr>
        <w:pStyle w:val="Compact"/>
      </w:pPr>
      <w:r>
        <w:t xml:space="preserve">Pakistani</w:t>
      </w:r>
    </w:p>
    <w:p>
      <w:pPr>
        <w:pStyle w:val="Compact"/>
      </w:pPr>
      <w:r>
        <w:t xml:space="preserve">2.5% (140)</w:t>
      </w:r>
    </w:p>
    <w:p>
      <w:pPr>
        <w:pStyle w:val="Compact"/>
      </w:pPr>
      <w:r>
        <w:t xml:space="preserve">5668</w:t>
      </w:r>
    </w:p>
    <w:p>
      <w:pPr>
        <w:pStyle w:val="Compact"/>
      </w:pPr>
      <w:r>
        <w:t xml:space="preserve">0.94 (0.72, 1.22)</w:t>
      </w:r>
    </w:p>
    <w:p>
      <w:pPr>
        <w:pStyle w:val="Compact"/>
      </w:pPr>
      <w:r>
        <w:t xml:space="preserve">0.63</w:t>
      </w:r>
    </w:p>
    <w:p>
      <w:pPr>
        <w:pStyle w:val="Compact"/>
      </w:pPr>
      <w:r>
        <w:t xml:space="preserve">Bangladeshi</w:t>
      </w:r>
    </w:p>
    <w:p>
      <w:pPr>
        <w:pStyle w:val="Compact"/>
      </w:pPr>
      <w:r>
        <w:t xml:space="preserve">1.3% (18)</w:t>
      </w:r>
    </w:p>
    <w:p>
      <w:pPr>
        <w:pStyle w:val="Compact"/>
      </w:pPr>
      <w:r>
        <w:t xml:space="preserve">1409</w:t>
      </w:r>
    </w:p>
    <w:p>
      <w:pPr>
        <w:pStyle w:val="Compact"/>
      </w:pPr>
      <w:r>
        <w:t xml:space="preserve">0.48 (0.28, 0.78)</w:t>
      </w:r>
    </w:p>
    <w:p>
      <w:pPr>
        <w:pStyle w:val="Compact"/>
      </w:pPr>
      <w:r>
        <w:t xml:space="preserve">0.00533</w:t>
      </w:r>
    </w:p>
    <w:p>
      <w:pPr>
        <w:pStyle w:val="Compact"/>
      </w:pPr>
      <w:r>
        <w:t xml:space="preserve">Chinese</w:t>
      </w:r>
    </w:p>
    <w:p>
      <w:pPr>
        <w:pStyle w:val="Compact"/>
      </w:pPr>
      <w:r>
        <w:t xml:space="preserve">2.8% (11)</w:t>
      </w:r>
    </w:p>
    <w:p>
      <w:pPr>
        <w:pStyle w:val="Compact"/>
      </w:pPr>
      <w:r>
        <w:t xml:space="preserve">396</w:t>
      </w:r>
    </w:p>
    <w:p>
      <w:pPr>
        <w:pStyle w:val="Compact"/>
      </w:pPr>
      <w:r>
        <w:t xml:space="preserve">1.09 (0.54, 1.99)</w:t>
      </w:r>
    </w:p>
    <w:p>
      <w:pPr>
        <w:pStyle w:val="Compact"/>
      </w:pPr>
      <w:r>
        <w:t xml:space="preserve">0.787</w:t>
      </w:r>
    </w:p>
    <w:p>
      <w:pPr>
        <w:pStyle w:val="Compact"/>
      </w:pPr>
      <w:r>
        <w:t xml:space="preserve">Mixed / Other</w:t>
      </w:r>
    </w:p>
    <w:p>
      <w:pPr>
        <w:pStyle w:val="Compact"/>
      </w:pPr>
      <w:r>
        <w:t xml:space="preserve">1.9% (77)</w:t>
      </w:r>
    </w:p>
    <w:p>
      <w:pPr>
        <w:pStyle w:val="Compact"/>
      </w:pPr>
      <w:r>
        <w:t xml:space="preserve">4085</w:t>
      </w:r>
    </w:p>
    <w:p>
      <w:pPr>
        <w:pStyle w:val="Compact"/>
      </w:pPr>
      <w:r>
        <w:t xml:space="preserve">0.75 (0.54, 1.02)</w:t>
      </w:r>
    </w:p>
    <w:p>
      <w:pPr>
        <w:pStyle w:val="Compact"/>
      </w:pPr>
      <w:r>
        <w:t xml:space="preserve">0.0724</w:t>
      </w:r>
    </w:p>
    <w:p>
      <w:pPr>
        <w:pStyle w:val="Compact"/>
      </w:pPr>
      <w:r>
        <w:t xml:space="preserve">UK birth status</w:t>
      </w:r>
    </w:p>
    <w:p>
      <w:pPr>
        <w:pStyle w:val="Compact"/>
      </w:pPr>
      <w:r>
        <w:t xml:space="preserve">Non-UK Born</w:t>
      </w:r>
    </w:p>
    <w:p>
      <w:pPr>
        <w:pStyle w:val="Compact"/>
      </w:pPr>
      <w:r>
        <w:t xml:space="preserve">1.9% (480)</w:t>
      </w:r>
    </w:p>
    <w:p>
      <w:pPr>
        <w:pStyle w:val="Compact"/>
      </w:pPr>
      <w:r>
        <w:t xml:space="preserve">25174</w:t>
      </w:r>
    </w:p>
    <w:p>
      <w:pPr>
        <w:pStyle w:val="Compact"/>
      </w:pPr>
      <w:r>
        <w:t xml:space="preserve">0.153</w:t>
      </w:r>
    </w:p>
    <w:p>
      <w:pPr>
        <w:pStyle w:val="Compact"/>
      </w:pPr>
      <w:r>
        <w:t xml:space="preserve">UK Born</w:t>
      </w:r>
    </w:p>
    <w:p>
      <w:pPr>
        <w:pStyle w:val="Compact"/>
      </w:pPr>
      <w:r>
        <w:t xml:space="preserve">2.8% (234)</w:t>
      </w:r>
    </w:p>
    <w:p>
      <w:pPr>
        <w:pStyle w:val="Compact"/>
      </w:pPr>
      <w:r>
        <w:t xml:space="preserve">8432</w:t>
      </w:r>
    </w:p>
    <w:p>
      <w:pPr>
        <w:pStyle w:val="Compact"/>
      </w:pPr>
      <w:r>
        <w:t xml:space="preserve">1.17 (0.94, 1.45)</w:t>
      </w:r>
    </w:p>
    <w:p>
      <w:pPr>
        <w:pStyle w:val="Compact"/>
      </w:pPr>
      <w:r>
        <w:t xml:space="preserve">0.151</w:t>
      </w:r>
    </w:p>
    <w:p>
      <w:pPr>
        <w:pStyle w:val="Compact"/>
      </w:pPr>
      <w:r>
        <w:t xml:space="preserve">Socio-economic status</w:t>
      </w:r>
    </w:p>
    <w:p>
      <w:pPr>
        <w:pStyle w:val="Compact"/>
      </w:pPr>
      <w:r>
        <w:t xml:space="preserve">1</w:t>
      </w:r>
    </w:p>
    <w:p>
      <w:pPr>
        <w:pStyle w:val="Compact"/>
      </w:pPr>
      <w:r>
        <w:t xml:space="preserve">2.4% (308)</w:t>
      </w:r>
    </w:p>
    <w:p>
      <w:pPr>
        <w:pStyle w:val="Compact"/>
      </w:pPr>
      <w:r>
        <w:t xml:space="preserve">13080</w:t>
      </w:r>
    </w:p>
    <w:p>
      <w:pPr>
        <w:pStyle w:val="Compact"/>
      </w:pPr>
      <w:r>
        <w:t xml:space="preserve">0.000621</w:t>
      </w:r>
    </w:p>
    <w:p>
      <w:pPr>
        <w:pStyle w:val="Compact"/>
      </w:pPr>
      <w:r>
        <w:t xml:space="preserve">2</w:t>
      </w:r>
    </w:p>
    <w:p>
      <w:pPr>
        <w:pStyle w:val="Compact"/>
      </w:pPr>
      <w:r>
        <w:t xml:space="preserve">1.7% (170)</w:t>
      </w:r>
    </w:p>
    <w:p>
      <w:pPr>
        <w:pStyle w:val="Compact"/>
      </w:pPr>
      <w:r>
        <w:t xml:space="preserve">10266</w:t>
      </w:r>
    </w:p>
    <w:p>
      <w:pPr>
        <w:pStyle w:val="Compact"/>
      </w:pPr>
      <w:r>
        <w:t xml:space="preserve">0.72 (0.60, 0.87)</w:t>
      </w:r>
    </w:p>
    <w:p>
      <w:pPr>
        <w:pStyle w:val="Compact"/>
      </w:pPr>
      <w:r>
        <w:t xml:space="preserve">0.000888</w:t>
      </w:r>
    </w:p>
    <w:p>
      <w:pPr>
        <w:pStyle w:val="Compact"/>
      </w:pPr>
      <w:r>
        <w:t xml:space="preserve">3</w:t>
      </w:r>
    </w:p>
    <w:p>
      <w:pPr>
        <w:pStyle w:val="Compact"/>
      </w:pPr>
      <w:r>
        <w:t xml:space="preserve">1.9% (100)</w:t>
      </w:r>
    </w:p>
    <w:p>
      <w:pPr>
        <w:pStyle w:val="Compact"/>
      </w:pPr>
      <w:r>
        <w:t xml:space="preserve">5265</w:t>
      </w:r>
    </w:p>
    <w:p>
      <w:pPr>
        <w:pStyle w:val="Compact"/>
      </w:pPr>
      <w:r>
        <w:t xml:space="preserve">0.82 (0.65, 1.03)</w:t>
      </w:r>
    </w:p>
    <w:p>
      <w:pPr>
        <w:pStyle w:val="Compact"/>
      </w:pPr>
      <w:r>
        <w:t xml:space="preserve">0.0917</w:t>
      </w:r>
    </w:p>
    <w:p>
      <w:pPr>
        <w:pStyle w:val="Compact"/>
      </w:pPr>
      <w:r>
        <w:t xml:space="preserve">4</w:t>
      </w:r>
    </w:p>
    <w:p>
      <w:pPr>
        <w:pStyle w:val="Compact"/>
      </w:pPr>
      <w:r>
        <w:t xml:space="preserve">2.8% (84)</w:t>
      </w:r>
    </w:p>
    <w:p>
      <w:pPr>
        <w:pStyle w:val="Compact"/>
      </w:pPr>
      <w:r>
        <w:t xml:space="preserve">2994</w:t>
      </w:r>
    </w:p>
    <w:p>
      <w:pPr>
        <w:pStyle w:val="Compact"/>
      </w:pPr>
      <w:r>
        <w:t xml:space="preserve">1.19 (0.92, 1.52)</w:t>
      </w:r>
    </w:p>
    <w:p>
      <w:pPr>
        <w:pStyle w:val="Compact"/>
      </w:pPr>
      <w:r>
        <w:t xml:space="preserve">0.178</w:t>
      </w:r>
    </w:p>
    <w:p>
      <w:pPr>
        <w:pStyle w:val="Compact"/>
      </w:pPr>
      <w:r>
        <w:t xml:space="preserve">5</w:t>
      </w:r>
    </w:p>
    <w:p>
      <w:pPr>
        <w:pStyle w:val="Compact"/>
      </w:pPr>
      <w:r>
        <w:t xml:space="preserve">2.6% (52)</w:t>
      </w:r>
    </w:p>
    <w:p>
      <w:pPr>
        <w:pStyle w:val="Compact"/>
      </w:pPr>
      <w:r>
        <w:t xml:space="preserve">2001</w:t>
      </w:r>
    </w:p>
    <w:p>
      <w:pPr>
        <w:pStyle w:val="Compact"/>
      </w:pPr>
      <w:r>
        <w:t xml:space="preserve">1.07 (0.78, 1.44)</w:t>
      </w:r>
    </w:p>
    <w:p>
      <w:pPr>
        <w:pStyle w:val="Compact"/>
      </w:pPr>
      <w:r>
        <w:t xml:space="preserve">0.681</w:t>
      </w:r>
    </w:p>
    <w:p>
      <w:pPr>
        <w:pStyle w:val="Heading4"/>
      </w:pPr>
      <w:bookmarkStart w:id="51" w:name="biases-in-the-ets"/>
      <w:r>
        <w:t xml:space="preserve">Biases in the ETS</w:t>
      </w:r>
      <w:bookmarkEnd w:id="51"/>
    </w:p>
    <w:p>
      <w:pPr>
        <w:pStyle w:val="FirstParagraph"/>
      </w:pPr>
      <w:r>
        <w:t xml:space="preserve">Routine observational datasets are subject to numerous potential biases, such as selection bias, recall bias, measurement bias, and unmeasured confounding.</w:t>
      </w:r>
      <w:r>
        <w:t xml:space="preserve">[12]</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[13]</w:t>
      </w:r>
      <w:r>
        <w:t xml:space="preserve"> </w:t>
      </w:r>
      <w:r>
        <w:t xml:space="preserve">Validation studies would be required to account for this, which is beyond the scope of this thesis.</w:t>
      </w:r>
    </w:p>
    <w:p>
      <w:pPr>
        <w:pStyle w:val="Heading1"/>
      </w:pPr>
      <w:bookmarkStart w:id="52" w:name="discussion"/>
      <w:r>
        <w:t xml:space="preserve">Discussion</w:t>
      </w:r>
      <w:bookmarkEnd w:id="52"/>
    </w:p>
    <w:p>
      <w:pPr>
        <w:pStyle w:val="Heading3"/>
      </w:pPr>
      <w:bookmarkStart w:id="53" w:name="statement-of-primary-findings"/>
      <w:r>
        <w:t xml:space="preserve">Statement of primary findings</w:t>
      </w:r>
      <w:bookmarkEnd w:id="53"/>
    </w:p>
    <w:p>
      <w:pPr>
        <w:pStyle w:val="FirstParagraph"/>
      </w:pPr>
      <w:r>
        <w:t xml:space="preserve">In the ETS system I found a high degree of missing data for several important variables. I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future analysis to avoid bias. I found that date variables in particular suffered from changing data completeness over time, which may introduce spurious temporal trends if not fully understood. I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4" w:name="strengths-and-limitations-of-the-study"/>
      <w:r>
        <w:t xml:space="preserve">Strengths and limitations of the study</w:t>
      </w:r>
      <w:bookmarkEnd w:id="54"/>
    </w:p>
    <w:p>
      <w:pPr>
        <w:pStyle w:val="Heading3"/>
      </w:pPr>
      <w:bookmarkStart w:id="55" w:name="strengths-and-limitations-in-comparison-to-the-literature"/>
      <w:r>
        <w:t xml:space="preserve">Strengths and limitations in comparison to the literature</w:t>
      </w:r>
      <w:bookmarkEnd w:id="55"/>
    </w:p>
    <w:p>
      <w:pPr>
        <w:pStyle w:val="Heading3"/>
      </w:pPr>
      <w:bookmarkStart w:id="56" w:name="meaning-of-the-study"/>
      <w:r>
        <w:t xml:space="preserve">Meaning of the study</w:t>
      </w:r>
      <w:bookmarkEnd w:id="56"/>
    </w:p>
    <w:p>
      <w:pPr>
        <w:pStyle w:val="Heading3"/>
      </w:pPr>
      <w:bookmarkStart w:id="57" w:name="unanswered-questions-and-future-research"/>
      <w:r>
        <w:t xml:space="preserve">Unanswered questions and future research</w:t>
      </w:r>
      <w:bookmarkEnd w:id="57"/>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p>
    <w:p>
      <w:pPr>
        <w:pStyle w:val="Heading1"/>
      </w:pPr>
      <w:bookmarkStart w:id="58" w:name="references"/>
      <w:r>
        <w:t xml:space="preserve">References</w:t>
      </w:r>
      <w:bookmarkEnd w:id="58"/>
    </w:p>
    <w:bookmarkStart w:id="72" w:name="refs"/>
    <w:bookmarkStart w:id="59" w:name="ref-PHE2017"/>
    <w:p>
      <w:pPr>
        <w:pStyle w:val="FirstParagraph"/>
      </w:pPr>
      <w:r>
        <w:t xml:space="preserve">1 Public Health England. Tuberculosis in England 2017 report ( presenting data to end of 2016 ) About Public Health England. 2017.</w:t>
      </w:r>
      <w:r>
        <w:t xml:space="preserve"> </w:t>
      </w:r>
    </w:p>
    <w:bookmarkEnd w:id="59"/>
    <w:bookmarkStart w:id="60" w:name="ref-PHE2018"/>
    <w:p>
      <w:pPr>
        <w:pStyle w:val="BodyText"/>
      </w:pPr>
      <w:r>
        <w:t xml:space="preserve">2 Public Health England. Tuberculosis in England: 2018. 2019;1–218.</w:t>
      </w:r>
    </w:p>
    <w:bookmarkEnd w:id="60"/>
    <w:bookmarkStart w:id="61" w:name="ref-French2007"/>
    <w:p>
      <w:pPr>
        <w:pStyle w:val="BodyText"/>
      </w:pPr>
      <w:r>
        <w:t xml:space="preserve">3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bookmarkEnd w:id="61"/>
    <w:bookmarkStart w:id="62" w:name="ref-Kriujshaar2007"/>
    <w:p>
      <w:pPr>
        <w:pStyle w:val="BodyText"/>
      </w:pPr>
      <w:r>
        <w:t xml:space="preserve">4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62"/>
    <w:bookmarkStart w:id="63" w:name="ref-Abubakar2013"/>
    <w:p>
      <w:pPr>
        <w:pStyle w:val="BodyText"/>
      </w:pPr>
      <w:r>
        <w:t xml:space="preserve">5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bookmarkEnd w:id="63"/>
    <w:bookmarkStart w:id="64" w:name="ref-PublicHealthEngland2011a"/>
    <w:p>
      <w:pPr>
        <w:pStyle w:val="BodyText"/>
      </w:pPr>
      <w:r>
        <w:t xml:space="preserve">6 Public Health England. The Green Book. 2013;391–409.</w:t>
      </w:r>
    </w:p>
    <w:bookmarkEnd w:id="64"/>
    <w:bookmarkStart w:id="65" w:name="ref-Sterne2009a"/>
    <w:p>
      <w:pPr>
        <w:pStyle w:val="BodyText"/>
      </w:pPr>
      <w:r>
        <w:t xml:space="preserve">7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65"/>
    <w:bookmarkStart w:id="66" w:name="ref-Pillaye2003"/>
    <w:p>
      <w:pPr>
        <w:pStyle w:val="BodyText"/>
      </w:pPr>
      <w:r>
        <w:t xml:space="preserve">8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66"/>
    <w:bookmarkStart w:id="67" w:name="ref-PHE2016"/>
    <w:p>
      <w:pPr>
        <w:pStyle w:val="BodyText"/>
      </w:pPr>
      <w:r>
        <w:t xml:space="preserve">9 PHE. Tuberculosis in England 2016 Report (presenting data to end of 2015). 2016.</w:t>
      </w:r>
      <w:r>
        <w:t xml:space="preserve"> </w:t>
      </w:r>
    </w:p>
    <w:bookmarkEnd w:id="67"/>
    <w:bookmarkStart w:id="68" w:name="ref-Groothuis-oudshoorn"/>
    <w:p>
      <w:pPr>
        <w:pStyle w:val="BodyText"/>
      </w:pPr>
      <w:r>
        <w:t xml:space="preserve">10 Groothuis-oudshoorn K. Journal of Statistical Software MICE : Multivariate Imputation by Chained.;</w:t>
      </w:r>
      <w:r>
        <w:rPr>
          <w:b/>
        </w:rPr>
        <w:t xml:space="preserve">VV</w:t>
      </w:r>
      <w:r>
        <w:t xml:space="preserve">.</w:t>
      </w:r>
    </w:p>
    <w:bookmarkEnd w:id="68"/>
    <w:bookmarkStart w:id="69" w:name="ref-Sterne2001"/>
    <w:p>
      <w:pPr>
        <w:pStyle w:val="BodyText"/>
      </w:pPr>
      <w:r>
        <w:t xml:space="preserve">11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69"/>
    <w:bookmarkStart w:id="70" w:name="ref-Benchimol2016a"/>
    <w:p>
      <w:pPr>
        <w:pStyle w:val="BodyText"/>
      </w:pPr>
      <w:r>
        <w:t xml:space="preserve">12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70"/>
    <w:bookmarkStart w:id="71" w:name="ref-Fewell2007"/>
    <w:p>
      <w:pPr>
        <w:pStyle w:val="BodyText"/>
      </w:pPr>
      <w:r>
        <w:t xml:space="preserve">13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71"/>
    <w:bookmarkEnd w:id="72"/>
    <w:p>
      <w:pPr>
        <w:pStyle w:val="Heading2"/>
      </w:pPr>
      <w:bookmarkStart w:id="73" w:name="results-copy-to-top"/>
      <w:r>
        <w:t xml:space="preserve">Results</w:t>
      </w:r>
      <w:r>
        <w:t xml:space="preserve"> </w:t>
      </w:r>
      <w:r>
        <w:rPr>
          <w:i/>
        </w:rPr>
        <w:t xml:space="preserve">Copy to top</w:t>
      </w:r>
      <w:bookmarkEnd w:id="73"/>
    </w:p>
    <w:p>
      <w:pPr>
        <w:pStyle w:val="Heading1"/>
      </w:pPr>
      <w:bookmarkStart w:id="74"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74"/>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Data cleaning code:</w:t>
      </w:r>
      <w:r>
        <w:t xml:space="preserve"> </w:t>
      </w:r>
      <w:hyperlink r:id="rId35">
        <w:r>
          <w:rPr>
            <w:rStyle w:val="Hyperlink"/>
          </w:rPr>
          <w:t xml:space="preserve">https://www.samabbott.co.uk/tbinenglanddataclean/reference/clean_munge_ets_2016.html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35" Target="https://www.samabbott.co.uk/tbinenglanddataclean/reference/clean_munge_ets_2016.html"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5" Target="https://www.samabbott.co.uk/tbinenglanddataclean/reference/clean_munge_ets_2016.html"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and Evaluate the Mechanisms for Missing Data in the Enhanced Tuberculosis Surveillance System</dc:title>
  <dc:creator>Sam Abbott, Hannah Christensen, Ellen Brooks-Pollock</dc:creator>
  <cp:keywords/>
  <dcterms:created xsi:type="dcterms:W3CDTF">2019-10-15T12:26:13Z</dcterms:created>
  <dcterms:modified xsi:type="dcterms:W3CDTF">2019-10-15T12:26:13Z</dcterms:modified>
</cp:coreProperties>
</file>