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08D7" w:rsidRDefault="00BA6BD2">
      <w:pPr>
        <w:pStyle w:val="Title"/>
      </w:pPr>
      <w:r>
        <w:t>Evaluating the Mechanisms for Missing Data in the Enhanced Tuberculosis Surveillance System</w:t>
      </w:r>
    </w:p>
    <w:p w:rsidR="008308D7" w:rsidRDefault="00BA6BD2">
      <w:pPr>
        <w:pStyle w:val="Author"/>
      </w:pPr>
      <w:r>
        <w:t>Sam Abbott, Hannah Christensen, Ellen Brooks-Pollock</w:t>
      </w:r>
    </w:p>
    <w:p w:rsidR="008308D7" w:rsidRDefault="00BA6BD2">
      <w:pPr>
        <w:pStyle w:val="FirstParagraph"/>
      </w:pPr>
      <w:r>
        <w:rPr>
          <w:b/>
        </w:rPr>
        <w:t>Authors:</w:t>
      </w:r>
    </w:p>
    <w:p w:rsidR="008308D7" w:rsidRDefault="00BA6BD2">
      <w:pPr>
        <w:pStyle w:val="BodyText"/>
      </w:pPr>
      <w:r>
        <w:t>Sam Abbott, Bristol Medical School: Population Health Sciences, University of Bristol, Bristol, UK</w:t>
      </w:r>
    </w:p>
    <w:p w:rsidR="008308D7" w:rsidRDefault="00BA6BD2">
      <w:pPr>
        <w:pStyle w:val="BodyText"/>
      </w:pPr>
      <w:r>
        <w:t>Hannah Christensen, Bristol Medical School: Population Health Sciences, University of Bristol, Bristol, UK</w:t>
      </w:r>
    </w:p>
    <w:p w:rsidR="008308D7" w:rsidRDefault="00BA6BD2">
      <w:pPr>
        <w:pStyle w:val="BodyText"/>
      </w:pPr>
      <w:r>
        <w:t>Ellen Brooks-Pollock, Bristol Medical School: Popu</w:t>
      </w:r>
      <w:r>
        <w:t>lation Health Sciences, University of Bristol, Bristol, UK</w:t>
      </w:r>
    </w:p>
    <w:p w:rsidR="008308D7" w:rsidRDefault="00BA6BD2">
      <w:pPr>
        <w:pStyle w:val="BodyText"/>
      </w:pPr>
      <w:r>
        <w:rPr>
          <w:b/>
        </w:rPr>
        <w:t>Correspondence to:</w:t>
      </w:r>
      <w:r>
        <w:t xml:space="preserve"> Sam Abbott, Bristol Medical School: Population Health Sciences, University of Bristol, Bristol BS8 2BN, UK; </w:t>
      </w:r>
      <w:hyperlink r:id="rId7">
        <w:r>
          <w:rPr>
            <w:rStyle w:val="Hyperlink"/>
          </w:rPr>
          <w:t>sam.abbott@bristol.</w:t>
        </w:r>
        <w:r>
          <w:rPr>
            <w:rStyle w:val="Hyperlink"/>
          </w:rPr>
          <w:t>ac.uk</w:t>
        </w:r>
      </w:hyperlink>
      <w:r>
        <w:t>; 01173310185</w:t>
      </w:r>
    </w:p>
    <w:p w:rsidR="008308D7" w:rsidRDefault="00BA6BD2">
      <w:pPr>
        <w:pStyle w:val="BodyText"/>
      </w:pPr>
      <w:r>
        <w:rPr>
          <w:b/>
        </w:rPr>
        <w:t>Words:</w:t>
      </w:r>
      <w:r>
        <w:t xml:space="preserve"> </w:t>
      </w:r>
      <w:r>
        <w:rPr>
          <w:i/>
        </w:rPr>
        <w:t>Title:</w:t>
      </w:r>
      <w:r>
        <w:t xml:space="preserve"> </w:t>
      </w:r>
      <w:r>
        <w:rPr>
          <w:i/>
        </w:rPr>
        <w:t>Abstract:</w:t>
      </w:r>
      <w:r>
        <w:t xml:space="preserve"> </w:t>
      </w:r>
      <w:r>
        <w:rPr>
          <w:i/>
        </w:rPr>
        <w:t>Paper:</w:t>
      </w:r>
    </w:p>
    <w:p w:rsidR="008308D7" w:rsidRDefault="00BA6BD2">
      <w:pPr>
        <w:pStyle w:val="Heading1"/>
      </w:pPr>
      <w:bookmarkStart w:id="0" w:name="abstract"/>
      <w:r>
        <w:t>Abstract</w:t>
      </w:r>
      <w:bookmarkEnd w:id="0"/>
    </w:p>
    <w:p w:rsidR="008308D7" w:rsidRDefault="00BA6BD2">
      <w:pPr>
        <w:pStyle w:val="Heading2"/>
      </w:pPr>
      <w:bookmarkStart w:id="1" w:name="background"/>
      <w:r>
        <w:t>Background</w:t>
      </w:r>
      <w:bookmarkEnd w:id="1"/>
    </w:p>
    <w:p w:rsidR="008308D7" w:rsidRDefault="00BA6BD2">
      <w:pPr>
        <w:pStyle w:val="FirstParagraph"/>
      </w:pPr>
      <w:r>
        <w:t>The Enhanced Tuberculosis Surveillance (ETS) system is a routine surveillance system - with a similar structure to other such systems - that collects data on all notified tuberculosis (T</w:t>
      </w:r>
      <w:r>
        <w:t>B) cases in England. It is routinely used to study the epidemiology of TB. Routine data often has a large amount of missing data which may not be fully accounted for when used in analyses. This study explores the evidence for associations between missingne</w:t>
      </w:r>
      <w:r>
        <w:t>ss in several key outcomes and demographic variables. Any such associations may introduce bias if not accounted for.</w:t>
      </w:r>
    </w:p>
    <w:p w:rsidR="008308D7" w:rsidRDefault="00BA6BD2">
      <w:pPr>
        <w:pStyle w:val="Heading2"/>
      </w:pPr>
      <w:bookmarkStart w:id="2" w:name="methods"/>
      <w:r>
        <w:t>Methods</w:t>
      </w:r>
      <w:bookmarkEnd w:id="2"/>
    </w:p>
    <w:p w:rsidR="008308D7" w:rsidRDefault="00BA6BD2">
      <w:pPr>
        <w:pStyle w:val="Compact"/>
        <w:numPr>
          <w:ilvl w:val="0"/>
          <w:numId w:val="15"/>
        </w:numPr>
      </w:pPr>
      <w:r>
        <w:t>Introduce ETS</w:t>
      </w:r>
    </w:p>
    <w:p w:rsidR="008308D7" w:rsidRDefault="00BA6BD2">
      <w:pPr>
        <w:pStyle w:val="Compact"/>
        <w:numPr>
          <w:ilvl w:val="0"/>
          <w:numId w:val="15"/>
        </w:numPr>
      </w:pPr>
      <w:r>
        <w:t>Data extraction and management</w:t>
      </w:r>
    </w:p>
    <w:p w:rsidR="008308D7" w:rsidRDefault="00BA6BD2">
      <w:pPr>
        <w:pStyle w:val="Compact"/>
        <w:numPr>
          <w:ilvl w:val="0"/>
          <w:numId w:val="15"/>
        </w:numPr>
      </w:pPr>
      <w:r>
        <w:t>Structure of the ETS</w:t>
      </w:r>
    </w:p>
    <w:p w:rsidR="008308D7" w:rsidRDefault="00BA6BD2">
      <w:pPr>
        <w:pStyle w:val="Compact"/>
        <w:numPr>
          <w:ilvl w:val="0"/>
          <w:numId w:val="15"/>
        </w:numPr>
      </w:pPr>
      <w:r>
        <w:t>Data completeness</w:t>
      </w:r>
    </w:p>
    <w:p w:rsidR="008308D7" w:rsidRDefault="00BA6BD2">
      <w:pPr>
        <w:pStyle w:val="Compact"/>
        <w:numPr>
          <w:ilvl w:val="0"/>
          <w:numId w:val="15"/>
        </w:numPr>
      </w:pPr>
      <w:r>
        <w:t>Drivers of variable completeness (regression)</w:t>
      </w:r>
    </w:p>
    <w:p w:rsidR="008308D7" w:rsidRDefault="00BA6BD2">
      <w:pPr>
        <w:pStyle w:val="Heading2"/>
      </w:pPr>
      <w:bookmarkStart w:id="3" w:name="results-copy-from-bottom"/>
      <w:r>
        <w:t>R</w:t>
      </w:r>
      <w:r>
        <w:t xml:space="preserve">esults </w:t>
      </w:r>
      <w:r>
        <w:rPr>
          <w:i/>
        </w:rPr>
        <w:t>Copy from bottom</w:t>
      </w:r>
      <w:bookmarkEnd w:id="3"/>
    </w:p>
    <w:p w:rsidR="008308D7" w:rsidRDefault="00BA6BD2">
      <w:pPr>
        <w:pStyle w:val="Compact"/>
        <w:numPr>
          <w:ilvl w:val="0"/>
          <w:numId w:val="16"/>
        </w:numPr>
      </w:pPr>
      <w:r>
        <w:t>Missing structure</w:t>
      </w:r>
    </w:p>
    <w:p w:rsidR="008308D7" w:rsidRDefault="00BA6BD2">
      <w:pPr>
        <w:pStyle w:val="Compact"/>
        <w:numPr>
          <w:ilvl w:val="0"/>
          <w:numId w:val="16"/>
        </w:numPr>
      </w:pPr>
      <w:r>
        <w:t>Drivers of variable completeness</w:t>
      </w:r>
    </w:p>
    <w:p w:rsidR="008308D7" w:rsidRDefault="00BA6BD2">
      <w:pPr>
        <w:pStyle w:val="Heading2"/>
      </w:pPr>
      <w:bookmarkStart w:id="4" w:name="conclusions"/>
      <w:r>
        <w:lastRenderedPageBreak/>
        <w:t>Conclusions</w:t>
      </w:r>
      <w:bookmarkEnd w:id="4"/>
    </w:p>
    <w:p w:rsidR="008308D7" w:rsidRDefault="00BA6BD2">
      <w:pPr>
        <w:pStyle w:val="Compact"/>
        <w:numPr>
          <w:ilvl w:val="0"/>
          <w:numId w:val="17"/>
        </w:numPr>
      </w:pPr>
      <w:r>
        <w:t>Surveillance data is likely to have a high degree of misising data. In the ETS missing for key outcomes is associated with demographic factors such as….</w:t>
      </w:r>
    </w:p>
    <w:p w:rsidR="008308D7" w:rsidRDefault="00BA6BD2">
      <w:pPr>
        <w:pStyle w:val="Compact"/>
        <w:numPr>
          <w:ilvl w:val="0"/>
          <w:numId w:val="17"/>
        </w:numPr>
      </w:pPr>
      <w:r>
        <w:t>To avoid biasing</w:t>
      </w:r>
      <w:r>
        <w:t xml:space="preserve"> analysis studies should make use of imputed data - rather than complete case analysis - and extend their imputation models to other demographic variables that may not be included in the analysis model.</w:t>
      </w:r>
    </w:p>
    <w:p w:rsidR="008308D7" w:rsidRDefault="00BA6BD2">
      <w:pPr>
        <w:pStyle w:val="Compact"/>
        <w:numPr>
          <w:ilvl w:val="0"/>
          <w:numId w:val="17"/>
        </w:numPr>
      </w:pPr>
      <w:r>
        <w:t xml:space="preserve">This analysis should be repeated in other datasets - </w:t>
      </w:r>
      <w:r>
        <w:t>for this reason the code is available as an R package (</w:t>
      </w:r>
      <w:hyperlink r:id="rId8">
        <w:r>
          <w:rPr>
            <w:rStyle w:val="Hyperlink"/>
          </w:rPr>
          <w:t>https://doi.org/10.5281/zenodo.3492200</w:t>
        </w:r>
      </w:hyperlink>
      <w:r>
        <w:t>).</w:t>
      </w:r>
    </w:p>
    <w:p w:rsidR="008308D7" w:rsidRDefault="00BA6BD2">
      <w:pPr>
        <w:pStyle w:val="Heading1"/>
      </w:pPr>
      <w:bookmarkStart w:id="5" w:name="introduction"/>
      <w:r>
        <w:t>Introduction</w:t>
      </w:r>
      <w:bookmarkEnd w:id="5"/>
    </w:p>
    <w:p w:rsidR="008308D7" w:rsidRDefault="00BA6BD2">
      <w:pPr>
        <w:pStyle w:val="FirstParagraph"/>
      </w:pPr>
      <w:r>
        <w:rPr>
          <w:i/>
        </w:rPr>
        <w:t>Background</w:t>
      </w:r>
    </w:p>
    <w:p w:rsidR="008308D7" w:rsidRDefault="00BA6BD2">
      <w:pPr>
        <w:pStyle w:val="BodyText"/>
      </w:pPr>
      <w:r>
        <w:t>The Enhanced Tuberculosis Surveillance (ETS) system is a routine surveillance system - with a similar structure to other such systems - that collects data on all notified tuberculosis (TB) cases in England. It is routinely used to study the epidemiology of</w:t>
      </w:r>
      <w:r>
        <w:t xml:space="preserve"> TB. Routine data often has a large amount of missing data which may not be fully accounted for when used in analyses.</w:t>
      </w:r>
    </w:p>
    <w:p w:rsidR="008308D7" w:rsidRDefault="00BA6BD2">
      <w:pPr>
        <w:pStyle w:val="BodyText"/>
      </w:pPr>
      <w:r>
        <w:rPr>
          <w:i/>
        </w:rPr>
        <w:t>Detail</w:t>
      </w:r>
    </w:p>
    <w:p w:rsidR="008308D7" w:rsidRDefault="00BA6BD2">
      <w:pPr>
        <w:pStyle w:val="BodyText"/>
      </w:pPr>
      <w:r>
        <w:t xml:space="preserve">Missing data can take several forms, data that are missing completely at random (MCAR), data that are missing at random (MAR) and </w:t>
      </w:r>
      <w:r>
        <w:t xml:space="preserve">data that are missing not at random (MNAR).[1] Data that are MAR are missing with a mechanism that is conditional on observed variables, whilst MNAR are missing with a mechanism that is conditional on variables that are not observed. Data that is MAR, and </w:t>
      </w:r>
      <w:r>
        <w:t>MNAR may lead to biases when analysing the data, however it is not possible to deduce from the observed data what the mechanism driving missing data is. Therefore, it is necessary to account for these potential biases during the analysis stage. This is pos</w:t>
      </w:r>
      <w:r>
        <w:t>sible using a variety of methods such as scenario analysis accounting for the ‘best’ and ‘worst’ case scenarios, and multiple imputation of missing data using additional variables in the dataset to inform the imputation model.[1] Common practise is to incl</w:t>
      </w:r>
      <w:r>
        <w:t>ude all variables included in the analyses in the imputation model, these variables may or may not be those at most risk of introducing bias due to an MAR mechanism.</w:t>
      </w:r>
    </w:p>
    <w:p w:rsidR="008308D7" w:rsidRDefault="00BA6BD2">
      <w:pPr>
        <w:pStyle w:val="BodyText"/>
      </w:pPr>
      <w:r>
        <w:rPr>
          <w:i/>
        </w:rPr>
        <w:t>Aim</w:t>
      </w:r>
    </w:p>
    <w:p w:rsidR="008308D7" w:rsidRDefault="00BA6BD2">
      <w:pPr>
        <w:pStyle w:val="BodyText"/>
      </w:pPr>
      <w:r>
        <w:t>This study aims to explore the evidence for associations between missingness in severa</w:t>
      </w:r>
      <w:r>
        <w:t>l key outcomes and demographic variables. Any such associations may introduce bias if not accounted for.</w:t>
      </w:r>
    </w:p>
    <w:p w:rsidR="008308D7" w:rsidRDefault="00BA6BD2">
      <w:pPr>
        <w:pStyle w:val="Heading1"/>
      </w:pPr>
      <w:bookmarkStart w:id="6" w:name="methods-1"/>
      <w:r>
        <w:t>Methods</w:t>
      </w:r>
      <w:bookmarkEnd w:id="6"/>
    </w:p>
    <w:p w:rsidR="008308D7" w:rsidRDefault="00BA6BD2">
      <w:pPr>
        <w:pStyle w:val="Heading2"/>
      </w:pPr>
      <w:bookmarkStart w:id="7" w:name="enhanced-tuberculosis-surveillance-ets-s"/>
      <w:r>
        <w:t>Enhanced tuberculosis surveillance (ETS) system</w:t>
      </w:r>
      <w:bookmarkEnd w:id="7"/>
    </w:p>
    <w:p w:rsidR="0057332F" w:rsidRPr="0057332F" w:rsidRDefault="0057332F" w:rsidP="0057332F">
      <w:pPr>
        <w:pStyle w:val="BodyText"/>
      </w:pPr>
    </w:p>
    <w:p w:rsidR="008308D7" w:rsidRDefault="00BA6BD2">
      <w:pPr>
        <w:pStyle w:val="TableCaption"/>
      </w:pPr>
      <w:r>
        <w:lastRenderedPageBreak/>
        <w:t xml:space="preserve">Table 1: </w:t>
      </w:r>
    </w:p>
    <w:tbl>
      <w:tblPr>
        <w:tblStyle w:val="PlainTable2"/>
        <w:tblW w:w="0" w:type="pct"/>
        <w:tblLook w:val="0620" w:firstRow="1" w:lastRow="0" w:firstColumn="0" w:lastColumn="0" w:noHBand="1" w:noVBand="1"/>
        <w:tblCaption w:val="Table 1: Breakdown of missing data from the ETS prior to the web based system (pre 2009) and post (post 2008) by variable, ordered by the percentage missing for a subset of variables. The following subset of variables are shown year (year), sex (sex), age (age), PHE Centre (phec), Occupation (occat), Ethnic group (ethgrp), UK birth status (ukborn), Time since entry (timesinceent), date of symptom onset (symptonset), date of diagnosis (datediag), started treatment (startedtreat), date of starting treatment (starttreatdate), treatment end date (txenddate), pulmonary or extra-pulmonary TB (pulmextrapulm), culture (culture), sputum smear status (sputsmear), drug resistance (anyres), previous diagnosis (prevdiag), BCG status(bcgvacc), Year of BCG vaccination (bcgvaccyr), overall outcome (overalloutcome), cause of death (tomdeathrelate), socio-economic status quintiles (natquintile), and date of death (dateofdeath). Nested variables have been accounted for (i.e data of death has had an entry added for cases that are known to have not died), so that true missingness for all variables is estimated."/>
      </w:tblPr>
      <w:tblGrid>
        <w:gridCol w:w="1820"/>
        <w:gridCol w:w="1404"/>
        <w:gridCol w:w="1454"/>
        <w:gridCol w:w="1404"/>
        <w:gridCol w:w="1454"/>
      </w:tblGrid>
      <w:tr w:rsidR="008308D7" w:rsidTr="0057332F">
        <w:trPr>
          <w:cnfStyle w:val="100000000000" w:firstRow="1" w:lastRow="0" w:firstColumn="0" w:lastColumn="0" w:oddVBand="0" w:evenVBand="0" w:oddHBand="0" w:evenHBand="0" w:firstRowFirstColumn="0" w:firstRowLastColumn="0" w:lastRowFirstColumn="0" w:lastRowLastColumn="0"/>
        </w:trPr>
        <w:tc>
          <w:tcPr>
            <w:tcW w:w="0" w:type="auto"/>
          </w:tcPr>
          <w:p w:rsidR="008308D7" w:rsidRPr="0057332F" w:rsidRDefault="00BA6BD2">
            <w:pPr>
              <w:pStyle w:val="Compact"/>
              <w:rPr>
                <w:b w:val="0"/>
                <w:bCs w:val="0"/>
              </w:rPr>
            </w:pPr>
            <w:r w:rsidRPr="0057332F">
              <w:rPr>
                <w:b w:val="0"/>
                <w:bCs w:val="0"/>
              </w:rPr>
              <w:t>Variable</w:t>
            </w:r>
          </w:p>
        </w:tc>
        <w:tc>
          <w:tcPr>
            <w:tcW w:w="0" w:type="auto"/>
          </w:tcPr>
          <w:p w:rsidR="008308D7" w:rsidRPr="0057332F" w:rsidRDefault="00BA6BD2">
            <w:pPr>
              <w:pStyle w:val="Compact"/>
              <w:jc w:val="right"/>
              <w:rPr>
                <w:b w:val="0"/>
                <w:bCs w:val="0"/>
              </w:rPr>
            </w:pPr>
            <w:r w:rsidRPr="0057332F">
              <w:rPr>
                <w:b w:val="0"/>
                <w:bCs w:val="0"/>
              </w:rPr>
              <w:t>Missing (N)</w:t>
            </w:r>
          </w:p>
        </w:tc>
        <w:tc>
          <w:tcPr>
            <w:tcW w:w="0" w:type="auto"/>
          </w:tcPr>
          <w:p w:rsidR="008308D7" w:rsidRPr="0057332F" w:rsidRDefault="00BA6BD2">
            <w:pPr>
              <w:pStyle w:val="Compact"/>
              <w:jc w:val="center"/>
              <w:rPr>
                <w:b w:val="0"/>
                <w:bCs w:val="0"/>
              </w:rPr>
            </w:pPr>
            <w:r w:rsidRPr="0057332F">
              <w:rPr>
                <w:b w:val="0"/>
                <w:bCs w:val="0"/>
              </w:rPr>
              <w:t>Missing (%)</w:t>
            </w:r>
          </w:p>
        </w:tc>
        <w:tc>
          <w:tcPr>
            <w:tcW w:w="0" w:type="auto"/>
          </w:tcPr>
          <w:p w:rsidR="008308D7" w:rsidRPr="0057332F" w:rsidRDefault="00BA6BD2">
            <w:pPr>
              <w:pStyle w:val="Compact"/>
              <w:jc w:val="right"/>
              <w:rPr>
                <w:b w:val="0"/>
                <w:bCs w:val="0"/>
              </w:rPr>
            </w:pPr>
            <w:r w:rsidRPr="0057332F">
              <w:rPr>
                <w:b w:val="0"/>
                <w:bCs w:val="0"/>
              </w:rPr>
              <w:t>Missing (N)</w:t>
            </w:r>
          </w:p>
        </w:tc>
        <w:tc>
          <w:tcPr>
            <w:tcW w:w="0" w:type="auto"/>
          </w:tcPr>
          <w:p w:rsidR="008308D7" w:rsidRPr="0057332F" w:rsidRDefault="00BA6BD2">
            <w:pPr>
              <w:pStyle w:val="Compact"/>
              <w:jc w:val="center"/>
              <w:rPr>
                <w:b w:val="0"/>
                <w:bCs w:val="0"/>
              </w:rPr>
            </w:pPr>
            <w:r w:rsidRPr="0057332F">
              <w:rPr>
                <w:b w:val="0"/>
                <w:bCs w:val="0"/>
              </w:rPr>
              <w:t>Missing (%)</w:t>
            </w:r>
          </w:p>
        </w:tc>
      </w:tr>
      <w:tr w:rsidR="008308D7" w:rsidTr="0057332F">
        <w:tc>
          <w:tcPr>
            <w:tcW w:w="0" w:type="auto"/>
          </w:tcPr>
          <w:p w:rsidR="008308D7" w:rsidRDefault="00BA6BD2">
            <w:pPr>
              <w:pStyle w:val="Compact"/>
            </w:pPr>
            <w:r>
              <w:t>natquintile</w:t>
            </w:r>
          </w:p>
        </w:tc>
        <w:tc>
          <w:tcPr>
            <w:tcW w:w="0" w:type="auto"/>
          </w:tcPr>
          <w:p w:rsidR="008308D7" w:rsidRDefault="00BA6BD2">
            <w:pPr>
              <w:pStyle w:val="Compact"/>
              <w:jc w:val="right"/>
            </w:pPr>
            <w:r>
              <w:t>63175</w:t>
            </w:r>
          </w:p>
        </w:tc>
        <w:tc>
          <w:tcPr>
            <w:tcW w:w="0" w:type="auto"/>
          </w:tcPr>
          <w:p w:rsidR="008308D7" w:rsidRDefault="00BA6BD2">
            <w:pPr>
              <w:pStyle w:val="Compact"/>
              <w:jc w:val="center"/>
            </w:pPr>
            <w:r>
              <w:t>100.0</w:t>
            </w:r>
          </w:p>
        </w:tc>
        <w:tc>
          <w:tcPr>
            <w:tcW w:w="0" w:type="auto"/>
          </w:tcPr>
          <w:p w:rsidR="008308D7" w:rsidRDefault="00BA6BD2">
            <w:pPr>
              <w:pStyle w:val="Compact"/>
              <w:jc w:val="right"/>
            </w:pPr>
            <w:r>
              <w:t>8120</w:t>
            </w:r>
          </w:p>
        </w:tc>
        <w:tc>
          <w:tcPr>
            <w:tcW w:w="0" w:type="auto"/>
          </w:tcPr>
          <w:p w:rsidR="008308D7" w:rsidRDefault="00BA6BD2">
            <w:pPr>
              <w:pStyle w:val="Compact"/>
              <w:jc w:val="center"/>
            </w:pPr>
            <w:r>
              <w:t>15.7</w:t>
            </w:r>
          </w:p>
        </w:tc>
      </w:tr>
      <w:tr w:rsidR="008308D7" w:rsidTr="0057332F">
        <w:tc>
          <w:tcPr>
            <w:tcW w:w="0" w:type="auto"/>
          </w:tcPr>
          <w:p w:rsidR="008308D7" w:rsidRDefault="00BA6BD2">
            <w:pPr>
              <w:pStyle w:val="Compact"/>
            </w:pPr>
            <w:r>
              <w:t>bcgvaccyr</w:t>
            </w:r>
          </w:p>
        </w:tc>
        <w:tc>
          <w:tcPr>
            <w:tcW w:w="0" w:type="auto"/>
          </w:tcPr>
          <w:p w:rsidR="008308D7" w:rsidRDefault="00BA6BD2">
            <w:pPr>
              <w:pStyle w:val="Compact"/>
              <w:jc w:val="right"/>
            </w:pPr>
            <w:r>
              <w:t>62479</w:t>
            </w:r>
          </w:p>
        </w:tc>
        <w:tc>
          <w:tcPr>
            <w:tcW w:w="0" w:type="auto"/>
          </w:tcPr>
          <w:p w:rsidR="008308D7" w:rsidRDefault="00BA6BD2">
            <w:pPr>
              <w:pStyle w:val="Compact"/>
              <w:jc w:val="center"/>
            </w:pPr>
            <w:r>
              <w:t>98.9</w:t>
            </w:r>
          </w:p>
        </w:tc>
        <w:tc>
          <w:tcPr>
            <w:tcW w:w="0" w:type="auto"/>
          </w:tcPr>
          <w:p w:rsidR="008308D7" w:rsidRDefault="00BA6BD2">
            <w:pPr>
              <w:pStyle w:val="Compact"/>
              <w:jc w:val="right"/>
            </w:pPr>
            <w:r>
              <w:t>31421</w:t>
            </w:r>
          </w:p>
        </w:tc>
        <w:tc>
          <w:tcPr>
            <w:tcW w:w="0" w:type="auto"/>
          </w:tcPr>
          <w:p w:rsidR="008308D7" w:rsidRDefault="00BA6BD2">
            <w:pPr>
              <w:pStyle w:val="Compact"/>
              <w:jc w:val="center"/>
            </w:pPr>
            <w:r>
              <w:t>60.8</w:t>
            </w:r>
          </w:p>
        </w:tc>
      </w:tr>
      <w:tr w:rsidR="008308D7" w:rsidTr="0057332F">
        <w:tc>
          <w:tcPr>
            <w:tcW w:w="0" w:type="auto"/>
          </w:tcPr>
          <w:p w:rsidR="008308D7" w:rsidRDefault="00BA6BD2">
            <w:pPr>
              <w:pStyle w:val="Compact"/>
            </w:pPr>
            <w:r>
              <w:t>bcgvacc</w:t>
            </w:r>
          </w:p>
        </w:tc>
        <w:tc>
          <w:tcPr>
            <w:tcW w:w="0" w:type="auto"/>
          </w:tcPr>
          <w:p w:rsidR="008308D7" w:rsidRDefault="00BA6BD2">
            <w:pPr>
              <w:pStyle w:val="Compact"/>
              <w:jc w:val="right"/>
            </w:pPr>
            <w:r>
              <w:t>61916</w:t>
            </w:r>
          </w:p>
        </w:tc>
        <w:tc>
          <w:tcPr>
            <w:tcW w:w="0" w:type="auto"/>
          </w:tcPr>
          <w:p w:rsidR="008308D7" w:rsidRDefault="00BA6BD2">
            <w:pPr>
              <w:pStyle w:val="Compact"/>
              <w:jc w:val="center"/>
            </w:pPr>
            <w:r>
              <w:t>98.0</w:t>
            </w:r>
          </w:p>
        </w:tc>
        <w:tc>
          <w:tcPr>
            <w:tcW w:w="0" w:type="auto"/>
          </w:tcPr>
          <w:p w:rsidR="008308D7" w:rsidRDefault="00BA6BD2">
            <w:pPr>
              <w:pStyle w:val="Compact"/>
              <w:jc w:val="right"/>
            </w:pPr>
            <w:r>
              <w:t>17133</w:t>
            </w:r>
          </w:p>
        </w:tc>
        <w:tc>
          <w:tcPr>
            <w:tcW w:w="0" w:type="auto"/>
          </w:tcPr>
          <w:p w:rsidR="008308D7" w:rsidRDefault="00BA6BD2">
            <w:pPr>
              <w:pStyle w:val="Compact"/>
              <w:jc w:val="center"/>
            </w:pPr>
            <w:r>
              <w:t>33.2</w:t>
            </w:r>
          </w:p>
        </w:tc>
      </w:tr>
      <w:tr w:rsidR="008308D7" w:rsidTr="0057332F">
        <w:tc>
          <w:tcPr>
            <w:tcW w:w="0" w:type="auto"/>
          </w:tcPr>
          <w:p w:rsidR="008308D7" w:rsidRDefault="00BA6BD2">
            <w:pPr>
              <w:pStyle w:val="Compact"/>
            </w:pPr>
            <w:r>
              <w:t>datediag</w:t>
            </w:r>
          </w:p>
        </w:tc>
        <w:tc>
          <w:tcPr>
            <w:tcW w:w="0" w:type="auto"/>
          </w:tcPr>
          <w:p w:rsidR="008308D7" w:rsidRDefault="00BA6BD2">
            <w:pPr>
              <w:pStyle w:val="Compact"/>
              <w:jc w:val="right"/>
            </w:pPr>
            <w:r>
              <w:t>45557</w:t>
            </w:r>
          </w:p>
        </w:tc>
        <w:tc>
          <w:tcPr>
            <w:tcW w:w="0" w:type="auto"/>
          </w:tcPr>
          <w:p w:rsidR="008308D7" w:rsidRDefault="00BA6BD2">
            <w:pPr>
              <w:pStyle w:val="Compact"/>
              <w:jc w:val="center"/>
            </w:pPr>
            <w:r>
              <w:t>72.1</w:t>
            </w:r>
          </w:p>
        </w:tc>
        <w:tc>
          <w:tcPr>
            <w:tcW w:w="0" w:type="auto"/>
          </w:tcPr>
          <w:p w:rsidR="008308D7" w:rsidRDefault="00BA6BD2">
            <w:pPr>
              <w:pStyle w:val="Compact"/>
              <w:jc w:val="right"/>
            </w:pPr>
            <w:r>
              <w:t>10303</w:t>
            </w:r>
          </w:p>
        </w:tc>
        <w:tc>
          <w:tcPr>
            <w:tcW w:w="0" w:type="auto"/>
          </w:tcPr>
          <w:p w:rsidR="008308D7" w:rsidRDefault="00BA6BD2">
            <w:pPr>
              <w:pStyle w:val="Compact"/>
              <w:jc w:val="center"/>
            </w:pPr>
            <w:r>
              <w:t>19.9</w:t>
            </w:r>
          </w:p>
        </w:tc>
      </w:tr>
      <w:tr w:rsidR="008308D7" w:rsidTr="0057332F">
        <w:tc>
          <w:tcPr>
            <w:tcW w:w="0" w:type="auto"/>
          </w:tcPr>
          <w:p w:rsidR="008308D7" w:rsidRDefault="00BA6BD2">
            <w:pPr>
              <w:pStyle w:val="Compact"/>
            </w:pPr>
            <w:r>
              <w:t>sputsmear</w:t>
            </w:r>
          </w:p>
        </w:tc>
        <w:tc>
          <w:tcPr>
            <w:tcW w:w="0" w:type="auto"/>
          </w:tcPr>
          <w:p w:rsidR="008308D7" w:rsidRDefault="00BA6BD2">
            <w:pPr>
              <w:pStyle w:val="Compact"/>
              <w:jc w:val="right"/>
            </w:pPr>
            <w:r>
              <w:t>32912</w:t>
            </w:r>
          </w:p>
        </w:tc>
        <w:tc>
          <w:tcPr>
            <w:tcW w:w="0" w:type="auto"/>
          </w:tcPr>
          <w:p w:rsidR="008308D7" w:rsidRDefault="00BA6BD2">
            <w:pPr>
              <w:pStyle w:val="Compact"/>
              <w:jc w:val="center"/>
            </w:pPr>
            <w:r>
              <w:t>52.1</w:t>
            </w:r>
          </w:p>
        </w:tc>
        <w:tc>
          <w:tcPr>
            <w:tcW w:w="0" w:type="auto"/>
          </w:tcPr>
          <w:p w:rsidR="008308D7" w:rsidRDefault="00BA6BD2">
            <w:pPr>
              <w:pStyle w:val="Compact"/>
              <w:jc w:val="right"/>
            </w:pPr>
            <w:r>
              <w:t>32094</w:t>
            </w:r>
          </w:p>
        </w:tc>
        <w:tc>
          <w:tcPr>
            <w:tcW w:w="0" w:type="auto"/>
          </w:tcPr>
          <w:p w:rsidR="008308D7" w:rsidRDefault="00BA6BD2">
            <w:pPr>
              <w:pStyle w:val="Compact"/>
              <w:jc w:val="center"/>
            </w:pPr>
            <w:r>
              <w:t>62.1</w:t>
            </w:r>
          </w:p>
        </w:tc>
      </w:tr>
      <w:tr w:rsidR="008308D7" w:rsidTr="0057332F">
        <w:tc>
          <w:tcPr>
            <w:tcW w:w="0" w:type="auto"/>
          </w:tcPr>
          <w:p w:rsidR="008308D7" w:rsidRDefault="00BA6BD2">
            <w:pPr>
              <w:pStyle w:val="Compact"/>
            </w:pPr>
            <w:r>
              <w:t>timesinceent</w:t>
            </w:r>
          </w:p>
        </w:tc>
        <w:tc>
          <w:tcPr>
            <w:tcW w:w="0" w:type="auto"/>
          </w:tcPr>
          <w:p w:rsidR="008308D7" w:rsidRDefault="00BA6BD2">
            <w:pPr>
              <w:pStyle w:val="Compact"/>
              <w:jc w:val="right"/>
            </w:pPr>
            <w:r>
              <w:t>29084</w:t>
            </w:r>
          </w:p>
        </w:tc>
        <w:tc>
          <w:tcPr>
            <w:tcW w:w="0" w:type="auto"/>
          </w:tcPr>
          <w:p w:rsidR="008308D7" w:rsidRDefault="00BA6BD2">
            <w:pPr>
              <w:pStyle w:val="Compact"/>
              <w:jc w:val="center"/>
            </w:pPr>
            <w:r>
              <w:t>46.0</w:t>
            </w:r>
          </w:p>
        </w:tc>
        <w:tc>
          <w:tcPr>
            <w:tcW w:w="0" w:type="auto"/>
          </w:tcPr>
          <w:p w:rsidR="008308D7" w:rsidRDefault="00BA6BD2">
            <w:pPr>
              <w:pStyle w:val="Compact"/>
              <w:jc w:val="right"/>
            </w:pPr>
            <w:r>
              <w:t>18670</w:t>
            </w:r>
          </w:p>
        </w:tc>
        <w:tc>
          <w:tcPr>
            <w:tcW w:w="0" w:type="auto"/>
          </w:tcPr>
          <w:p w:rsidR="008308D7" w:rsidRDefault="00BA6BD2">
            <w:pPr>
              <w:pStyle w:val="Compact"/>
              <w:jc w:val="center"/>
            </w:pPr>
            <w:r>
              <w:t>36.2</w:t>
            </w:r>
          </w:p>
        </w:tc>
      </w:tr>
      <w:tr w:rsidR="008308D7" w:rsidTr="0057332F">
        <w:tc>
          <w:tcPr>
            <w:tcW w:w="0" w:type="auto"/>
          </w:tcPr>
          <w:p w:rsidR="008308D7" w:rsidRDefault="00BA6BD2">
            <w:pPr>
              <w:pStyle w:val="Compact"/>
            </w:pPr>
            <w:r>
              <w:t>anyres</w:t>
            </w:r>
          </w:p>
        </w:tc>
        <w:tc>
          <w:tcPr>
            <w:tcW w:w="0" w:type="auto"/>
          </w:tcPr>
          <w:p w:rsidR="008308D7" w:rsidRDefault="00BA6BD2">
            <w:pPr>
              <w:pStyle w:val="Compact"/>
              <w:jc w:val="right"/>
            </w:pPr>
            <w:r>
              <w:t>27485</w:t>
            </w:r>
          </w:p>
        </w:tc>
        <w:tc>
          <w:tcPr>
            <w:tcW w:w="0" w:type="auto"/>
          </w:tcPr>
          <w:p w:rsidR="008308D7" w:rsidRDefault="00BA6BD2">
            <w:pPr>
              <w:pStyle w:val="Compact"/>
              <w:jc w:val="center"/>
            </w:pPr>
            <w:r>
              <w:t>43.5</w:t>
            </w:r>
          </w:p>
        </w:tc>
        <w:tc>
          <w:tcPr>
            <w:tcW w:w="0" w:type="auto"/>
          </w:tcPr>
          <w:p w:rsidR="008308D7" w:rsidRDefault="00BA6BD2">
            <w:pPr>
              <w:pStyle w:val="Compact"/>
              <w:jc w:val="right"/>
            </w:pPr>
            <w:r>
              <w:t>20995</w:t>
            </w:r>
          </w:p>
        </w:tc>
        <w:tc>
          <w:tcPr>
            <w:tcW w:w="0" w:type="auto"/>
          </w:tcPr>
          <w:p w:rsidR="008308D7" w:rsidRDefault="00BA6BD2">
            <w:pPr>
              <w:pStyle w:val="Compact"/>
              <w:jc w:val="center"/>
            </w:pPr>
            <w:r>
              <w:t>40.7</w:t>
            </w:r>
          </w:p>
        </w:tc>
      </w:tr>
      <w:tr w:rsidR="008308D7" w:rsidTr="0057332F">
        <w:tc>
          <w:tcPr>
            <w:tcW w:w="0" w:type="auto"/>
          </w:tcPr>
          <w:p w:rsidR="008308D7" w:rsidRDefault="00BA6BD2">
            <w:pPr>
              <w:pStyle w:val="Compact"/>
            </w:pPr>
            <w:r>
              <w:t>occat</w:t>
            </w:r>
          </w:p>
        </w:tc>
        <w:tc>
          <w:tcPr>
            <w:tcW w:w="0" w:type="auto"/>
          </w:tcPr>
          <w:p w:rsidR="008308D7" w:rsidRDefault="00BA6BD2">
            <w:pPr>
              <w:pStyle w:val="Compact"/>
              <w:jc w:val="right"/>
            </w:pPr>
            <w:r>
              <w:t>24870</w:t>
            </w:r>
          </w:p>
        </w:tc>
        <w:tc>
          <w:tcPr>
            <w:tcW w:w="0" w:type="auto"/>
          </w:tcPr>
          <w:p w:rsidR="008308D7" w:rsidRDefault="00BA6BD2">
            <w:pPr>
              <w:pStyle w:val="Compact"/>
              <w:jc w:val="center"/>
            </w:pPr>
            <w:r>
              <w:t>39.4</w:t>
            </w:r>
          </w:p>
        </w:tc>
        <w:tc>
          <w:tcPr>
            <w:tcW w:w="0" w:type="auto"/>
          </w:tcPr>
          <w:p w:rsidR="008308D7" w:rsidRDefault="00BA6BD2">
            <w:pPr>
              <w:pStyle w:val="Compact"/>
              <w:jc w:val="right"/>
            </w:pPr>
            <w:r>
              <w:t>5513</w:t>
            </w:r>
          </w:p>
        </w:tc>
        <w:tc>
          <w:tcPr>
            <w:tcW w:w="0" w:type="auto"/>
          </w:tcPr>
          <w:p w:rsidR="008308D7" w:rsidRDefault="00BA6BD2">
            <w:pPr>
              <w:pStyle w:val="Compact"/>
              <w:jc w:val="center"/>
            </w:pPr>
            <w:r>
              <w:t>10.7</w:t>
            </w:r>
          </w:p>
        </w:tc>
      </w:tr>
      <w:tr w:rsidR="008308D7" w:rsidTr="0057332F">
        <w:tc>
          <w:tcPr>
            <w:tcW w:w="0" w:type="auto"/>
          </w:tcPr>
          <w:p w:rsidR="008308D7" w:rsidRDefault="00BA6BD2">
            <w:pPr>
              <w:pStyle w:val="Compact"/>
            </w:pPr>
            <w:r>
              <w:t>symptonset</w:t>
            </w:r>
          </w:p>
        </w:tc>
        <w:tc>
          <w:tcPr>
            <w:tcW w:w="0" w:type="auto"/>
          </w:tcPr>
          <w:p w:rsidR="008308D7" w:rsidRDefault="00BA6BD2">
            <w:pPr>
              <w:pStyle w:val="Compact"/>
              <w:jc w:val="right"/>
            </w:pPr>
            <w:r>
              <w:t>23937</w:t>
            </w:r>
          </w:p>
        </w:tc>
        <w:tc>
          <w:tcPr>
            <w:tcW w:w="0" w:type="auto"/>
          </w:tcPr>
          <w:p w:rsidR="008308D7" w:rsidRDefault="00BA6BD2">
            <w:pPr>
              <w:pStyle w:val="Compact"/>
              <w:jc w:val="center"/>
            </w:pPr>
            <w:r>
              <w:t>37.9</w:t>
            </w:r>
          </w:p>
        </w:tc>
        <w:tc>
          <w:tcPr>
            <w:tcW w:w="0" w:type="auto"/>
          </w:tcPr>
          <w:p w:rsidR="008308D7" w:rsidRDefault="00BA6BD2">
            <w:pPr>
              <w:pStyle w:val="Compact"/>
              <w:jc w:val="right"/>
            </w:pPr>
            <w:r>
              <w:t>12829</w:t>
            </w:r>
          </w:p>
        </w:tc>
        <w:tc>
          <w:tcPr>
            <w:tcW w:w="0" w:type="auto"/>
          </w:tcPr>
          <w:p w:rsidR="008308D7" w:rsidRDefault="00BA6BD2">
            <w:pPr>
              <w:pStyle w:val="Compact"/>
              <w:jc w:val="center"/>
            </w:pPr>
            <w:r>
              <w:t>24.8</w:t>
            </w:r>
          </w:p>
        </w:tc>
      </w:tr>
      <w:tr w:rsidR="008308D7" w:rsidTr="0057332F">
        <w:tc>
          <w:tcPr>
            <w:tcW w:w="0" w:type="auto"/>
          </w:tcPr>
          <w:p w:rsidR="008308D7" w:rsidRDefault="00BA6BD2">
            <w:pPr>
              <w:pStyle w:val="Compact"/>
            </w:pPr>
            <w:r>
              <w:t>txenddate</w:t>
            </w:r>
          </w:p>
        </w:tc>
        <w:tc>
          <w:tcPr>
            <w:tcW w:w="0" w:type="auto"/>
          </w:tcPr>
          <w:p w:rsidR="008308D7" w:rsidRDefault="00BA6BD2">
            <w:pPr>
              <w:pStyle w:val="Compact"/>
              <w:jc w:val="right"/>
            </w:pPr>
            <w:r>
              <w:t>18711</w:t>
            </w:r>
          </w:p>
        </w:tc>
        <w:tc>
          <w:tcPr>
            <w:tcW w:w="0" w:type="auto"/>
          </w:tcPr>
          <w:p w:rsidR="008308D7" w:rsidRDefault="00BA6BD2">
            <w:pPr>
              <w:pStyle w:val="Compact"/>
              <w:jc w:val="center"/>
            </w:pPr>
            <w:r>
              <w:t>29.6</w:t>
            </w:r>
          </w:p>
        </w:tc>
        <w:tc>
          <w:tcPr>
            <w:tcW w:w="0" w:type="auto"/>
          </w:tcPr>
          <w:p w:rsidR="008308D7" w:rsidRDefault="00BA6BD2">
            <w:pPr>
              <w:pStyle w:val="Compact"/>
              <w:jc w:val="right"/>
            </w:pPr>
            <w:r>
              <w:t>1137</w:t>
            </w:r>
          </w:p>
        </w:tc>
        <w:tc>
          <w:tcPr>
            <w:tcW w:w="0" w:type="auto"/>
          </w:tcPr>
          <w:p w:rsidR="008308D7" w:rsidRDefault="00BA6BD2">
            <w:pPr>
              <w:pStyle w:val="Compact"/>
              <w:jc w:val="center"/>
            </w:pPr>
            <w:r>
              <w:t>2.2</w:t>
            </w:r>
          </w:p>
        </w:tc>
      </w:tr>
      <w:tr w:rsidR="008308D7" w:rsidTr="0057332F">
        <w:tc>
          <w:tcPr>
            <w:tcW w:w="0" w:type="auto"/>
          </w:tcPr>
          <w:p w:rsidR="008308D7" w:rsidRDefault="00BA6BD2">
            <w:pPr>
              <w:pStyle w:val="Compact"/>
            </w:pPr>
            <w:r>
              <w:t>prevdiag</w:t>
            </w:r>
          </w:p>
        </w:tc>
        <w:tc>
          <w:tcPr>
            <w:tcW w:w="0" w:type="auto"/>
          </w:tcPr>
          <w:p w:rsidR="008308D7" w:rsidRDefault="00BA6BD2">
            <w:pPr>
              <w:pStyle w:val="Compact"/>
              <w:jc w:val="right"/>
            </w:pPr>
            <w:r>
              <w:t>13204</w:t>
            </w:r>
          </w:p>
        </w:tc>
        <w:tc>
          <w:tcPr>
            <w:tcW w:w="0" w:type="auto"/>
          </w:tcPr>
          <w:p w:rsidR="008308D7" w:rsidRDefault="00BA6BD2">
            <w:pPr>
              <w:pStyle w:val="Compact"/>
              <w:jc w:val="center"/>
            </w:pPr>
            <w:r>
              <w:t>20.9</w:t>
            </w:r>
          </w:p>
        </w:tc>
        <w:tc>
          <w:tcPr>
            <w:tcW w:w="0" w:type="auto"/>
          </w:tcPr>
          <w:p w:rsidR="008308D7" w:rsidRDefault="00BA6BD2">
            <w:pPr>
              <w:pStyle w:val="Compact"/>
              <w:jc w:val="right"/>
            </w:pPr>
            <w:r>
              <w:t>3148</w:t>
            </w:r>
          </w:p>
        </w:tc>
        <w:tc>
          <w:tcPr>
            <w:tcW w:w="0" w:type="auto"/>
          </w:tcPr>
          <w:p w:rsidR="008308D7" w:rsidRDefault="00BA6BD2">
            <w:pPr>
              <w:pStyle w:val="Compact"/>
              <w:jc w:val="center"/>
            </w:pPr>
            <w:r>
              <w:t>6.1</w:t>
            </w:r>
          </w:p>
        </w:tc>
      </w:tr>
      <w:tr w:rsidR="008308D7" w:rsidTr="0057332F">
        <w:tc>
          <w:tcPr>
            <w:tcW w:w="0" w:type="auto"/>
          </w:tcPr>
          <w:p w:rsidR="008308D7" w:rsidRDefault="00BA6BD2">
            <w:pPr>
              <w:pStyle w:val="Compact"/>
            </w:pPr>
            <w:r>
              <w:t>starttreatdate</w:t>
            </w:r>
          </w:p>
        </w:tc>
        <w:tc>
          <w:tcPr>
            <w:tcW w:w="0" w:type="auto"/>
          </w:tcPr>
          <w:p w:rsidR="008308D7" w:rsidRDefault="00BA6BD2">
            <w:pPr>
              <w:pStyle w:val="Compact"/>
              <w:jc w:val="right"/>
            </w:pPr>
            <w:r>
              <w:t>9151</w:t>
            </w:r>
          </w:p>
        </w:tc>
        <w:tc>
          <w:tcPr>
            <w:tcW w:w="0" w:type="auto"/>
          </w:tcPr>
          <w:p w:rsidR="008308D7" w:rsidRDefault="00BA6BD2">
            <w:pPr>
              <w:pStyle w:val="Compact"/>
              <w:jc w:val="center"/>
            </w:pPr>
            <w:r>
              <w:t>14.5</w:t>
            </w:r>
          </w:p>
        </w:tc>
        <w:tc>
          <w:tcPr>
            <w:tcW w:w="0" w:type="auto"/>
          </w:tcPr>
          <w:p w:rsidR="008308D7" w:rsidRDefault="00BA6BD2">
            <w:pPr>
              <w:pStyle w:val="Compact"/>
              <w:jc w:val="right"/>
            </w:pPr>
            <w:r>
              <w:t>2127</w:t>
            </w:r>
          </w:p>
        </w:tc>
        <w:tc>
          <w:tcPr>
            <w:tcW w:w="0" w:type="auto"/>
          </w:tcPr>
          <w:p w:rsidR="008308D7" w:rsidRDefault="00BA6BD2">
            <w:pPr>
              <w:pStyle w:val="Compact"/>
              <w:jc w:val="center"/>
            </w:pPr>
            <w:r>
              <w:t>4.1</w:t>
            </w:r>
          </w:p>
        </w:tc>
      </w:tr>
      <w:tr w:rsidR="008308D7" w:rsidTr="0057332F">
        <w:tc>
          <w:tcPr>
            <w:tcW w:w="0" w:type="auto"/>
          </w:tcPr>
          <w:p w:rsidR="008308D7" w:rsidRDefault="00BA6BD2">
            <w:pPr>
              <w:pStyle w:val="Compact"/>
            </w:pPr>
            <w:r>
              <w:t>tomdeathrelat</w:t>
            </w:r>
          </w:p>
        </w:tc>
        <w:tc>
          <w:tcPr>
            <w:tcW w:w="0" w:type="auto"/>
          </w:tcPr>
          <w:p w:rsidR="008308D7" w:rsidRDefault="00BA6BD2">
            <w:pPr>
              <w:pStyle w:val="Compact"/>
              <w:jc w:val="right"/>
            </w:pPr>
            <w:r>
              <w:t>7539</w:t>
            </w:r>
          </w:p>
        </w:tc>
        <w:tc>
          <w:tcPr>
            <w:tcW w:w="0" w:type="auto"/>
          </w:tcPr>
          <w:p w:rsidR="008308D7" w:rsidRDefault="00BA6BD2">
            <w:pPr>
              <w:pStyle w:val="Compact"/>
              <w:jc w:val="center"/>
            </w:pPr>
            <w:r>
              <w:t>11.9</w:t>
            </w:r>
          </w:p>
        </w:tc>
        <w:tc>
          <w:tcPr>
            <w:tcW w:w="0" w:type="auto"/>
          </w:tcPr>
          <w:p w:rsidR="008308D7" w:rsidRDefault="00BA6BD2">
            <w:pPr>
              <w:pStyle w:val="Compact"/>
              <w:jc w:val="right"/>
            </w:pPr>
            <w:r>
              <w:t>1191</w:t>
            </w:r>
          </w:p>
        </w:tc>
        <w:tc>
          <w:tcPr>
            <w:tcW w:w="0" w:type="auto"/>
          </w:tcPr>
          <w:p w:rsidR="008308D7" w:rsidRDefault="00BA6BD2">
            <w:pPr>
              <w:pStyle w:val="Compact"/>
              <w:jc w:val="center"/>
            </w:pPr>
            <w:r>
              <w:t>2.3</w:t>
            </w:r>
          </w:p>
        </w:tc>
      </w:tr>
      <w:tr w:rsidR="008308D7" w:rsidTr="0057332F">
        <w:tc>
          <w:tcPr>
            <w:tcW w:w="0" w:type="auto"/>
          </w:tcPr>
          <w:p w:rsidR="008308D7" w:rsidRDefault="00BA6BD2">
            <w:pPr>
              <w:pStyle w:val="Compact"/>
            </w:pPr>
            <w:r>
              <w:t>ukborn</w:t>
            </w:r>
          </w:p>
        </w:tc>
        <w:tc>
          <w:tcPr>
            <w:tcW w:w="0" w:type="auto"/>
          </w:tcPr>
          <w:p w:rsidR="008308D7" w:rsidRDefault="00BA6BD2">
            <w:pPr>
              <w:pStyle w:val="Compact"/>
              <w:jc w:val="right"/>
            </w:pPr>
            <w:r>
              <w:t>6230</w:t>
            </w:r>
          </w:p>
        </w:tc>
        <w:tc>
          <w:tcPr>
            <w:tcW w:w="0" w:type="auto"/>
          </w:tcPr>
          <w:p w:rsidR="008308D7" w:rsidRDefault="00BA6BD2">
            <w:pPr>
              <w:pStyle w:val="Compact"/>
              <w:jc w:val="center"/>
            </w:pPr>
            <w:r>
              <w:t>9.9</w:t>
            </w:r>
          </w:p>
        </w:tc>
        <w:tc>
          <w:tcPr>
            <w:tcW w:w="0" w:type="auto"/>
          </w:tcPr>
          <w:p w:rsidR="008308D7" w:rsidRDefault="00BA6BD2">
            <w:pPr>
              <w:pStyle w:val="Compact"/>
              <w:jc w:val="right"/>
            </w:pPr>
            <w:r>
              <w:t>1825</w:t>
            </w:r>
          </w:p>
        </w:tc>
        <w:tc>
          <w:tcPr>
            <w:tcW w:w="0" w:type="auto"/>
          </w:tcPr>
          <w:p w:rsidR="008308D7" w:rsidRDefault="00BA6BD2">
            <w:pPr>
              <w:pStyle w:val="Compact"/>
              <w:jc w:val="center"/>
            </w:pPr>
            <w:r>
              <w:t>3.5</w:t>
            </w:r>
          </w:p>
        </w:tc>
      </w:tr>
      <w:tr w:rsidR="008308D7" w:rsidTr="0057332F">
        <w:tc>
          <w:tcPr>
            <w:tcW w:w="0" w:type="auto"/>
          </w:tcPr>
          <w:p w:rsidR="008308D7" w:rsidRDefault="00BA6BD2">
            <w:pPr>
              <w:pStyle w:val="Compact"/>
            </w:pPr>
            <w:r>
              <w:t>overalloutcome</w:t>
            </w:r>
          </w:p>
        </w:tc>
        <w:tc>
          <w:tcPr>
            <w:tcW w:w="0" w:type="auto"/>
          </w:tcPr>
          <w:p w:rsidR="008308D7" w:rsidRDefault="00BA6BD2">
            <w:pPr>
              <w:pStyle w:val="Compact"/>
              <w:jc w:val="right"/>
            </w:pPr>
            <w:r>
              <w:t>6044</w:t>
            </w:r>
          </w:p>
        </w:tc>
        <w:tc>
          <w:tcPr>
            <w:tcW w:w="0" w:type="auto"/>
          </w:tcPr>
          <w:p w:rsidR="008308D7" w:rsidRDefault="00BA6BD2">
            <w:pPr>
              <w:pStyle w:val="Compact"/>
              <w:jc w:val="center"/>
            </w:pPr>
            <w:r>
              <w:t>9.6</w:t>
            </w:r>
          </w:p>
        </w:tc>
        <w:tc>
          <w:tcPr>
            <w:tcW w:w="0" w:type="auto"/>
          </w:tcPr>
          <w:p w:rsidR="008308D7" w:rsidRDefault="00BA6BD2">
            <w:pPr>
              <w:pStyle w:val="Compact"/>
              <w:jc w:val="right"/>
            </w:pPr>
            <w:r>
              <w:t>0</w:t>
            </w:r>
          </w:p>
        </w:tc>
        <w:tc>
          <w:tcPr>
            <w:tcW w:w="0" w:type="auto"/>
          </w:tcPr>
          <w:p w:rsidR="008308D7" w:rsidRDefault="00BA6BD2">
            <w:pPr>
              <w:pStyle w:val="Compact"/>
              <w:jc w:val="center"/>
            </w:pPr>
            <w:r>
              <w:t>0.0</w:t>
            </w:r>
          </w:p>
        </w:tc>
      </w:tr>
      <w:tr w:rsidR="008308D7" w:rsidTr="0057332F">
        <w:tc>
          <w:tcPr>
            <w:tcW w:w="0" w:type="auto"/>
          </w:tcPr>
          <w:p w:rsidR="008308D7" w:rsidRDefault="00BA6BD2">
            <w:pPr>
              <w:pStyle w:val="Compact"/>
            </w:pPr>
            <w:r>
              <w:t>startedtreat</w:t>
            </w:r>
          </w:p>
        </w:tc>
        <w:tc>
          <w:tcPr>
            <w:tcW w:w="0" w:type="auto"/>
          </w:tcPr>
          <w:p w:rsidR="008308D7" w:rsidRDefault="00BA6BD2">
            <w:pPr>
              <w:pStyle w:val="Compact"/>
              <w:jc w:val="right"/>
            </w:pPr>
            <w:r>
              <w:t>4242</w:t>
            </w:r>
          </w:p>
        </w:tc>
        <w:tc>
          <w:tcPr>
            <w:tcW w:w="0" w:type="auto"/>
          </w:tcPr>
          <w:p w:rsidR="008308D7" w:rsidRDefault="00BA6BD2">
            <w:pPr>
              <w:pStyle w:val="Compact"/>
              <w:jc w:val="center"/>
            </w:pPr>
            <w:r>
              <w:t>6.7</w:t>
            </w:r>
          </w:p>
        </w:tc>
        <w:tc>
          <w:tcPr>
            <w:tcW w:w="0" w:type="auto"/>
          </w:tcPr>
          <w:p w:rsidR="008308D7" w:rsidRDefault="00BA6BD2">
            <w:pPr>
              <w:pStyle w:val="Compact"/>
              <w:jc w:val="right"/>
            </w:pPr>
            <w:r>
              <w:t>602</w:t>
            </w:r>
          </w:p>
        </w:tc>
        <w:tc>
          <w:tcPr>
            <w:tcW w:w="0" w:type="auto"/>
          </w:tcPr>
          <w:p w:rsidR="008308D7" w:rsidRDefault="00BA6BD2">
            <w:pPr>
              <w:pStyle w:val="Compact"/>
              <w:jc w:val="center"/>
            </w:pPr>
            <w:r>
              <w:t>1.2</w:t>
            </w:r>
          </w:p>
        </w:tc>
      </w:tr>
      <w:tr w:rsidR="008308D7" w:rsidTr="0057332F">
        <w:tc>
          <w:tcPr>
            <w:tcW w:w="0" w:type="auto"/>
          </w:tcPr>
          <w:p w:rsidR="008308D7" w:rsidRDefault="00BA6BD2">
            <w:pPr>
              <w:pStyle w:val="Compact"/>
            </w:pPr>
            <w:r>
              <w:t>ethgrp</w:t>
            </w:r>
          </w:p>
        </w:tc>
        <w:tc>
          <w:tcPr>
            <w:tcW w:w="0" w:type="auto"/>
          </w:tcPr>
          <w:p w:rsidR="008308D7" w:rsidRDefault="00BA6BD2">
            <w:pPr>
              <w:pStyle w:val="Compact"/>
              <w:jc w:val="right"/>
            </w:pPr>
            <w:r>
              <w:t>2811</w:t>
            </w:r>
          </w:p>
        </w:tc>
        <w:tc>
          <w:tcPr>
            <w:tcW w:w="0" w:type="auto"/>
          </w:tcPr>
          <w:p w:rsidR="008308D7" w:rsidRDefault="00BA6BD2">
            <w:pPr>
              <w:pStyle w:val="Compact"/>
              <w:jc w:val="center"/>
            </w:pPr>
            <w:r>
              <w:t>4.4</w:t>
            </w:r>
          </w:p>
        </w:tc>
        <w:tc>
          <w:tcPr>
            <w:tcW w:w="0" w:type="auto"/>
          </w:tcPr>
          <w:p w:rsidR="008308D7" w:rsidRDefault="00BA6BD2">
            <w:pPr>
              <w:pStyle w:val="Compact"/>
              <w:jc w:val="right"/>
            </w:pPr>
            <w:r>
              <w:t>1229</w:t>
            </w:r>
          </w:p>
        </w:tc>
        <w:tc>
          <w:tcPr>
            <w:tcW w:w="0" w:type="auto"/>
          </w:tcPr>
          <w:p w:rsidR="008308D7" w:rsidRDefault="00BA6BD2">
            <w:pPr>
              <w:pStyle w:val="Compact"/>
              <w:jc w:val="center"/>
            </w:pPr>
            <w:r>
              <w:t>2.4</w:t>
            </w:r>
          </w:p>
        </w:tc>
      </w:tr>
      <w:tr w:rsidR="008308D7" w:rsidTr="0057332F">
        <w:tc>
          <w:tcPr>
            <w:tcW w:w="0" w:type="auto"/>
          </w:tcPr>
          <w:p w:rsidR="008308D7" w:rsidRDefault="00BA6BD2">
            <w:pPr>
              <w:pStyle w:val="Compact"/>
            </w:pPr>
            <w:r>
              <w:t>dateofdeath</w:t>
            </w:r>
          </w:p>
        </w:tc>
        <w:tc>
          <w:tcPr>
            <w:tcW w:w="0" w:type="auto"/>
          </w:tcPr>
          <w:p w:rsidR="008308D7" w:rsidRDefault="00BA6BD2">
            <w:pPr>
              <w:pStyle w:val="Compact"/>
              <w:jc w:val="right"/>
            </w:pPr>
            <w:r>
              <w:t>1235</w:t>
            </w:r>
          </w:p>
        </w:tc>
        <w:tc>
          <w:tcPr>
            <w:tcW w:w="0" w:type="auto"/>
          </w:tcPr>
          <w:p w:rsidR="008308D7" w:rsidRDefault="00BA6BD2">
            <w:pPr>
              <w:pStyle w:val="Compact"/>
              <w:jc w:val="center"/>
            </w:pPr>
            <w:r>
              <w:t>2.0</w:t>
            </w:r>
          </w:p>
        </w:tc>
        <w:tc>
          <w:tcPr>
            <w:tcW w:w="0" w:type="auto"/>
          </w:tcPr>
          <w:p w:rsidR="008308D7" w:rsidRDefault="00BA6BD2">
            <w:pPr>
              <w:pStyle w:val="Compact"/>
              <w:jc w:val="right"/>
            </w:pPr>
            <w:r>
              <w:t>357</w:t>
            </w:r>
          </w:p>
        </w:tc>
        <w:tc>
          <w:tcPr>
            <w:tcW w:w="0" w:type="auto"/>
          </w:tcPr>
          <w:p w:rsidR="008308D7" w:rsidRDefault="00BA6BD2">
            <w:pPr>
              <w:pStyle w:val="Compact"/>
              <w:jc w:val="center"/>
            </w:pPr>
            <w:r>
              <w:t>0.7</w:t>
            </w:r>
          </w:p>
        </w:tc>
      </w:tr>
      <w:tr w:rsidR="008308D7" w:rsidTr="0057332F">
        <w:tc>
          <w:tcPr>
            <w:tcW w:w="0" w:type="auto"/>
          </w:tcPr>
          <w:p w:rsidR="008308D7" w:rsidRDefault="00BA6BD2">
            <w:pPr>
              <w:pStyle w:val="Compact"/>
            </w:pPr>
            <w:r>
              <w:t>pulmextrapulm</w:t>
            </w:r>
          </w:p>
        </w:tc>
        <w:tc>
          <w:tcPr>
            <w:tcW w:w="0" w:type="auto"/>
          </w:tcPr>
          <w:p w:rsidR="008308D7" w:rsidRDefault="00BA6BD2">
            <w:pPr>
              <w:pStyle w:val="Compact"/>
              <w:jc w:val="right"/>
            </w:pPr>
            <w:r>
              <w:t>177</w:t>
            </w:r>
          </w:p>
        </w:tc>
        <w:tc>
          <w:tcPr>
            <w:tcW w:w="0" w:type="auto"/>
          </w:tcPr>
          <w:p w:rsidR="008308D7" w:rsidRDefault="00BA6BD2">
            <w:pPr>
              <w:pStyle w:val="Compact"/>
              <w:jc w:val="center"/>
            </w:pPr>
            <w:r>
              <w:t>0.3</w:t>
            </w:r>
          </w:p>
        </w:tc>
        <w:tc>
          <w:tcPr>
            <w:tcW w:w="0" w:type="auto"/>
          </w:tcPr>
          <w:p w:rsidR="008308D7" w:rsidRDefault="00BA6BD2">
            <w:pPr>
              <w:pStyle w:val="Compact"/>
              <w:jc w:val="right"/>
            </w:pPr>
            <w:r>
              <w:t>213</w:t>
            </w:r>
          </w:p>
        </w:tc>
        <w:tc>
          <w:tcPr>
            <w:tcW w:w="0" w:type="auto"/>
          </w:tcPr>
          <w:p w:rsidR="008308D7" w:rsidRDefault="00BA6BD2">
            <w:pPr>
              <w:pStyle w:val="Compact"/>
              <w:jc w:val="center"/>
            </w:pPr>
            <w:r>
              <w:t>0.4</w:t>
            </w:r>
          </w:p>
        </w:tc>
      </w:tr>
      <w:tr w:rsidR="008308D7" w:rsidTr="0057332F">
        <w:tc>
          <w:tcPr>
            <w:tcW w:w="0" w:type="auto"/>
          </w:tcPr>
          <w:p w:rsidR="008308D7" w:rsidRDefault="00BA6BD2">
            <w:pPr>
              <w:pStyle w:val="Compact"/>
            </w:pPr>
            <w:r>
              <w:t>sex</w:t>
            </w:r>
          </w:p>
        </w:tc>
        <w:tc>
          <w:tcPr>
            <w:tcW w:w="0" w:type="auto"/>
          </w:tcPr>
          <w:p w:rsidR="008308D7" w:rsidRDefault="00BA6BD2">
            <w:pPr>
              <w:pStyle w:val="Compact"/>
              <w:jc w:val="right"/>
            </w:pPr>
            <w:r>
              <w:t>101</w:t>
            </w:r>
          </w:p>
        </w:tc>
        <w:tc>
          <w:tcPr>
            <w:tcW w:w="0" w:type="auto"/>
          </w:tcPr>
          <w:p w:rsidR="008308D7" w:rsidRDefault="00BA6BD2">
            <w:pPr>
              <w:pStyle w:val="Compact"/>
              <w:jc w:val="center"/>
            </w:pPr>
            <w:r>
              <w:t>0.2</w:t>
            </w:r>
          </w:p>
        </w:tc>
        <w:tc>
          <w:tcPr>
            <w:tcW w:w="0" w:type="auto"/>
          </w:tcPr>
          <w:p w:rsidR="008308D7" w:rsidRDefault="00BA6BD2">
            <w:pPr>
              <w:pStyle w:val="Compact"/>
              <w:jc w:val="right"/>
            </w:pPr>
            <w:r>
              <w:t>110</w:t>
            </w:r>
          </w:p>
        </w:tc>
        <w:tc>
          <w:tcPr>
            <w:tcW w:w="0" w:type="auto"/>
          </w:tcPr>
          <w:p w:rsidR="008308D7" w:rsidRDefault="00BA6BD2">
            <w:pPr>
              <w:pStyle w:val="Compact"/>
              <w:jc w:val="center"/>
            </w:pPr>
            <w:r>
              <w:t>0.2</w:t>
            </w:r>
          </w:p>
        </w:tc>
      </w:tr>
      <w:tr w:rsidR="008308D7" w:rsidTr="0057332F">
        <w:tc>
          <w:tcPr>
            <w:tcW w:w="0" w:type="auto"/>
          </w:tcPr>
          <w:p w:rsidR="008308D7" w:rsidRDefault="00BA6BD2">
            <w:pPr>
              <w:pStyle w:val="Compact"/>
            </w:pPr>
            <w:r>
              <w:t>phec</w:t>
            </w:r>
          </w:p>
        </w:tc>
        <w:tc>
          <w:tcPr>
            <w:tcW w:w="0" w:type="auto"/>
          </w:tcPr>
          <w:p w:rsidR="008308D7" w:rsidRDefault="00BA6BD2">
            <w:pPr>
              <w:pStyle w:val="Compact"/>
              <w:jc w:val="right"/>
            </w:pPr>
            <w:r>
              <w:t>32</w:t>
            </w:r>
          </w:p>
        </w:tc>
        <w:tc>
          <w:tcPr>
            <w:tcW w:w="0" w:type="auto"/>
          </w:tcPr>
          <w:p w:rsidR="008308D7" w:rsidRDefault="00BA6BD2">
            <w:pPr>
              <w:pStyle w:val="Compact"/>
              <w:jc w:val="center"/>
            </w:pPr>
            <w:r>
              <w:t>0.1</w:t>
            </w:r>
          </w:p>
        </w:tc>
        <w:tc>
          <w:tcPr>
            <w:tcW w:w="0" w:type="auto"/>
          </w:tcPr>
          <w:p w:rsidR="008308D7" w:rsidRDefault="00BA6BD2">
            <w:pPr>
              <w:pStyle w:val="Compact"/>
              <w:jc w:val="right"/>
            </w:pPr>
            <w:r>
              <w:t>0</w:t>
            </w:r>
          </w:p>
        </w:tc>
        <w:tc>
          <w:tcPr>
            <w:tcW w:w="0" w:type="auto"/>
          </w:tcPr>
          <w:p w:rsidR="008308D7" w:rsidRDefault="00BA6BD2">
            <w:pPr>
              <w:pStyle w:val="Compact"/>
              <w:jc w:val="center"/>
            </w:pPr>
            <w:r>
              <w:t>0.0</w:t>
            </w:r>
          </w:p>
        </w:tc>
      </w:tr>
      <w:tr w:rsidR="008308D7" w:rsidTr="0057332F">
        <w:tc>
          <w:tcPr>
            <w:tcW w:w="0" w:type="auto"/>
          </w:tcPr>
          <w:p w:rsidR="008308D7" w:rsidRDefault="00BA6BD2">
            <w:pPr>
              <w:pStyle w:val="Compact"/>
            </w:pPr>
            <w:r>
              <w:t>age</w:t>
            </w:r>
          </w:p>
        </w:tc>
        <w:tc>
          <w:tcPr>
            <w:tcW w:w="0" w:type="auto"/>
          </w:tcPr>
          <w:p w:rsidR="008308D7" w:rsidRDefault="00BA6BD2">
            <w:pPr>
              <w:pStyle w:val="Compact"/>
              <w:jc w:val="right"/>
            </w:pPr>
            <w:r>
              <w:t>25</w:t>
            </w:r>
          </w:p>
        </w:tc>
        <w:tc>
          <w:tcPr>
            <w:tcW w:w="0" w:type="auto"/>
          </w:tcPr>
          <w:p w:rsidR="008308D7" w:rsidRDefault="00BA6BD2">
            <w:pPr>
              <w:pStyle w:val="Compact"/>
              <w:jc w:val="center"/>
            </w:pPr>
            <w:r>
              <w:t>0.0</w:t>
            </w:r>
          </w:p>
        </w:tc>
        <w:tc>
          <w:tcPr>
            <w:tcW w:w="0" w:type="auto"/>
          </w:tcPr>
          <w:p w:rsidR="008308D7" w:rsidRDefault="00BA6BD2">
            <w:pPr>
              <w:pStyle w:val="Compact"/>
              <w:jc w:val="right"/>
            </w:pPr>
            <w:r>
              <w:t>0</w:t>
            </w:r>
          </w:p>
        </w:tc>
        <w:tc>
          <w:tcPr>
            <w:tcW w:w="0" w:type="auto"/>
          </w:tcPr>
          <w:p w:rsidR="008308D7" w:rsidRDefault="00BA6BD2">
            <w:pPr>
              <w:pStyle w:val="Compact"/>
              <w:jc w:val="center"/>
            </w:pPr>
            <w:r>
              <w:t>0.0</w:t>
            </w:r>
          </w:p>
        </w:tc>
      </w:tr>
      <w:tr w:rsidR="008308D7" w:rsidTr="0057332F">
        <w:tc>
          <w:tcPr>
            <w:tcW w:w="0" w:type="auto"/>
          </w:tcPr>
          <w:p w:rsidR="008308D7" w:rsidRDefault="00BA6BD2">
            <w:pPr>
              <w:pStyle w:val="Compact"/>
            </w:pPr>
            <w:r>
              <w:t>caserepdate</w:t>
            </w:r>
          </w:p>
        </w:tc>
        <w:tc>
          <w:tcPr>
            <w:tcW w:w="0" w:type="auto"/>
          </w:tcPr>
          <w:p w:rsidR="008308D7" w:rsidRDefault="00BA6BD2">
            <w:pPr>
              <w:pStyle w:val="Compact"/>
              <w:jc w:val="right"/>
            </w:pPr>
            <w:r>
              <w:t>0</w:t>
            </w:r>
          </w:p>
        </w:tc>
        <w:tc>
          <w:tcPr>
            <w:tcW w:w="0" w:type="auto"/>
          </w:tcPr>
          <w:p w:rsidR="008308D7" w:rsidRDefault="00BA6BD2">
            <w:pPr>
              <w:pStyle w:val="Compact"/>
              <w:jc w:val="center"/>
            </w:pPr>
            <w:r>
              <w:t>0.0</w:t>
            </w:r>
          </w:p>
        </w:tc>
        <w:tc>
          <w:tcPr>
            <w:tcW w:w="0" w:type="auto"/>
          </w:tcPr>
          <w:p w:rsidR="008308D7" w:rsidRDefault="00BA6BD2">
            <w:pPr>
              <w:pStyle w:val="Compact"/>
              <w:jc w:val="right"/>
            </w:pPr>
            <w:r>
              <w:t>0</w:t>
            </w:r>
          </w:p>
        </w:tc>
        <w:tc>
          <w:tcPr>
            <w:tcW w:w="0" w:type="auto"/>
          </w:tcPr>
          <w:p w:rsidR="008308D7" w:rsidRDefault="00BA6BD2">
            <w:pPr>
              <w:pStyle w:val="Compact"/>
              <w:jc w:val="center"/>
            </w:pPr>
            <w:r>
              <w:t>0.0</w:t>
            </w:r>
          </w:p>
        </w:tc>
      </w:tr>
      <w:tr w:rsidR="008308D7" w:rsidTr="0057332F">
        <w:tc>
          <w:tcPr>
            <w:tcW w:w="0" w:type="auto"/>
          </w:tcPr>
          <w:p w:rsidR="008308D7" w:rsidRDefault="00BA6BD2">
            <w:pPr>
              <w:pStyle w:val="Compact"/>
            </w:pPr>
            <w:r>
              <w:t>year</w:t>
            </w:r>
          </w:p>
        </w:tc>
        <w:tc>
          <w:tcPr>
            <w:tcW w:w="0" w:type="auto"/>
          </w:tcPr>
          <w:p w:rsidR="008308D7" w:rsidRDefault="00BA6BD2">
            <w:pPr>
              <w:pStyle w:val="Compact"/>
              <w:jc w:val="right"/>
            </w:pPr>
            <w:r>
              <w:t>0</w:t>
            </w:r>
          </w:p>
        </w:tc>
        <w:tc>
          <w:tcPr>
            <w:tcW w:w="0" w:type="auto"/>
          </w:tcPr>
          <w:p w:rsidR="008308D7" w:rsidRDefault="00BA6BD2">
            <w:pPr>
              <w:pStyle w:val="Compact"/>
              <w:jc w:val="center"/>
            </w:pPr>
            <w:r>
              <w:t>0.0</w:t>
            </w:r>
          </w:p>
        </w:tc>
        <w:tc>
          <w:tcPr>
            <w:tcW w:w="0" w:type="auto"/>
          </w:tcPr>
          <w:p w:rsidR="008308D7" w:rsidRDefault="00BA6BD2">
            <w:pPr>
              <w:pStyle w:val="Compact"/>
              <w:jc w:val="right"/>
            </w:pPr>
            <w:r>
              <w:t>0</w:t>
            </w:r>
          </w:p>
        </w:tc>
        <w:tc>
          <w:tcPr>
            <w:tcW w:w="0" w:type="auto"/>
          </w:tcPr>
          <w:p w:rsidR="008308D7" w:rsidRDefault="00BA6BD2">
            <w:pPr>
              <w:pStyle w:val="Compact"/>
              <w:jc w:val="center"/>
            </w:pPr>
            <w:r>
              <w:t>0.0</w:t>
            </w:r>
          </w:p>
        </w:tc>
      </w:tr>
      <w:tr w:rsidR="008308D7" w:rsidTr="0057332F">
        <w:tc>
          <w:tcPr>
            <w:tcW w:w="0" w:type="auto"/>
          </w:tcPr>
          <w:p w:rsidR="008308D7" w:rsidRDefault="00BA6BD2">
            <w:pPr>
              <w:pStyle w:val="Compact"/>
            </w:pPr>
            <w:r>
              <w:t>culture</w:t>
            </w:r>
          </w:p>
        </w:tc>
        <w:tc>
          <w:tcPr>
            <w:tcW w:w="0" w:type="auto"/>
          </w:tcPr>
          <w:p w:rsidR="008308D7" w:rsidRDefault="00BA6BD2">
            <w:pPr>
              <w:pStyle w:val="Compact"/>
              <w:jc w:val="right"/>
            </w:pPr>
            <w:r>
              <w:t>0</w:t>
            </w:r>
          </w:p>
        </w:tc>
        <w:tc>
          <w:tcPr>
            <w:tcW w:w="0" w:type="auto"/>
          </w:tcPr>
          <w:p w:rsidR="008308D7" w:rsidRDefault="00BA6BD2">
            <w:pPr>
              <w:pStyle w:val="Compact"/>
              <w:jc w:val="center"/>
            </w:pPr>
            <w:r>
              <w:t>0.0</w:t>
            </w:r>
          </w:p>
        </w:tc>
        <w:tc>
          <w:tcPr>
            <w:tcW w:w="0" w:type="auto"/>
          </w:tcPr>
          <w:p w:rsidR="008308D7" w:rsidRDefault="00BA6BD2">
            <w:pPr>
              <w:pStyle w:val="Compact"/>
              <w:jc w:val="right"/>
            </w:pPr>
            <w:r>
              <w:t>0</w:t>
            </w:r>
          </w:p>
        </w:tc>
        <w:tc>
          <w:tcPr>
            <w:tcW w:w="0" w:type="auto"/>
          </w:tcPr>
          <w:p w:rsidR="008308D7" w:rsidRDefault="00BA6BD2">
            <w:pPr>
              <w:pStyle w:val="Compact"/>
              <w:jc w:val="center"/>
            </w:pPr>
            <w:r>
              <w:t>0.0</w:t>
            </w:r>
          </w:p>
        </w:tc>
      </w:tr>
    </w:tbl>
    <w:p w:rsidR="008308D7" w:rsidRDefault="008308D7" w:rsidP="0057332F">
      <w:pPr>
        <w:pStyle w:val="BodyText"/>
      </w:pPr>
      <w:bookmarkStart w:id="8" w:name="_GoBack"/>
      <w:bookmarkEnd w:id="8"/>
    </w:p>
    <w:sectPr w:rsidR="008308D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A6BD2" w:rsidRDefault="00BA6BD2">
      <w:pPr>
        <w:spacing w:after="0"/>
      </w:pPr>
      <w:r>
        <w:separator/>
      </w:r>
    </w:p>
  </w:endnote>
  <w:endnote w:type="continuationSeparator" w:id="0">
    <w:p w:rsidR="00BA6BD2" w:rsidRDefault="00BA6BD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swiss"/>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A6BD2" w:rsidRDefault="00BA6BD2">
      <w:r>
        <w:separator/>
      </w:r>
    </w:p>
  </w:footnote>
  <w:footnote w:type="continuationSeparator" w:id="0">
    <w:p w:rsidR="00BA6BD2" w:rsidRDefault="00BA6B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751653C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A454B4C"/>
    <w:multiLevelType w:val="multilevel"/>
    <w:tmpl w:val="AC140EF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2" w15:restartNumberingAfterBreak="0">
    <w:nsid w:val="FFFFFF1D"/>
    <w:multiLevelType w:val="multilevel"/>
    <w:tmpl w:val="2424C7C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3" w15:restartNumberingAfterBreak="0">
    <w:nsid w:val="FFFFFF7C"/>
    <w:multiLevelType w:val="singleLevel"/>
    <w:tmpl w:val="21CAC99A"/>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AE94D97E"/>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49C2253A"/>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8110EC18"/>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E9167E7A"/>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73E22AD2"/>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224646DE"/>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296A3394"/>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00C25114"/>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3E246934"/>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1AE401"/>
    <w:multiLevelType w:val="multilevel"/>
    <w:tmpl w:val="AD4A7CE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6DCE8A63"/>
    <w:multiLevelType w:val="multilevel"/>
    <w:tmpl w:val="5A20E79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5" w15:restartNumberingAfterBreak="0">
    <w:nsid w:val="71315DCA"/>
    <w:multiLevelType w:val="multilevel"/>
    <w:tmpl w:val="5596ECB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0"/>
  </w:num>
  <w:num w:numId="2">
    <w:abstractNumId w:val="14"/>
  </w:num>
  <w:num w:numId="3">
    <w:abstractNumId w:val="2"/>
  </w:num>
  <w:num w:numId="4">
    <w:abstractNumId w:val="3"/>
  </w:num>
  <w:num w:numId="5">
    <w:abstractNumId w:val="4"/>
  </w:num>
  <w:num w:numId="6">
    <w:abstractNumId w:val="5"/>
  </w:num>
  <w:num w:numId="7">
    <w:abstractNumId w:val="6"/>
  </w:num>
  <w:num w:numId="8">
    <w:abstractNumId w:val="11"/>
  </w:num>
  <w:num w:numId="9">
    <w:abstractNumId w:val="7"/>
  </w:num>
  <w:num w:numId="10">
    <w:abstractNumId w:val="8"/>
  </w:num>
  <w:num w:numId="11">
    <w:abstractNumId w:val="9"/>
  </w:num>
  <w:num w:numId="12">
    <w:abstractNumId w:val="10"/>
  </w:num>
  <w:num w:numId="13">
    <w:abstractNumId w:val="12"/>
  </w:num>
  <w:num w:numId="14">
    <w:abstractNumId w:val="13"/>
  </w:num>
  <w:num w:numId="15">
    <w:abstractNumId w:val="1"/>
  </w:num>
  <w:num w:numId="16">
    <w:abstractNumId w:val="1"/>
  </w:num>
  <w:num w:numId="17">
    <w:abstractNumId w:val="1"/>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7332F"/>
    <w:rsid w:val="00590D07"/>
    <w:rsid w:val="00784D58"/>
    <w:rsid w:val="008308D7"/>
    <w:rsid w:val="008D6863"/>
    <w:rsid w:val="00B86B75"/>
    <w:rsid w:val="00BA6BD2"/>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955A6B"/>
  <w15:docId w15:val="{DE5C4606-A13E-7440-8701-BFDB62ED5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FE604A"/>
    <w:pPr>
      <w:keepNext/>
      <w:keepLines/>
      <w:spacing w:before="480" w:after="0"/>
      <w:outlineLvl w:val="0"/>
    </w:pPr>
    <w:rPr>
      <w:rFonts w:asciiTheme="majorHAnsi" w:eastAsiaTheme="majorEastAsia" w:hAnsiTheme="majorHAnsi" w:cstheme="majorBidi"/>
      <w:b/>
      <w:bCs/>
      <w:color w:val="000000" w:themeColor="text1"/>
      <w:sz w:val="28"/>
      <w:szCs w:val="32"/>
    </w:rPr>
  </w:style>
  <w:style w:type="paragraph" w:styleId="Heading2">
    <w:name w:val="heading 2"/>
    <w:basedOn w:val="Normal"/>
    <w:next w:val="BodyText"/>
    <w:uiPriority w:val="9"/>
    <w:unhideWhenUsed/>
    <w:qFormat/>
    <w:rsid w:val="00FE604A"/>
    <w:pPr>
      <w:keepNext/>
      <w:keepLines/>
      <w:spacing w:before="200" w:after="0"/>
      <w:outlineLvl w:val="1"/>
    </w:pPr>
    <w:rPr>
      <w:rFonts w:asciiTheme="majorHAnsi" w:eastAsiaTheme="majorEastAsia" w:hAnsiTheme="majorHAnsi" w:cstheme="majorBidi"/>
      <w:b/>
      <w:bCs/>
      <w:color w:val="000000" w:themeColor="text1"/>
      <w:szCs w:val="32"/>
    </w:rPr>
  </w:style>
  <w:style w:type="paragraph" w:styleId="Heading3">
    <w:name w:val="heading 3"/>
    <w:basedOn w:val="Normal"/>
    <w:next w:val="BodyText"/>
    <w:uiPriority w:val="9"/>
    <w:unhideWhenUsed/>
    <w:qFormat/>
    <w:rsid w:val="00FE604A"/>
    <w:pPr>
      <w:keepNext/>
      <w:keepLines/>
      <w:spacing w:before="200" w:after="0"/>
      <w:outlineLvl w:val="2"/>
    </w:pPr>
    <w:rPr>
      <w:rFonts w:asciiTheme="majorHAnsi" w:eastAsiaTheme="majorEastAsia" w:hAnsiTheme="majorHAnsi" w:cstheme="majorBidi"/>
      <w:b/>
      <w:bCs/>
      <w:color w:val="000000" w:themeColor="text1"/>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FE604A"/>
    <w:pPr>
      <w:keepNext/>
      <w:keepLines/>
      <w:spacing w:before="480" w:after="240"/>
      <w:jc w:val="center"/>
    </w:pPr>
    <w:rPr>
      <w:rFonts w:asciiTheme="majorHAnsi" w:eastAsiaTheme="majorEastAsia" w:hAnsiTheme="majorHAnsi" w:cstheme="majorBidi"/>
      <w:b/>
      <w:bCs/>
      <w:color w:val="000000" w:themeColor="text1"/>
      <w:sz w:val="32"/>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PlaceholderText">
    <w:name w:val="Placeholder Text"/>
    <w:basedOn w:val="DefaultParagraphFont"/>
    <w:semiHidden/>
    <w:rsid w:val="00FE604A"/>
    <w:rPr>
      <w:color w:val="808080"/>
    </w:rPr>
  </w:style>
  <w:style w:type="character" w:customStyle="1" w:styleId="BodyTextChar">
    <w:name w:val="Body Text Char"/>
    <w:basedOn w:val="DefaultParagraphFont"/>
    <w:link w:val="BodyText"/>
    <w:rsid w:val="00FE604A"/>
  </w:style>
  <w:style w:type="table" w:styleId="PlainTable2">
    <w:name w:val="Plain Table 2"/>
    <w:basedOn w:val="TableNormal"/>
    <w:rsid w:val="0057332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5281/zenodo.3492200" TargetMode="External"/><Relationship Id="rId3" Type="http://schemas.openxmlformats.org/officeDocument/2006/relationships/settings" Target="settings.xml"/><Relationship Id="rId7" Type="http://schemas.openxmlformats.org/officeDocument/2006/relationships/hyperlink" Target="mailto:sam.abbott@bristol.ac.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688</Words>
  <Characters>3922</Characters>
  <Application>Microsoft Office Word</Application>
  <DocSecurity>0</DocSecurity>
  <Lines>32</Lines>
  <Paragraphs>9</Paragraphs>
  <ScaleCrop>false</ScaleCrop>
  <Company/>
  <LinksUpToDate>false</LinksUpToDate>
  <CharactersWithSpaces>4601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Evaluating the Mechanisms for Missing Data in the Enhanced Tuberculosis Surveillance System</dc:title>
  <dc:creator>Sam Abbott, Hannah Christensen, Ellen Brooks-Pollock</dc:creator>
  <cp:keywords/>
  <cp:lastModifiedBy>Samuel Abbott</cp:lastModifiedBy>
  <cp:revision>2</cp:revision>
  <dcterms:created xsi:type="dcterms:W3CDTF">2019-10-16T15:51:00Z</dcterms:created>
  <dcterms:modified xsi:type="dcterms:W3CDTF">2019-10-16T15:57:00Z</dcterms:modified>
</cp:coreProperties>
</file>