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ISO 17025 for Laser Power and Energy Measurement</w:t>
      </w:r>
    </w:p>
    <w:p>
      <w:r>
        <w:rPr>
          <w:b/>
        </w:rPr>
        <w:t>Coherent is accredited to ISO/IEC 17025:2005, the industry recognized standard that defines management and technical requirements for a calibration laboratory.</w:t>
      </w:r>
    </w:p>
    <w:p>
      <w:pPr>
        <w:pStyle w:val="Heading1"/>
      </w:pPr>
      <w:r>
        <w:t>Introduction</w:t>
      </w:r>
    </w:p>
    <w:p>
      <w:r>
        <w:t>ISO/IEC 17025 accreditation assures customers that laser manufacturers are producing calibrations to the highest standards. Updated specifications and enhanced calibration certificates provide additional clarity to uncertainty specifications, helping customers better understand the accuracy and repeatability that products can deliver.</w:t>
      </w:r>
    </w:p>
    <w:p>
      <w:r>
        <w:t>Most manufacturers of laser power and energy measurement instruments calibrate their product against third party reference standards, such as those from NIST. However, only with independent accreditation can end-users have strong confidence in their measurements.</w:t>
      </w:r>
    </w:p>
    <w:p>
      <w:r>
        <w:t>This document covers the calibration process, the requirements of ISO/IEC 17025, and the benefits of accreditation.</w:t>
      </w:r>
    </w:p>
    <w:p>
      <w:pPr>
        <w:pStyle w:val="Heading1"/>
      </w:pPr>
      <w:r>
        <w:t>The Calibration Process</w:t>
      </w:r>
    </w:p>
    <w:p>
      <w:r>
        <w:t>A laser power or energy sensor converts incident light into an electrical signal which is then processed by meter electronics into a reading in the desired units (e.g. Watts or Joules). Each component of a laser measurement system has its own manufacturing tolerances.</w:t>
      </w:r>
    </w:p>
    <w:p>
      <w:r>
        <w:t>Manufacturers minimize this unit-to-unit variation through a process of calibration. Specifically, calibration refers to an unbroken and traceable series of comparisons to a widely agreed upon reference standard that is typically maintained by a national laboratory or international standards body.</w:t>
      </w:r>
    </w:p>
    <w:p>
      <w:pPr>
        <w:pStyle w:val="Heading2"/>
      </w:pPr>
      <w:r>
        <w:t>Traceability of Sensors</w:t>
      </w:r>
    </w:p>
    <w:p>
      <w:r>
        <w:t>For optical laser power and energy measurements, the calibration process starts when an instrument builder sends a dedicated "golden" sensor to a standards organization. This sensor then becomes a "golden standard sensor" against which all other sensors can be measured.</w:t>
      </w:r>
    </w:p>
    <w:p>
      <w:r>
        <w:t>Once the "golden standard sensor" is returned to the manufacturer and other sensors are measured against it, accurate and traceable responsivity measurements can be put into place. Companies such as Coherent maintain a number of "working standards" within their organizations, each calibrated against the "golden standard."</w:t>
      </w:r>
    </w:p>
    <w:p>
      <w:pPr>
        <w:pStyle w:val="Heading2"/>
      </w:pPr>
      <w:r>
        <w:t>Product Specifications</w:t>
      </w:r>
    </w:p>
    <w:p>
      <w:r>
        <w:t>Our ISO 17025 accredited measurement systems include:</w:t>
      </w:r>
    </w:p>
    <w:p>
      <w:pPr>
        <w:pStyle w:val="ListBullet"/>
      </w:pPr>
      <w:r>
        <w:t>• FieldMaxII-TOP Meter (Model: FM-TOP, Part Number: 1234567)</w:t>
      </w:r>
    </w:p>
    <w:p>
      <w:pPr>
        <w:pStyle w:val="ListBullet"/>
      </w:pPr>
      <w:r>
        <w:t>• PowerMax-USB Sensors (Model: PM-USB-VIS, Part Number: 7654321)</w:t>
      </w:r>
    </w:p>
    <w:p>
      <w:pPr>
        <w:pStyle w:val="ListBullet"/>
      </w:pPr>
      <w:r>
        <w:t>• LaserStar Power Meters (Model: LS-2000, Part Number: 9876543)</w:t>
      </w:r>
    </w:p>
    <w:p>
      <w:pPr>
        <w:pStyle w:val="ListBullet"/>
      </w:pPr>
      <w:r>
        <w:t>• EnergyMax-J Sensors (Model: EM-J10SI, Part Number: 5555555)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Specification</w:t>
            </w:r>
          </w:p>
        </w:tc>
        <w:tc>
          <w:tcPr>
            <w:tcW w:type="dxa" w:w="2880"/>
          </w:tcPr>
          <w:p>
            <w:r>
              <w:t>Coverage Factor</w:t>
            </w:r>
          </w:p>
        </w:tc>
      </w:tr>
      <w:tr>
        <w:tc>
          <w:tcPr>
            <w:tcW w:type="dxa" w:w="2880"/>
          </w:tcPr>
          <w:p>
            <w:r>
              <w:t>Calibration Uncertainty</w:t>
            </w:r>
          </w:p>
        </w:tc>
        <w:tc>
          <w:tcPr>
            <w:tcW w:type="dxa" w:w="2880"/>
          </w:tcPr>
          <w:p>
            <w:r>
              <w:t>1% to 5%</w:t>
            </w:r>
          </w:p>
        </w:tc>
        <w:tc>
          <w:tcPr>
            <w:tcW w:type="dxa" w:w="2880"/>
          </w:tcPr>
          <w:p>
            <w:r>
              <w:t>k=2 (95% confidence)</w:t>
            </w:r>
          </w:p>
        </w:tc>
      </w:tr>
      <w:tr>
        <w:tc>
          <w:tcPr>
            <w:tcW w:type="dxa" w:w="2880"/>
          </w:tcPr>
          <w:p>
            <w:r>
              <w:t>Repeatability</w:t>
            </w:r>
          </w:p>
        </w:tc>
        <w:tc>
          <w:tcPr>
            <w:tcW w:type="dxa" w:w="2880"/>
          </w:tcPr>
          <w:p>
            <w:r>
              <w:t>&lt; 0.5%</w:t>
            </w:r>
          </w:p>
        </w:tc>
        <w:tc>
          <w:tcPr>
            <w:tcW w:type="dxa" w:w="2880"/>
          </w:tcPr>
          <w:p>
            <w:r>
              <w:t>k=1 (68% confidence)</w:t>
            </w:r>
          </w:p>
        </w:tc>
      </w:tr>
      <w:tr>
        <w:tc>
          <w:tcPr>
            <w:tcW w:type="dxa" w:w="2880"/>
          </w:tcPr>
          <w:p>
            <w:r>
              <w:t>Traceability</w:t>
            </w:r>
          </w:p>
        </w:tc>
        <w:tc>
          <w:tcPr>
            <w:tcW w:type="dxa" w:w="2880"/>
          </w:tcPr>
          <w:p>
            <w:r>
              <w:t>NIST Standards</w:t>
            </w:r>
          </w:p>
        </w:tc>
        <w:tc>
          <w:tcPr>
            <w:tcW w:type="dxa" w:w="2880"/>
          </w:tcPr>
          <w:p>
            <w:r>
              <w:t>Direct</w:t>
            </w:r>
          </w:p>
        </w:tc>
      </w:tr>
      <w:tr>
        <w:tc>
          <w:tcPr>
            <w:tcW w:type="dxa" w:w="2880"/>
          </w:tcPr>
          <w:p>
            <w:r>
              <w:t>Temperature Coefficient</w:t>
            </w:r>
          </w:p>
        </w:tc>
        <w:tc>
          <w:tcPr>
            <w:tcW w:type="dxa" w:w="2880"/>
          </w:tcPr>
          <w:p>
            <w:r>
              <w:t>&lt; 0.1%/°C</w:t>
            </w:r>
          </w:p>
        </w:tc>
        <w:tc>
          <w:tcPr>
            <w:tcW w:type="dxa" w:w="2880"/>
          </w:tcPr>
          <w:p>
            <w:r>
              <w:t>Typical</w:t>
            </w:r>
          </w:p>
        </w:tc>
      </w:tr>
      <w:tr>
        <w:tc>
          <w:tcPr>
            <w:tcW w:type="dxa" w:w="2880"/>
          </w:tcPr>
          <w:p>
            <w:r>
              <w:t>Long-term Stability</w:t>
            </w:r>
          </w:p>
        </w:tc>
        <w:tc>
          <w:tcPr>
            <w:tcW w:type="dxa" w:w="2880"/>
          </w:tcPr>
          <w:p>
            <w:r>
              <w:t>&lt; 1% per year</w:t>
            </w:r>
          </w:p>
        </w:tc>
        <w:tc>
          <w:tcPr>
            <w:tcW w:type="dxa" w:w="2880"/>
          </w:tcPr>
          <w:p>
            <w:r>
              <w:t>Guaranteed</w:t>
            </w:r>
          </w:p>
        </w:tc>
      </w:tr>
    </w:tbl>
    <w:p>
      <w:pPr>
        <w:pStyle w:val="Heading1"/>
      </w:pPr>
      <w:r>
        <w:t>ISO/IEC 17025 Fundamentals</w:t>
      </w:r>
    </w:p>
    <w:p>
      <w:r>
        <w:t>ISO 17025 accreditation requires adherence to guidelines for a variety of policies and processes, covering both metrology methods and management systems. It represents a substantially more exacting series of requirements than those necessary in the more general ISO 9001 standard.</w:t>
      </w:r>
    </w:p>
    <w:p>
      <w:pPr>
        <w:pStyle w:val="Heading2"/>
      </w:pPr>
      <w:r>
        <w:t>Management Requirements</w:t>
      </w:r>
    </w:p>
    <w:p>
      <w:r>
        <w:t>ISO/IEC 17025 accreditation certifies that a company has devoted resources to creating and sustaining management requirements including:</w:t>
      </w:r>
    </w:p>
    <w:p>
      <w:pPr>
        <w:pStyle w:val="ListBullet"/>
      </w:pPr>
      <w:r>
        <w:t>Management of testing facilities</w:t>
      </w:r>
    </w:p>
    <w:p>
      <w:pPr>
        <w:pStyle w:val="ListBullet"/>
      </w:pPr>
      <w:r>
        <w:t>Record keeping, data storage, and data handling</w:t>
      </w:r>
    </w:p>
    <w:p>
      <w:pPr>
        <w:pStyle w:val="ListBullet"/>
      </w:pPr>
      <w:r>
        <w:t>Handling customer complaints</w:t>
      </w:r>
    </w:p>
    <w:p>
      <w:pPr>
        <w:pStyle w:val="ListBullet"/>
      </w:pPr>
      <w:r>
        <w:t>Instituting corrective action when necessary</w:t>
      </w:r>
    </w:p>
    <w:p>
      <w:pPr>
        <w:pStyle w:val="ListBullet"/>
      </w:pPr>
      <w:r>
        <w:t>Performing audits and reviews</w:t>
      </w:r>
    </w:p>
    <w:p>
      <w:pPr>
        <w:pStyle w:val="Heading2"/>
      </w:pPr>
      <w:r>
        <w:t>Technical Requirements</w:t>
      </w:r>
    </w:p>
    <w:p>
      <w:r>
        <w:t>In terms of technical requirements, ISO/IEC 17025 ensures that a company:</w:t>
      </w:r>
    </w:p>
    <w:p>
      <w:pPr>
        <w:pStyle w:val="ListBullet"/>
      </w:pPr>
      <w:r>
        <w:t>Maintains technically competent calibration staff</w:t>
      </w:r>
    </w:p>
    <w:p>
      <w:pPr>
        <w:pStyle w:val="ListBullet"/>
      </w:pPr>
      <w:r>
        <w:t>Confirms validity and appropriateness of methods</w:t>
      </w:r>
    </w:p>
    <w:p>
      <w:pPr>
        <w:pStyle w:val="ListBullet"/>
      </w:pPr>
      <w:r>
        <w:t>Uses appropriate mathematical methods for calculating results</w:t>
      </w:r>
    </w:p>
    <w:p>
      <w:pPr>
        <w:pStyle w:val="ListBullet"/>
      </w:pPr>
      <w:r>
        <w:t>Has a traceable path of calibration to national standards</w:t>
      </w:r>
    </w:p>
    <w:p>
      <w:pPr>
        <w:pStyle w:val="ListBullet"/>
      </w:pPr>
      <w:r>
        <w:t>Produces compliant calibration certificates</w:t>
      </w:r>
    </w:p>
    <w:p>
      <w:pPr>
        <w:pStyle w:val="ListBullet"/>
      </w:pPr>
      <w:r>
        <w:t>Performs proficiency testing on a routine basis</w:t>
      </w:r>
    </w:p>
    <w:p>
      <w:pPr>
        <w:pStyle w:val="Heading1"/>
      </w:pPr>
      <w:r>
        <w:t>Understanding Calibration Uncertainty</w:t>
      </w:r>
    </w:p>
    <w:p>
      <w:r>
        <w:t>The primary parameter used to specify calibration capability is uncertainty. Calibration uncertainty defines how far away readings from a given instrument should be to the actual, true value of the parameter being measured.</w:t>
      </w:r>
    </w:p>
    <w:p>
      <w:r>
        <w:t>The calibration uncertainty for laser power and energy measurement instruments is commonly in the range of 1% to 5%. Coherent uncertainty specifications are based upon a confidence interval of 95%, equal to two standard deviations, otherwise known as a "k=2" coverage factor.</w:t>
      </w:r>
    </w:p>
    <w:p>
      <w:pPr>
        <w:pStyle w:val="Heading1"/>
      </w:pPr>
      <w:r>
        <w:t>Conclusion</w:t>
      </w:r>
    </w:p>
    <w:p>
      <w:r>
        <w:t>Coherent has engaged in a demanding and lengthy process to achieve full ISO 17025 accreditation. This accreditation establishes precisely how testing is performed, and provides assurance to customers that calibration processes are maintained to the highest standards.</w:t>
      </w:r>
    </w:p>
    <w:p>
      <w:r>
        <w:t>This accreditation is especially valuable to users in government regulated industries (such as medical, military, and aerospace) where system builders must document the traceability and performance accuracy of their own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