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3:</w:t>
      </w:r>
      <w:r>
        <w:t xml:space="preserve"> </w:t>
      </w:r>
      <w:r>
        <w:t xml:space="preserve">Physiology</w:t>
      </w:r>
    </w:p>
    <w:p>
      <w:pPr>
        <w:pStyle w:val="Author"/>
      </w:pPr>
      <w:r>
        <w:t xml:space="preserve">Colleen</w:t>
      </w:r>
      <w:r>
        <w:t xml:space="preserve"> </w:t>
      </w:r>
      <w:r>
        <w:t xml:space="preserve">Bove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results"/>
      <w:bookmarkEnd w:id="21"/>
      <w:r>
        <w:t xml:space="preserve">Results</w:t>
      </w:r>
    </w:p>
    <w:p>
      <w:pPr>
        <w:pStyle w:val="Heading4"/>
      </w:pPr>
      <w:bookmarkStart w:id="22" w:name="a-coral-host-and-algal-endosymbiont-physiology"/>
      <w:bookmarkEnd w:id="22"/>
      <w:r>
        <w:t xml:space="preserve">(A) Coral host and algal endosymbiont physiology</w:t>
      </w:r>
    </w:p>
    <w:p>
      <w:pPr>
        <w:pStyle w:val="BlockText"/>
      </w:pPr>
      <w:r>
        <w:t xml:space="preserve">Coral host total tissue energy reserves (mg cm</w:t>
      </w:r>
      <w:r>
        <w:rPr>
          <w:vertAlign w:val="superscript"/>
        </w:rPr>
        <w:t xml:space="preserve">-2</w:t>
      </w:r>
      <w:r>
        <w:t xml:space="preserve">) was calculated as the sum of each protein, lipid, and carbohydrate value per coral host. Total host energy reserves of</w:t>
      </w:r>
      <w:r>
        <w:t xml:space="preserve"> </w:t>
      </w:r>
      <w:r>
        <w:rPr>
          <w:i/>
        </w:rPr>
        <w:t xml:space="preserve">P. astreoides</w:t>
      </w:r>
      <w:r>
        <w:t xml:space="preserve"> </w:t>
      </w:r>
      <w:r>
        <w:t xml:space="preserve">at T0 were clearly greater than the total energy reserves quantified in coral hosts maintained under at control treatment at T90 (</w:t>
      </w:r>
      <w:r>
        <w:rPr>
          <w:b/>
        </w:rPr>
        <w:t xml:space="preserve">Figure 1A</w:t>
      </w:r>
      <w:r>
        <w:t xml:space="preserve">). There was no difference in total energy reserves between T0 and T90 control coral hosts in either</w:t>
      </w:r>
      <w:r>
        <w:t xml:space="preserve"> </w:t>
      </w:r>
      <w:r>
        <w:rPr>
          <w:i/>
        </w:rPr>
        <w:t xml:space="preserve">S. siderea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P. strigosa</w:t>
      </w:r>
      <w:r>
        <w:t xml:space="preserve">. Elevated temperature (31°C) resulted in a clear reduction in total coral host energy reserves in only</w:t>
      </w:r>
      <w:r>
        <w:t xml:space="preserve"> </w:t>
      </w:r>
      <w:r>
        <w:rPr>
          <w:i/>
        </w:rPr>
        <w:t xml:space="preserve">P. strigosa</w:t>
      </w:r>
      <w:r>
        <w:t xml:space="preserve"> </w:t>
      </w:r>
      <w:r>
        <w:t xml:space="preserve">across all pCO2 treatments (</w:t>
      </w:r>
      <w:r>
        <w:rPr>
          <w:b/>
        </w:rPr>
        <w:t xml:space="preserve">Figure 1A</w:t>
      </w:r>
      <w:r>
        <w:t xml:space="preserve">). No overall effect of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was quantified in any of the four species examined.</w:t>
      </w:r>
    </w:p>
    <w:p>
      <w:pPr>
        <w:pStyle w:val="BlockText"/>
      </w:pPr>
      <w:r>
        <w:t xml:space="preserve">Algal endosymbiont cell density (10</w:t>
      </w:r>
      <w:r>
        <w:rPr>
          <w:vertAlign w:val="superscript"/>
        </w:rPr>
        <w:t xml:space="preserve">6</w:t>
      </w:r>
      <w:r>
        <w:t xml:space="preserve"> </w:t>
      </w:r>
      <w:r>
        <w:t xml:space="preserve">cells cm</w:t>
      </w:r>
      <w:r>
        <w:rPr>
          <w:vertAlign w:val="superscript"/>
        </w:rPr>
        <w:t xml:space="preserve">-2</w:t>
      </w:r>
      <w:r>
        <w:t xml:space="preserve">) in</w:t>
      </w:r>
      <w:r>
        <w:t xml:space="preserve"> </w:t>
      </w:r>
      <w:r>
        <w:rPr>
          <w:i/>
        </w:rPr>
        <w:t xml:space="preserve">P. astreoides</w:t>
      </w:r>
      <w:r>
        <w:t xml:space="preserve"> </w:t>
      </w:r>
      <w:r>
        <w:t xml:space="preserve">T0 densities were clearly lower than those measured under all treatments at T90 (</w:t>
      </w:r>
      <w:r>
        <w:rPr>
          <w:b/>
        </w:rPr>
        <w:t xml:space="preserve">Figure 1B</w:t>
      </w:r>
      <w:r>
        <w:t xml:space="preserve">). Algal endosymbiont cell densities did not exhibit a statistically clear difference between T0 fragments and T90 fragments maintained at the control treatment in</w:t>
      </w:r>
      <w:r>
        <w:t xml:space="preserve"> </w:t>
      </w:r>
      <w:r>
        <w:rPr>
          <w:i/>
        </w:rPr>
        <w:t xml:space="preserve">S. siderea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P. strigosa</w:t>
      </w:r>
      <w:r>
        <w:t xml:space="preserve">. Neither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nor temperature exhibited a statistically clear overall effect on algal endosymbiont cell densities quantified at T90 in any of the three coral species (</w:t>
      </w:r>
      <w:r>
        <w:rPr>
          <w:b/>
        </w:rPr>
        <w:t xml:space="preserve">Figure 1B</w:t>
      </w:r>
      <w:r>
        <w:t xml:space="preserve">). Algal endosymbiont chlorophyll a content (ug cm</w:t>
      </w:r>
      <w:r>
        <w:rPr>
          <w:vertAlign w:val="superscript"/>
        </w:rPr>
        <w:t xml:space="preserve">-2</w:t>
      </w:r>
      <w:r>
        <w:t xml:space="preserve">) of</w:t>
      </w:r>
      <w:r>
        <w:t xml:space="preserve"> </w:t>
      </w:r>
      <w:r>
        <w:rPr>
          <w:i/>
        </w:rPr>
        <w:t xml:space="preserve">S. siderea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P. strigosa</w:t>
      </w:r>
      <w:r>
        <w:t xml:space="preserve"> </w:t>
      </w:r>
      <w:r>
        <w:t xml:space="preserve">at T0 was lower than the measured chlorophyll a in fragments maintained in the control treatment at T90 (</w:t>
      </w:r>
      <w:r>
        <w:rPr>
          <w:b/>
        </w:rPr>
        <w:t xml:space="preserve">Figure 1C</w:t>
      </w:r>
      <w:r>
        <w:t xml:space="preserve">). Conversely, chlorophyll a measured at T0 was not clearly different than in fragments reared in the control treatment at T90 for</w:t>
      </w:r>
      <w:r>
        <w:t xml:space="preserve"> </w:t>
      </w:r>
      <w:r>
        <w:rPr>
          <w:i/>
        </w:rPr>
        <w:t xml:space="preserve">P. astreoides</w:t>
      </w:r>
      <w:r>
        <w:t xml:space="preserve">. All species exhibited reduced algal endosymbiont chlorophyll a in the highest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treatment, while elevated temperature (31°C) only clearly reduces chlorophyll a in the algal endosymbionts associated with</w:t>
      </w:r>
      <w:r>
        <w:t xml:space="preserve"> </w:t>
      </w:r>
      <w:r>
        <w:rPr>
          <w:i/>
        </w:rPr>
        <w:t xml:space="preserve">P. strigosa</w:t>
      </w:r>
      <w:r>
        <w:t xml:space="preserve"> </w:t>
      </w:r>
      <w:r>
        <w:t xml:space="preserve">(</w:t>
      </w:r>
      <w:r>
        <w:rPr>
          <w:b/>
        </w:rPr>
        <w:t xml:space="preserve">Figure 1C</w:t>
      </w:r>
      <w:r>
        <w:t xml:space="preserve">).</w:t>
      </w:r>
    </w:p>
    <w:p>
      <w:pPr>
        <w:pStyle w:val="Heading4"/>
      </w:pPr>
      <w:bookmarkStart w:id="23" w:name="b-host-transcriptomic-responses"/>
      <w:bookmarkEnd w:id="23"/>
      <w:r>
        <w:t xml:space="preserve">(B) Host transcriptomic responses</w:t>
      </w:r>
    </w:p>
    <w:p>
      <w:pPr>
        <w:pStyle w:val="BlockText"/>
      </w:pPr>
      <w:r>
        <w:t xml:space="preserve">I will talk about HOST trends/findings about gene expression here.</w:t>
      </w:r>
    </w:p>
    <w:p>
      <w:pPr>
        <w:pStyle w:val="Heading4"/>
      </w:pPr>
      <w:bookmarkStart w:id="24" w:name="c-algal-endosymbiont-transcriptomic-responses"/>
      <w:bookmarkEnd w:id="24"/>
      <w:r>
        <w:t xml:space="preserve">(C) Algal endosymbiont transcriptomic responses</w:t>
      </w:r>
    </w:p>
    <w:p>
      <w:pPr>
        <w:pStyle w:val="BlockText"/>
      </w:pPr>
      <w:r>
        <w:t xml:space="preserve">I will talk about symbiont trends/findings about gene expression here.</w:t>
      </w:r>
    </w:p>
    <w:p>
      <w:pPr>
        <w:pStyle w:val="Heading4"/>
      </w:pPr>
      <w:bookmarkStart w:id="25" w:name="d-overall-physiological-response"/>
      <w:bookmarkEnd w:id="25"/>
      <w:r>
        <w:t xml:space="preserve">(D) Overall physiological response</w:t>
      </w:r>
    </w:p>
    <w:p>
      <w:pPr>
        <w:pStyle w:val="BlockText"/>
      </w:pPr>
      <w:r>
        <w:t xml:space="preserve">This will discuss overall responses and the WGCNA here.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3_results_word_files/figure-docx/figure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  <w:r>
        <w:rPr>
          <w:b/>
        </w:rPr>
        <w:t xml:space="preserve">Figure 1.</w:t>
      </w:r>
      <w:r>
        <w:t xml:space="preserve"> </w:t>
      </w:r>
      <w:r>
        <w:t xml:space="preserve">Modeled 95% confidence interval of (</w:t>
      </w:r>
      <w:r>
        <w:rPr>
          <w:b/>
        </w:rPr>
        <w:t xml:space="preserve">A</w:t>
      </w:r>
      <w:r>
        <w:t xml:space="preserve">) total host energy reserves (mg cm</w:t>
      </w:r>
      <w:r>
        <w:rPr>
          <w:vertAlign w:val="superscript"/>
        </w:rPr>
        <w:t xml:space="preserve">-2</w:t>
      </w:r>
      <w:r>
        <w:t xml:space="preserve">), (</w:t>
      </w:r>
      <w:r>
        <w:rPr>
          <w:b/>
        </w:rPr>
        <w:t xml:space="preserve">B</w:t>
      </w:r>
      <w:r>
        <w:t xml:space="preserve">) cell density (10</w:t>
      </w:r>
      <w:r>
        <w:rPr>
          <w:vertAlign w:val="superscript"/>
        </w:rPr>
        <w:t xml:space="preserve">6</w:t>
      </w:r>
      <w:r>
        <w:t xml:space="preserve"> </w:t>
      </w:r>
      <w:r>
        <w:t xml:space="preserve">cells cm</w:t>
      </w:r>
      <w:r>
        <w:rPr>
          <w:vertAlign w:val="superscript"/>
        </w:rPr>
        <w:t xml:space="preserve">-2</w:t>
      </w:r>
      <w:r>
        <w:t xml:space="preserve">), and (</w:t>
      </w:r>
      <w:r>
        <w:rPr>
          <w:b/>
        </w:rPr>
        <w:t xml:space="preserve">C</w:t>
      </w:r>
      <w:r>
        <w:t xml:space="preserve">) Chlorophyll a (ug cm</w:t>
      </w:r>
      <w:r>
        <w:rPr>
          <w:vertAlign w:val="superscript"/>
        </w:rPr>
        <w:t xml:space="preserve">-2</w:t>
      </w:r>
      <w:r>
        <w:t xml:space="preserve">) for</w:t>
      </w:r>
      <w:r>
        <w:t xml:space="preserve"> </w:t>
      </w:r>
      <w:r>
        <w:rPr>
          <w:i/>
        </w:rPr>
        <w:t xml:space="preserve">S. siderea</w:t>
      </w:r>
      <w:r>
        <w:t xml:space="preserve">,</w:t>
      </w:r>
      <w:r>
        <w:t xml:space="preserve"> </w:t>
      </w:r>
      <w:r>
        <w:rPr>
          <w:i/>
        </w:rPr>
        <w:t xml:space="preserve">P. strigosa</w:t>
      </w:r>
      <w:r>
        <w:t xml:space="preserve">, and</w:t>
      </w:r>
      <w:r>
        <w:t xml:space="preserve"> </w:t>
      </w:r>
      <w:r>
        <w:rPr>
          <w:i/>
        </w:rPr>
        <w:t xml:space="preserve">P. astreoides</w:t>
      </w:r>
      <w:r>
        <w:t xml:space="preserve"> </w:t>
      </w:r>
      <w:r>
        <w:t xml:space="preserve">at T0 (green) or T90 (red/blue), with individual coral fragment physiology denoted by points. Blue denotes 28°C and red denotes 31°C, with</w:t>
      </w:r>
      <w:r>
        <w:t xml:space="preserve"> </w:t>
      </w:r>
      <w:r>
        <w:rPr>
          <w:i/>
        </w:rPr>
        <w:t xml:space="preserve">p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treatment along the x axis.</w:t>
      </w:r>
    </w:p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3.5.2 (2018-12-20)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Mojave 10.14.6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/Library/Frameworks/R.framework/Versions/3.5/Resources/lib/libRblas.0.dylib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magick_2.2       lme4_1.1-21      Matrix_1.2-17    kableExtra_1.1.0</w:t>
      </w:r>
      <w:r>
        <w:br w:type="textWrapping"/>
      </w:r>
      <w:r>
        <w:rPr>
          <w:rStyle w:val="VerbatimChar"/>
        </w:rPr>
        <w:t xml:space="preserve">##  [5] ggfortify_0.4.7  cowplot_1.0.0    Rmisc_1.5        plyr_1.8.4      </w:t>
      </w:r>
      <w:r>
        <w:br w:type="textWrapping"/>
      </w:r>
      <w:r>
        <w:rPr>
          <w:rStyle w:val="VerbatimChar"/>
        </w:rPr>
        <w:t xml:space="preserve">##  [9] lattice_0.20-38  shiny_1.4.0      forcats_0.4.0    stringr_1.4.0   </w:t>
      </w:r>
      <w:r>
        <w:br w:type="textWrapping"/>
      </w:r>
      <w:r>
        <w:rPr>
          <w:rStyle w:val="VerbatimChar"/>
        </w:rPr>
        <w:t xml:space="preserve">## [13] purrr_0.3.3      tibble_2.1.3     tidyverse_1.2.1  plotly_4.9.0    </w:t>
      </w:r>
      <w:r>
        <w:br w:type="textWrapping"/>
      </w:r>
      <w:r>
        <w:rPr>
          <w:rStyle w:val="VerbatimChar"/>
        </w:rPr>
        <w:t xml:space="preserve">## [17] openxlsx_4.1.0.1 tidyr_1.0.0      dplyr_0.8.3      ggplot2_3.2.1   </w:t>
      </w:r>
      <w:r>
        <w:br w:type="textWrapping"/>
      </w:r>
      <w:r>
        <w:rPr>
          <w:rStyle w:val="VerbatimChar"/>
        </w:rPr>
        <w:t xml:space="preserve">## [21] readr_1.3.1      knitr_1.25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httr_1.4.1        jsonlite_1.6      viridisLite_0.3.0</w:t>
      </w:r>
      <w:r>
        <w:br w:type="textWrapping"/>
      </w:r>
      <w:r>
        <w:rPr>
          <w:rStyle w:val="VerbatimChar"/>
        </w:rPr>
        <w:t xml:space="preserve">##  [4] splines_3.5.2     modelr_0.1.5      assertthat_0.2.1 </w:t>
      </w:r>
      <w:r>
        <w:br w:type="textWrapping"/>
      </w:r>
      <w:r>
        <w:rPr>
          <w:rStyle w:val="VerbatimChar"/>
        </w:rPr>
        <w:t xml:space="preserve">##  [7] highr_0.8         cellranger_1.1.0  yaml_2.2.0       </w:t>
      </w:r>
      <w:r>
        <w:br w:type="textWrapping"/>
      </w:r>
      <w:r>
        <w:rPr>
          <w:rStyle w:val="VerbatimChar"/>
        </w:rPr>
        <w:t xml:space="preserve">## [10] pillar_1.4.2      backports_1.1.5   glue_1.3.1       </w:t>
      </w:r>
      <w:r>
        <w:br w:type="textWrapping"/>
      </w:r>
      <w:r>
        <w:rPr>
          <w:rStyle w:val="VerbatimChar"/>
        </w:rPr>
        <w:t xml:space="preserve">## [13] digest_0.6.22     promises_1.1.0    rvest_0.3.4      </w:t>
      </w:r>
      <w:r>
        <w:br w:type="textWrapping"/>
      </w:r>
      <w:r>
        <w:rPr>
          <w:rStyle w:val="VerbatimChar"/>
        </w:rPr>
        <w:t xml:space="preserve">## [16] minqa_1.2.4       colorspace_1.4-1  htmltools_0.4.0  </w:t>
      </w:r>
      <w:r>
        <w:br w:type="textWrapping"/>
      </w:r>
      <w:r>
        <w:rPr>
          <w:rStyle w:val="VerbatimChar"/>
        </w:rPr>
        <w:t xml:space="preserve">## [19] httpuv_1.5.2      pkgconfig_2.0.3   broom_0.5.2      </w:t>
      </w:r>
      <w:r>
        <w:br w:type="textWrapping"/>
      </w:r>
      <w:r>
        <w:rPr>
          <w:rStyle w:val="VerbatimChar"/>
        </w:rPr>
        <w:t xml:space="preserve">## [22] haven_2.1.1       xtable_1.8-4      scales_1.0.0     </w:t>
      </w:r>
      <w:r>
        <w:br w:type="textWrapping"/>
      </w:r>
      <w:r>
        <w:rPr>
          <w:rStyle w:val="VerbatimChar"/>
        </w:rPr>
        <w:t xml:space="preserve">## [25] webshot_0.5.1     later_1.0.0       generics_0.0.2   </w:t>
      </w:r>
      <w:r>
        <w:br w:type="textWrapping"/>
      </w:r>
      <w:r>
        <w:rPr>
          <w:rStyle w:val="VerbatimChar"/>
        </w:rPr>
        <w:t xml:space="preserve">## [28] ellipsis_0.3.0    withr_2.1.2       lazyeval_0.2.2   </w:t>
      </w:r>
      <w:r>
        <w:br w:type="textWrapping"/>
      </w:r>
      <w:r>
        <w:rPr>
          <w:rStyle w:val="VerbatimChar"/>
        </w:rPr>
        <w:t xml:space="preserve">## [31] cli_1.1.0         magrittr_1.5      crayon_1.3.4     </w:t>
      </w:r>
      <w:r>
        <w:br w:type="textWrapping"/>
      </w:r>
      <w:r>
        <w:rPr>
          <w:rStyle w:val="VerbatimChar"/>
        </w:rPr>
        <w:t xml:space="preserve">## [34] readxl_1.3.1      mime_0.7          evaluate_0.14    </w:t>
      </w:r>
      <w:r>
        <w:br w:type="textWrapping"/>
      </w:r>
      <w:r>
        <w:rPr>
          <w:rStyle w:val="VerbatimChar"/>
        </w:rPr>
        <w:t xml:space="preserve">## [37] nlme_3.1-141      MASS_7.3-51.4     xml2_1.2.2       </w:t>
      </w:r>
      <w:r>
        <w:br w:type="textWrapping"/>
      </w:r>
      <w:r>
        <w:rPr>
          <w:rStyle w:val="VerbatimChar"/>
        </w:rPr>
        <w:t xml:space="preserve">## [40] tools_3.5.2       data.table_1.12.6 hms_0.5.1        </w:t>
      </w:r>
      <w:r>
        <w:br w:type="textWrapping"/>
      </w:r>
      <w:r>
        <w:rPr>
          <w:rStyle w:val="VerbatimChar"/>
        </w:rPr>
        <w:t xml:space="preserve">## [43] lifecycle_0.1.0   munsell_0.5.0     zip_2.0.4        </w:t>
      </w:r>
      <w:r>
        <w:br w:type="textWrapping"/>
      </w:r>
      <w:r>
        <w:rPr>
          <w:rStyle w:val="VerbatimChar"/>
        </w:rPr>
        <w:t xml:space="preserve">## [46] compiler_3.5.2    rlang_0.4.1       grid_3.5.2       </w:t>
      </w:r>
      <w:r>
        <w:br w:type="textWrapping"/>
      </w:r>
      <w:r>
        <w:rPr>
          <w:rStyle w:val="VerbatimChar"/>
        </w:rPr>
        <w:t xml:space="preserve">## [49] nloptr_1.2.1      rstudioapi_0.10   htmlwidgets_1.5.1</w:t>
      </w:r>
      <w:r>
        <w:br w:type="textWrapping"/>
      </w:r>
      <w:r>
        <w:rPr>
          <w:rStyle w:val="VerbatimChar"/>
        </w:rPr>
        <w:t xml:space="preserve">## [52] labeling_0.3      rmarkdown_1.16    boot_1.3-23      </w:t>
      </w:r>
      <w:r>
        <w:br w:type="textWrapping"/>
      </w:r>
      <w:r>
        <w:rPr>
          <w:rStyle w:val="VerbatimChar"/>
        </w:rPr>
        <w:t xml:space="preserve">## [55] gtable_0.3.0      R6_2.4.0          gridExtra_2.3    </w:t>
      </w:r>
      <w:r>
        <w:br w:type="textWrapping"/>
      </w:r>
      <w:r>
        <w:rPr>
          <w:rStyle w:val="VerbatimChar"/>
        </w:rPr>
        <w:t xml:space="preserve">## [58] lubridate_1.7.4   fastmap_1.0.1     zeallot_0.1.0    </w:t>
      </w:r>
      <w:r>
        <w:br w:type="textWrapping"/>
      </w:r>
      <w:r>
        <w:rPr>
          <w:rStyle w:val="VerbatimChar"/>
        </w:rPr>
        <w:t xml:space="preserve">## [61] stringi_1.4.3     Rcpp_1.0.2        vctrs_0.2.0      </w:t>
      </w:r>
      <w:r>
        <w:br w:type="textWrapping"/>
      </w:r>
      <w:r>
        <w:rPr>
          <w:rStyle w:val="VerbatimChar"/>
        </w:rPr>
        <w:t xml:space="preserve">## [64] tidyselect_0.2.5  xfun_0.10</w:t>
      </w:r>
    </w:p>
    <w:sectPr w:rsidR="00F37F08" w:rsidRPr="008053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F8011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A505FCD"/>
    <w:multiLevelType w:val="multilevel"/>
    <w:tmpl w:val="C5000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0F002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F8FCA2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726FF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512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C5E8FC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B2E73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376D9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60E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4DEA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91CB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9194ac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0535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0535D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535D"/>
    <w:pPr>
      <w:spacing w:before="180" w:after="180"/>
    </w:pPr>
    <w:rPr>
      <w:rFonts w:ascii="Times New Roman" w:hAnsi="Times New Roman" w:cs="Times New Roman"/>
      <w:sz w:val="2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0535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53D37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53D37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0535D"/>
    <w:pPr>
      <w:spacing w:before="100" w:after="100"/>
    </w:pPr>
    <w:rPr>
      <w:rFonts w:eastAsiaTheme="majorEastAsia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0535D"/>
    <w:rPr>
      <w:rFonts w:ascii="Times New Roman" w:hAnsi="Times New Roman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3: Physiology</dc:title>
  <dc:creator>Colleen Bove</dc:creator>
  <dcterms:created xsi:type="dcterms:W3CDTF">2020-01-03T12:42:48Z</dcterms:created>
  <dcterms:modified xsi:type="dcterms:W3CDTF">2020-01-03T12:42:48Z</dcterms:modified>
</cp:coreProperties>
</file>