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3.png" ContentType="image/png"/>
  <Override PartName="/word/media/rId31.png" ContentType="image/png"/>
  <Override PartName="/word/media/rId28.png" ContentType="image/png"/>
  <Override PartName="/word/media/rId38.png" ContentType="image/png"/>
  <Override PartName="/word/media/rId39.png" ContentType="image/png"/>
  <Override PartName="/word/media/rId36.png" ContentType="image/png"/>
  <Override PartName="/word/media/rId3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3:</w:t>
      </w:r>
      <w:r>
        <w:t xml:space="preserve"> </w:t>
      </w:r>
      <w:r>
        <w:t xml:space="preserve">Physiology</w:t>
      </w:r>
    </w:p>
    <w:p>
      <w:pPr>
        <w:pStyle w:val="Author"/>
      </w:pPr>
      <w:r>
        <w:t xml:space="preserve">Colleen</w:t>
      </w:r>
      <w:r>
        <w:t xml:space="preserve"> </w:t>
      </w:r>
      <w:r>
        <w:t xml:space="preserve">Bove</w:t>
      </w:r>
    </w:p>
    <w:p>
      <w:pPr>
        <w:pStyle w:val="Date"/>
      </w:pPr>
      <w:r>
        <w:t xml:space="preserve">14</w:t>
      </w:r>
      <w:r>
        <w:t xml:space="preserve"> </w:t>
      </w:r>
      <w:r>
        <w:t xml:space="preserve">January</w:t>
      </w:r>
      <w:r>
        <w:t xml:space="preserve"> </w:t>
      </w:r>
      <w:r>
        <w:t xml:space="preserve">2020</w:t>
      </w:r>
    </w:p>
    <w:p>
      <w:pPr>
        <w:pStyle w:val="Heading1"/>
      </w:pPr>
      <w:bookmarkStart w:id="21" w:name="results"/>
      <w:bookmarkEnd w:id="21"/>
      <w:r>
        <w:t xml:space="preserve">Results</w:t>
      </w:r>
    </w:p>
    <w:p>
      <w:pPr>
        <w:pStyle w:val="Heading3"/>
      </w:pPr>
      <w:bookmarkStart w:id="22" w:name="a-coral-host-and-algal-endosymbiont-physiology"/>
      <w:bookmarkEnd w:id="22"/>
      <w:r>
        <w:t xml:space="preserve">(</w:t>
      </w:r>
      <w:r>
        <w:rPr>
          <w:b/>
        </w:rPr>
        <w:t xml:space="preserve">A</w:t>
      </w:r>
      <w:r>
        <w:t xml:space="preserve">) Coral host and algal endosymbiont physiology</w:t>
      </w:r>
    </w:p>
    <w:p>
      <w:pPr>
        <w:pStyle w:val="BlockText"/>
      </w:pPr>
      <w:r>
        <w:t xml:space="preserve">Coral host total tissue energy reserves (mg cm</w:t>
      </w:r>
      <w:r>
        <w:rPr>
          <w:vertAlign w:val="superscript"/>
        </w:rPr>
        <w:t xml:space="preserve">-2</w:t>
      </w:r>
      <w:r>
        <w:t xml:space="preserve">) was calculated as the sum of each protein, lipid, and carbohydrate value per coral host. Total host energy reserves of</w:t>
      </w:r>
      <w:r>
        <w:t xml:space="preserve"> </w:t>
      </w:r>
      <w:r>
        <w:rPr>
          <w:i/>
        </w:rPr>
        <w:t xml:space="preserve">P. astreoides</w:t>
      </w:r>
      <w:r>
        <w:t xml:space="preserve"> </w:t>
      </w:r>
      <w:r>
        <w:t xml:space="preserve">at T0 were clearly greater than the total energy reserves quantified in coral hosts maintained under at control treatment at T90 (</w:t>
      </w:r>
      <w:r>
        <w:rPr>
          <w:b/>
        </w:rPr>
        <w:t xml:space="preserve">Figure 1A</w:t>
      </w:r>
      <w:r>
        <w:t xml:space="preserve">). There was no difference in total energy reserves between T0 and T90 control coral hosts in either</w:t>
      </w:r>
      <w:r>
        <w:t xml:space="preserve"> </w:t>
      </w:r>
      <w:r>
        <w:rPr>
          <w:i/>
        </w:rPr>
        <w:t xml:space="preserve">S. siderea</w:t>
      </w:r>
      <w:r>
        <w:t xml:space="preserve"> </w:t>
      </w:r>
      <w:r>
        <w:t xml:space="preserve">or</w:t>
      </w:r>
      <w:r>
        <w:t xml:space="preserve"> </w:t>
      </w:r>
      <w:r>
        <w:rPr>
          <w:i/>
        </w:rPr>
        <w:t xml:space="preserve">P. strigosa</w:t>
      </w:r>
      <w:r>
        <w:t xml:space="preserve">. Elevated temperature (31°C) resulted in a clear reduction in total coral host energy reserves in only</w:t>
      </w:r>
      <w:r>
        <w:t xml:space="preserve"> </w:t>
      </w:r>
      <w:r>
        <w:rPr>
          <w:i/>
        </w:rPr>
        <w:t xml:space="preserve">P. strigosa</w:t>
      </w:r>
      <w:r>
        <w:t xml:space="preserve"> </w:t>
      </w:r>
      <w:r>
        <w:t xml:space="preserve">across all</w:t>
      </w:r>
      <w:r>
        <w:t xml:space="preserve"> </w:t>
      </w:r>
      <w:r>
        <w:rPr>
          <w:i/>
        </w:rPr>
        <w:t xml:space="preserve">p</w:t>
      </w:r>
      <w:r>
        <w:t xml:space="preserve">CO</w:t>
      </w:r>
      <w:r>
        <w:rPr>
          <w:vertAlign w:val="subscript"/>
        </w:rPr>
        <w:t xml:space="preserve">2</w:t>
      </w:r>
      <w:r>
        <w:t xml:space="preserve"> </w:t>
      </w:r>
      <w:r>
        <w:t xml:space="preserve">treatments (</w:t>
      </w:r>
      <w:r>
        <w:rPr>
          <w:b/>
        </w:rPr>
        <w:t xml:space="preserve">Figure 1A</w:t>
      </w:r>
      <w:r>
        <w:t xml:space="preserve">). No overall effect of</w:t>
      </w:r>
      <w:r>
        <w:t xml:space="preserve"> </w:t>
      </w:r>
      <w:r>
        <w:rPr>
          <w:i/>
        </w:rPr>
        <w:t xml:space="preserve">p</w:t>
      </w:r>
      <w:r>
        <w:t xml:space="preserve">CO</w:t>
      </w:r>
      <w:r>
        <w:rPr>
          <w:vertAlign w:val="subscript"/>
        </w:rPr>
        <w:t xml:space="preserve">2</w:t>
      </w:r>
      <w:r>
        <w:t xml:space="preserve"> </w:t>
      </w:r>
      <w:r>
        <w:t xml:space="preserve">was quantified in any of the four species examined.</w:t>
      </w:r>
    </w:p>
    <w:p>
      <w:pPr>
        <w:pStyle w:val="BlockText"/>
      </w:pPr>
      <w:r>
        <w:t xml:space="preserve">Algal endosymbiont cell density (10</w:t>
      </w:r>
      <w:r>
        <w:rPr>
          <w:vertAlign w:val="superscript"/>
        </w:rPr>
        <w:t xml:space="preserve">6</w:t>
      </w:r>
      <w:r>
        <w:t xml:space="preserve"> </w:t>
      </w:r>
      <w:r>
        <w:t xml:space="preserve">cells cm</w:t>
      </w:r>
      <w:r>
        <w:rPr>
          <w:vertAlign w:val="superscript"/>
        </w:rPr>
        <w:t xml:space="preserve">-2</w:t>
      </w:r>
      <w:r>
        <w:t xml:space="preserve">) in</w:t>
      </w:r>
      <w:r>
        <w:t xml:space="preserve"> </w:t>
      </w:r>
      <w:r>
        <w:rPr>
          <w:i/>
        </w:rPr>
        <w:t xml:space="preserve">P. astreoides</w:t>
      </w:r>
      <w:r>
        <w:t xml:space="preserve"> </w:t>
      </w:r>
      <w:r>
        <w:t xml:space="preserve">T0 densities were clearly lower than those measured under all treatments at T90 (</w:t>
      </w:r>
      <w:r>
        <w:rPr>
          <w:b/>
        </w:rPr>
        <w:t xml:space="preserve">Figure 1B</w:t>
      </w:r>
      <w:r>
        <w:t xml:space="preserve">). Algal endosymbiont cell densities did not exhibit a statistically clear difference between T0 fragments and T90 fragments maintained at the control treatment in</w:t>
      </w:r>
      <w:r>
        <w:t xml:space="preserve"> </w:t>
      </w:r>
      <w:r>
        <w:rPr>
          <w:i/>
        </w:rPr>
        <w:t xml:space="preserve">S. siderea</w:t>
      </w:r>
      <w:r>
        <w:t xml:space="preserve"> </w:t>
      </w:r>
      <w:r>
        <w:t xml:space="preserve">or</w:t>
      </w:r>
      <w:r>
        <w:t xml:space="preserve"> </w:t>
      </w:r>
      <w:r>
        <w:rPr>
          <w:i/>
        </w:rPr>
        <w:t xml:space="preserve">P. strigosa</w:t>
      </w:r>
      <w:r>
        <w:t xml:space="preserve">. Neither</w:t>
      </w:r>
      <w:r>
        <w:t xml:space="preserve"> </w:t>
      </w:r>
      <w:r>
        <w:rPr>
          <w:i/>
        </w:rPr>
        <w:t xml:space="preserve">p</w:t>
      </w:r>
      <w:r>
        <w:t xml:space="preserve">CO</w:t>
      </w:r>
      <w:r>
        <w:rPr>
          <w:vertAlign w:val="subscript"/>
        </w:rPr>
        <w:t xml:space="preserve">2</w:t>
      </w:r>
      <w:r>
        <w:t xml:space="preserve"> </w:t>
      </w:r>
      <w:r>
        <w:t xml:space="preserve">nor temperature exhibited a statistically clear overall effect on algal endosymbiont cell densities quantified at T90 in any of the three coral species (</w:t>
      </w:r>
      <w:r>
        <w:rPr>
          <w:b/>
        </w:rPr>
        <w:t xml:space="preserve">Figure 1B</w:t>
      </w:r>
      <w:r>
        <w:t xml:space="preserve">). Algal endosymbiont chlorophyll a content (ug cm</w:t>
      </w:r>
      <w:r>
        <w:rPr>
          <w:vertAlign w:val="superscript"/>
        </w:rPr>
        <w:t xml:space="preserve">-2</w:t>
      </w:r>
      <w:r>
        <w:t xml:space="preserve">) of</w:t>
      </w:r>
      <w:r>
        <w:t xml:space="preserve"> </w:t>
      </w:r>
      <w:r>
        <w:rPr>
          <w:i/>
        </w:rPr>
        <w:t xml:space="preserve">S. siderea</w:t>
      </w:r>
      <w:r>
        <w:t xml:space="preserve"> </w:t>
      </w:r>
      <w:r>
        <w:t xml:space="preserve">and</w:t>
      </w:r>
      <w:r>
        <w:t xml:space="preserve"> </w:t>
      </w:r>
      <w:r>
        <w:rPr>
          <w:i/>
        </w:rPr>
        <w:t xml:space="preserve">P. strigosa</w:t>
      </w:r>
      <w:r>
        <w:t xml:space="preserve"> </w:t>
      </w:r>
      <w:r>
        <w:t xml:space="preserve">at T0 was lower than the measured chlorophyll a in fragments maintained in the control treatment at T90 (</w:t>
      </w:r>
      <w:r>
        <w:rPr>
          <w:b/>
        </w:rPr>
        <w:t xml:space="preserve">Figure 1C</w:t>
      </w:r>
      <w:r>
        <w:t xml:space="preserve">). Conversely, chlorophyll a measured at T0 was not clearly different than in fragments reared in the control treatment at T90 for</w:t>
      </w:r>
      <w:r>
        <w:t xml:space="preserve"> </w:t>
      </w:r>
      <w:r>
        <w:rPr>
          <w:i/>
        </w:rPr>
        <w:t xml:space="preserve">P. astreoides</w:t>
      </w:r>
      <w:r>
        <w:t xml:space="preserve">. All species exhibited reduced algal endosymbiont chlorophyll a in the highest</w:t>
      </w:r>
      <w:r>
        <w:t xml:space="preserve"> </w:t>
      </w:r>
      <w:r>
        <w:rPr>
          <w:i/>
        </w:rPr>
        <w:t xml:space="preserve">p</w:t>
      </w:r>
      <w:r>
        <w:t xml:space="preserve">CO</w:t>
      </w:r>
      <w:r>
        <w:rPr>
          <w:vertAlign w:val="subscript"/>
        </w:rPr>
        <w:t xml:space="preserve">2</w:t>
      </w:r>
      <w:r>
        <w:t xml:space="preserve"> </w:t>
      </w:r>
      <w:r>
        <w:t xml:space="preserve">treatment, while elevated temperature (31°C) only clearly reduces chlorophyll a in the algal endosymbionts associated with</w:t>
      </w:r>
      <w:r>
        <w:t xml:space="preserve"> </w:t>
      </w:r>
      <w:r>
        <w:rPr>
          <w:i/>
        </w:rPr>
        <w:t xml:space="preserve">P. strigosa</w:t>
      </w:r>
      <w:r>
        <w:t xml:space="preserve"> </w:t>
      </w:r>
      <w:r>
        <w:t xml:space="preserve">(</w:t>
      </w:r>
      <w:r>
        <w:rPr>
          <w:b/>
        </w:rPr>
        <w:t xml:space="preserve">Figure 1C</w:t>
      </w:r>
      <w:r>
        <w:t xml:space="preserve">).</w:t>
      </w:r>
    </w:p>
    <w:p>
      <w:pPr>
        <w:pStyle w:val="Heading3"/>
      </w:pPr>
      <w:bookmarkStart w:id="23" w:name="b-principal-component-analysis-of-coral-holobiont-physiology"/>
      <w:bookmarkEnd w:id="23"/>
      <w:r>
        <w:t xml:space="preserve">(</w:t>
      </w:r>
      <w:r>
        <w:rPr>
          <w:b/>
        </w:rPr>
        <w:t xml:space="preserve">B</w:t>
      </w:r>
      <w:r>
        <w:t xml:space="preserve">) Principal component analysis of coral holobiont physiology</w:t>
      </w:r>
    </w:p>
    <w:p>
      <w:pPr>
        <w:pStyle w:val="BlockText"/>
      </w:pPr>
      <w:r>
        <w:t xml:space="preserve">Two principal components (PCs) explained approximately 69% of the variance in physiological responses of the</w:t>
      </w:r>
      <w:r>
        <w:t xml:space="preserve"> </w:t>
      </w:r>
      <w:r>
        <w:rPr>
          <w:i/>
        </w:rPr>
        <w:t xml:space="preserve">S. siderea</w:t>
      </w:r>
      <w:r>
        <w:t xml:space="preserve"> </w:t>
      </w:r>
      <w:r>
        <w:t xml:space="preserve">holobiont to ocean acidification and warming treatments (</w:t>
      </w:r>
      <w:r>
        <w:rPr>
          <w:b/>
        </w:rPr>
        <w:t xml:space="preserve">Figure 2A</w:t>
      </w:r>
      <w:r>
        <w:t xml:space="preserve">). Treatment</w:t>
      </w:r>
      <w:r>
        <w:t xml:space="preserve"> </w:t>
      </w:r>
      <w:r>
        <w:rPr>
          <w:i/>
        </w:rPr>
        <w:t xml:space="preserve">p</w:t>
      </w:r>
      <w:r>
        <w:t xml:space="preserve">CO</w:t>
      </w:r>
      <w:r>
        <w:rPr>
          <w:vertAlign w:val="subscript"/>
        </w:rPr>
        <w:t xml:space="preserve">2</w:t>
      </w:r>
      <w:r>
        <w:t xml:space="preserve"> </w:t>
      </w:r>
      <w:r>
        <w:t xml:space="preserve">predominantly drove physiological responses (</w:t>
      </w:r>
      <w:r>
        <w:rPr>
          <w:i/>
        </w:rPr>
        <w:t xml:space="preserve">P</w:t>
      </w:r>
      <w:r>
        <w:t xml:space="preserve"> </w:t>
      </w:r>
      <w:r>
        <w:t xml:space="preserve">= 0.026), while temperature and reef environment were not significant (</w:t>
      </w:r>
      <w:r>
        <w:rPr>
          <w:i/>
        </w:rPr>
        <w:t xml:space="preserve">P</w:t>
      </w:r>
      <w:r>
        <w:t xml:space="preserve"> </w:t>
      </w:r>
      <w:r>
        <w:t xml:space="preserve">&gt; 0.05). Samples with higher host energy reserves (lipid, protein, carbohydrate) seperated out from samples with higher calcification rates, while samples with greater endosymbiont physiology (chlorophyll a, cell density) were more similar to samples with higher calcification rates. Further, samples with greater endosymbiont physiology and calcification rates were more present in low</w:t>
      </w:r>
      <w:r>
        <w:t xml:space="preserve"> </w:t>
      </w:r>
      <w:r>
        <w:rPr>
          <w:i/>
        </w:rPr>
        <w:t xml:space="preserve">p</w:t>
      </w:r>
      <w:r>
        <w:t xml:space="preserve">CO</w:t>
      </w:r>
      <w:r>
        <w:rPr>
          <w:vertAlign w:val="subscript"/>
        </w:rPr>
        <w:t xml:space="preserve">2</w:t>
      </w:r>
      <w:r>
        <w:t xml:space="preserve"> </w:t>
      </w:r>
      <w:r>
        <w:t xml:space="preserve">treatments (</w:t>
      </w:r>
      <w:r>
        <w:rPr>
          <w:b/>
        </w:rPr>
        <w:t xml:space="preserve">Figure 2A</w:t>
      </w:r>
      <w:r>
        <w:t xml:space="preserve">). For</w:t>
      </w:r>
      <w:r>
        <w:t xml:space="preserve"> </w:t>
      </w:r>
      <w:r>
        <w:rPr>
          <w:i/>
        </w:rPr>
        <w:t xml:space="preserve">P. strigosa</w:t>
      </w:r>
      <w:r>
        <w:t xml:space="preserve">, 78% of the variance in the holobiont responses to treatments was explained by two PCs (</w:t>
      </w:r>
      <w:r>
        <w:rPr>
          <w:b/>
        </w:rPr>
        <w:t xml:space="preserve">Figure 2B</w:t>
      </w:r>
      <w:r>
        <w:t xml:space="preserve">). Both treatment temperature (</w:t>
      </w:r>
      <w:r>
        <w:rPr>
          <w:i/>
        </w:rPr>
        <w:t xml:space="preserve">P</w:t>
      </w:r>
      <w:r>
        <w:t xml:space="preserve"> </w:t>
      </w:r>
      <w:r>
        <w:t xml:space="preserve">= 0.013) and</w:t>
      </w:r>
      <w:r>
        <w:t xml:space="preserve"> </w:t>
      </w:r>
      <w:r>
        <w:rPr>
          <w:i/>
        </w:rPr>
        <w:t xml:space="preserve">p</w:t>
      </w:r>
      <w:r>
        <w:t xml:space="preserve">CO</w:t>
      </w:r>
      <w:r>
        <w:rPr>
          <w:vertAlign w:val="subscript"/>
        </w:rPr>
        <w:t xml:space="preserve">2</w:t>
      </w:r>
      <w:r>
        <w:t xml:space="preserve"> </w:t>
      </w:r>
      <w:r>
        <w:t xml:space="preserve">(</w:t>
      </w:r>
      <w:r>
        <w:rPr>
          <w:i/>
        </w:rPr>
        <w:t xml:space="preserve">P</w:t>
      </w:r>
      <w:r>
        <w:t xml:space="preserve"> </w:t>
      </w:r>
      <w:r>
        <w:t xml:space="preserve">= 0.013) drove coral holobiont phsyiology, however native reef environment again did not impact overall phsyiology (</w:t>
      </w:r>
      <w:r>
        <w:rPr>
          <w:i/>
        </w:rPr>
        <w:t xml:space="preserve">P</w:t>
      </w:r>
      <w:r>
        <w:t xml:space="preserve"> </w:t>
      </w:r>
      <w:r>
        <w:t xml:space="preserve">= 0.07). Samples within the elevated temperature treatment clusted closely together at the low end of all measured parameters, however, samples from each</w:t>
      </w:r>
      <w:r>
        <w:t xml:space="preserve"> </w:t>
      </w:r>
      <w:r>
        <w:rPr>
          <w:i/>
        </w:rPr>
        <w:t xml:space="preserve">p</w:t>
      </w:r>
      <w:r>
        <w:t xml:space="preserve">CO</w:t>
      </w:r>
      <w:r>
        <w:rPr>
          <w:vertAlign w:val="subscript"/>
        </w:rPr>
        <w:t xml:space="preserve">2</w:t>
      </w:r>
      <w:r>
        <w:t xml:space="preserve"> </w:t>
      </w:r>
      <w:r>
        <w:t xml:space="preserve">treatment were less clearly similar (</w:t>
      </w:r>
      <w:r>
        <w:rPr>
          <w:b/>
        </w:rPr>
        <w:t xml:space="preserve">Figure 2B</w:t>
      </w:r>
      <w:r>
        <w:t xml:space="preserve">). Finally, two PCs explained about 63% of the total variance of the</w:t>
      </w:r>
      <w:r>
        <w:t xml:space="preserve"> </w:t>
      </w:r>
      <w:r>
        <w:rPr>
          <w:i/>
        </w:rPr>
        <w:t xml:space="preserve">P. astreoides</w:t>
      </w:r>
      <w:r>
        <w:t xml:space="preserve"> </w:t>
      </w:r>
      <w:r>
        <w:t xml:space="preserve">holobiont response to treatment (</w:t>
      </w:r>
      <w:r>
        <w:rPr>
          <w:b/>
        </w:rPr>
        <w:t xml:space="preserve">Figure 2C</w:t>
      </w:r>
      <w:r>
        <w:t xml:space="preserve">). Again, temperature (</w:t>
      </w:r>
      <w:r>
        <w:rPr>
          <w:i/>
        </w:rPr>
        <w:t xml:space="preserve">P</w:t>
      </w:r>
      <w:r>
        <w:t xml:space="preserve"> </w:t>
      </w:r>
      <w:r>
        <w:t xml:space="preserve">= 0.039) and</w:t>
      </w:r>
      <w:r>
        <w:t xml:space="preserve"> </w:t>
      </w:r>
      <w:r>
        <w:rPr>
          <w:i/>
        </w:rPr>
        <w:t xml:space="preserve">p</w:t>
      </w:r>
      <w:r>
        <w:t xml:space="preserve">CO</w:t>
      </w:r>
      <w:r>
        <w:rPr>
          <w:vertAlign w:val="subscript"/>
        </w:rPr>
        <w:t xml:space="preserve">2</w:t>
      </w:r>
      <w:r>
        <w:t xml:space="preserve"> </w:t>
      </w:r>
      <w:r>
        <w:t xml:space="preserve">(</w:t>
      </w:r>
      <w:r>
        <w:rPr>
          <w:i/>
        </w:rPr>
        <w:t xml:space="preserve">P</w:t>
      </w:r>
      <w:r>
        <w:t xml:space="preserve"> </w:t>
      </w:r>
      <w:r>
        <w:t xml:space="preserve">= 0.011) drove separations in holobiont phsyioligy, while reef environment was nonsignificant (</w:t>
      </w:r>
      <w:r>
        <w:rPr>
          <w:i/>
        </w:rPr>
        <w:t xml:space="preserve">P</w:t>
      </w:r>
      <w:r>
        <w:t xml:space="preserve"> </w:t>
      </w:r>
      <w:r>
        <w:t xml:space="preserve">= 0.744). Coral holobiont samples separated most clearly along PC1 (43.6%) with overall higher physiology, while PC2 (19.8%) exhibited separation of samples with higher protein, carbohydrate, and calcification rates from those with higher endosymbiont physiology and lipid content (</w:t>
      </w:r>
      <w:r>
        <w:rPr>
          <w:b/>
        </w:rPr>
        <w:t xml:space="preserve">Figure 2C</w:t>
      </w:r>
      <w:r>
        <w:t xml:space="preserve">).</w:t>
      </w:r>
    </w:p>
    <w:p>
      <w:pPr>
        <w:pStyle w:val="Heading3"/>
      </w:pPr>
      <w:bookmarkStart w:id="24" w:name="c-host-transcriptomic-responses"/>
      <w:bookmarkEnd w:id="24"/>
      <w:r>
        <w:t xml:space="preserve">(</w:t>
      </w:r>
      <w:r>
        <w:rPr>
          <w:b/>
        </w:rPr>
        <w:t xml:space="preserve">C</w:t>
      </w:r>
      <w:r>
        <w:t xml:space="preserve">) Host transcriptomic responses</w:t>
      </w:r>
    </w:p>
    <w:p>
      <w:pPr>
        <w:pStyle w:val="BlockText"/>
      </w:pPr>
      <w:r>
        <w:t xml:space="preserve">I will talk about HOST trends/findings about gene expression here. (</w:t>
      </w:r>
      <w:r>
        <w:rPr>
          <w:b/>
        </w:rPr>
        <w:t xml:space="preserve">Figure 3</w:t>
      </w:r>
      <w:r>
        <w:t xml:space="preserve">)</w:t>
      </w:r>
    </w:p>
    <w:p>
      <w:pPr>
        <w:pStyle w:val="Heading3"/>
      </w:pPr>
      <w:bookmarkStart w:id="25" w:name="d-algal-endosymbiont-transcriptomic-responses"/>
      <w:bookmarkEnd w:id="25"/>
      <w:r>
        <w:t xml:space="preserve">(</w:t>
      </w:r>
      <w:r>
        <w:rPr>
          <w:b/>
        </w:rPr>
        <w:t xml:space="preserve">D</w:t>
      </w:r>
      <w:r>
        <w:t xml:space="preserve">) Algal endosymbiont transcriptomic responses</w:t>
      </w:r>
    </w:p>
    <w:p>
      <w:pPr>
        <w:pStyle w:val="BlockText"/>
      </w:pPr>
      <w:r>
        <w:t xml:space="preserve">I will talk about symbiont trends/findings about gene expression here. (</w:t>
      </w:r>
      <w:r>
        <w:rPr>
          <w:b/>
        </w:rPr>
        <w:t xml:space="preserve">Figure 4</w:t>
      </w:r>
      <w:r>
        <w:t xml:space="preserve">)</w:t>
      </w:r>
    </w:p>
    <w:p>
      <w:pPr>
        <w:pStyle w:val="Heading3"/>
      </w:pPr>
      <w:bookmarkStart w:id="26" w:name="e-overall-physiological-response"/>
      <w:bookmarkEnd w:id="26"/>
      <w:r>
        <w:t xml:space="preserve">(</w:t>
      </w:r>
      <w:r>
        <w:rPr>
          <w:b/>
        </w:rPr>
        <w:t xml:space="preserve">E</w:t>
      </w:r>
      <w:r>
        <w:t xml:space="preserve">) Overall physiological response</w:t>
      </w:r>
    </w:p>
    <w:p>
      <w:pPr>
        <w:pStyle w:val="BlockText"/>
      </w:pPr>
      <w:r>
        <w:t xml:space="preserve">This will discuss overall responses and the WGCNA here.</w:t>
      </w:r>
    </w:p>
    <w:p>
      <w:pPr>
        <w:pStyle w:val="Heading1"/>
      </w:pPr>
      <w:bookmarkStart w:id="27" w:name="figure-1-holobiont-physiology"/>
      <w:bookmarkEnd w:id="27"/>
      <w:r>
        <w:t xml:space="preserve">Figure 1: Holobiont physiology</w:t>
      </w:r>
    </w:p>
    <w:p>
      <w:pPr>
        <w:pStyle w:val="FirstParagraph"/>
      </w:pPr>
      <w:r>
        <w:drawing>
          <wp:inline>
            <wp:extent cx="5943600" cy="5943600"/>
            <wp:effectExtent b="0" l="0" r="0" t="0"/>
            <wp:docPr descr="" title="" id="1" name="Picture"/>
            <a:graphic>
              <a:graphicData uri="http://schemas.openxmlformats.org/drawingml/2006/picture">
                <pic:pic>
                  <pic:nvPicPr>
                    <pic:cNvPr descr="ch3_results_word_files/figure-docx/figure%203-1.png" id="0" name="Picture"/>
                    <pic:cNvPicPr>
                      <a:picLocks noChangeArrowheads="1" noChangeAspect="1"/>
                    </pic:cNvPicPr>
                  </pic:nvPicPr>
                  <pic:blipFill>
                    <a:blip r:embed="rId28"/>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t xml:space="preserve"> </w:t>
      </w:r>
      <w:r>
        <w:rPr>
          <w:b/>
        </w:rPr>
        <w:t xml:space="preserve">Figure 1.</w:t>
      </w:r>
      <w:r>
        <w:t xml:space="preserve"> </w:t>
      </w:r>
      <w:r>
        <w:t xml:space="preserve">Modeled 95% confidence interval of (</w:t>
      </w:r>
      <w:r>
        <w:rPr>
          <w:b/>
        </w:rPr>
        <w:t xml:space="preserve">A</w:t>
      </w:r>
      <w:r>
        <w:t xml:space="preserve">) total host energy reserves (mg cm</w:t>
      </w:r>
      <w:r>
        <w:rPr>
          <w:vertAlign w:val="superscript"/>
        </w:rPr>
        <w:t xml:space="preserve">-2</w:t>
      </w:r>
      <w:r>
        <w:t xml:space="preserve">), (</w:t>
      </w:r>
      <w:r>
        <w:rPr>
          <w:b/>
        </w:rPr>
        <w:t xml:space="preserve">B</w:t>
      </w:r>
      <w:r>
        <w:t xml:space="preserve">) cell density (10</w:t>
      </w:r>
      <w:r>
        <w:rPr>
          <w:vertAlign w:val="superscript"/>
        </w:rPr>
        <w:t xml:space="preserve">6</w:t>
      </w:r>
      <w:r>
        <w:t xml:space="preserve"> </w:t>
      </w:r>
      <w:r>
        <w:t xml:space="preserve">cells cm</w:t>
      </w:r>
      <w:r>
        <w:rPr>
          <w:vertAlign w:val="superscript"/>
        </w:rPr>
        <w:t xml:space="preserve">-2</w:t>
      </w:r>
      <w:r>
        <w:t xml:space="preserve">), and (</w:t>
      </w:r>
      <w:r>
        <w:rPr>
          <w:b/>
        </w:rPr>
        <w:t xml:space="preserve">C</w:t>
      </w:r>
      <w:r>
        <w:t xml:space="preserve">) Chlorophyll a (ug cm</w:t>
      </w:r>
      <w:r>
        <w:rPr>
          <w:vertAlign w:val="superscript"/>
        </w:rPr>
        <w:t xml:space="preserve">-2</w:t>
      </w:r>
      <w:r>
        <w:t xml:space="preserve">) for</w:t>
      </w:r>
      <w:r>
        <w:t xml:space="preserve"> </w:t>
      </w:r>
      <w:r>
        <w:rPr>
          <w:i/>
        </w:rPr>
        <w:t xml:space="preserve">S. siderea</w:t>
      </w:r>
      <w:r>
        <w:t xml:space="preserve">,</w:t>
      </w:r>
      <w:r>
        <w:t xml:space="preserve"> </w:t>
      </w:r>
      <w:r>
        <w:rPr>
          <w:i/>
        </w:rPr>
        <w:t xml:space="preserve">P. strigosa</w:t>
      </w:r>
      <w:r>
        <w:t xml:space="preserve">, and</w:t>
      </w:r>
      <w:r>
        <w:t xml:space="preserve"> </w:t>
      </w:r>
      <w:r>
        <w:rPr>
          <w:i/>
        </w:rPr>
        <w:t xml:space="preserve">P. astreoides</w:t>
      </w:r>
      <w:r>
        <w:t xml:space="preserve"> </w:t>
      </w:r>
      <w:r>
        <w:t xml:space="preserve">at T0 (green) or T90 (red/blue), with individual coral fragment physiology denoted by points. Blue denotes 28°C and red denotes 31°C, with</w:t>
      </w:r>
      <w:r>
        <w:t xml:space="preserve"> </w:t>
      </w:r>
      <w:r>
        <w:rPr>
          <w:i/>
        </w:rPr>
        <w:t xml:space="preserve">p</w:t>
      </w:r>
      <w:r>
        <w:t xml:space="preserve">CO</w:t>
      </w:r>
      <w:r>
        <w:rPr>
          <w:vertAlign w:val="subscript"/>
        </w:rPr>
        <w:t xml:space="preserve">2</w:t>
      </w:r>
      <w:r>
        <w:t xml:space="preserve"> </w:t>
      </w:r>
      <w:r>
        <w:t xml:space="preserve">treatment along the x axis.</w:t>
      </w:r>
    </w:p>
    <w:p>
      <w:pPr>
        <w:pStyle w:val="Heading1"/>
      </w:pPr>
      <w:bookmarkStart w:id="29" w:name="figure-2-holobiont-pcas"/>
      <w:bookmarkEnd w:id="29"/>
      <w:r>
        <w:t xml:space="preserve">Figure 2: Holobiont PCAs</w:t>
      </w:r>
    </w:p>
    <w:p>
      <w:pPr>
        <w:pStyle w:val="Heading4"/>
      </w:pPr>
      <w:bookmarkStart w:id="30" w:name="a-siderastrea-siderea"/>
      <w:bookmarkEnd w:id="30"/>
      <w:r>
        <w:rPr>
          <w:b/>
        </w:rPr>
        <w:t xml:space="preserve">A |</w:t>
      </w:r>
      <w:r>
        <w:t xml:space="preserve"> </w:t>
      </w:r>
      <w:r>
        <w:rPr>
          <w:i/>
        </w:rPr>
        <w:t xml:space="preserve">Siderastrea siderea</w:t>
      </w:r>
    </w:p>
    <w:p>
      <w:pPr>
        <w:pStyle w:val="FirstParagraph"/>
      </w:pPr>
      <w:r>
        <w:drawing>
          <wp:inline>
            <wp:extent cx="5943600" cy="2971800"/>
            <wp:effectExtent b="0" l="0" r="0" t="0"/>
            <wp:docPr descr="" title="" id="1" name="Picture"/>
            <a:graphic>
              <a:graphicData uri="http://schemas.openxmlformats.org/drawingml/2006/picture">
                <pic:pic>
                  <pic:nvPicPr>
                    <pic:cNvPr descr="ch3_results_word_files/figure-docx/SSID%20PCA-1.png" id="0" name="Picture"/>
                    <pic:cNvPicPr>
                      <a:picLocks noChangeArrowheads="1" noChangeAspect="1"/>
                    </pic:cNvPicPr>
                  </pic:nvPicPr>
                  <pic:blipFill>
                    <a:blip r:embed="rId31"/>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4"/>
      </w:pPr>
      <w:bookmarkStart w:id="32" w:name="b-pseudodiploria-strigosa"/>
      <w:bookmarkEnd w:id="32"/>
      <w:r>
        <w:rPr>
          <w:b/>
        </w:rPr>
        <w:t xml:space="preserve">B |</w:t>
      </w:r>
      <w:r>
        <w:t xml:space="preserve"> </w:t>
      </w:r>
      <w:r>
        <w:rPr>
          <w:i/>
        </w:rPr>
        <w:t xml:space="preserve">Pseudodiploria strigosa</w:t>
      </w:r>
    </w:p>
    <w:p>
      <w:pPr>
        <w:pStyle w:val="FirstParagraph"/>
      </w:pPr>
      <w:r>
        <w:drawing>
          <wp:inline>
            <wp:extent cx="5943600" cy="2971800"/>
            <wp:effectExtent b="0" l="0" r="0" t="0"/>
            <wp:docPr descr="" title="" id="1" name="Picture"/>
            <a:graphic>
              <a:graphicData uri="http://schemas.openxmlformats.org/drawingml/2006/picture">
                <pic:pic>
                  <pic:nvPicPr>
                    <pic:cNvPr descr="ch3_results_word_files/figure-docx/PSTR%20PCA-1.png" id="0" name="Picture"/>
                    <pic:cNvPicPr>
                      <a:picLocks noChangeArrowheads="1" noChangeAspect="1"/>
                    </pic:cNvPicPr>
                  </pic:nvPicPr>
                  <pic:blipFill>
                    <a:blip r:embed="rId33"/>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4"/>
      </w:pPr>
      <w:bookmarkStart w:id="34" w:name="c-porites-astreoides"/>
      <w:bookmarkEnd w:id="34"/>
      <w:r>
        <w:rPr>
          <w:b/>
        </w:rPr>
        <w:t xml:space="preserve">C |</w:t>
      </w:r>
      <w:r>
        <w:t xml:space="preserve"> </w:t>
      </w:r>
      <w:r>
        <w:rPr>
          <w:i/>
        </w:rPr>
        <w:t xml:space="preserve">Porites astreoides</w:t>
      </w:r>
    </w:p>
    <w:p>
      <w:pPr>
        <w:pStyle w:val="FirstParagraph"/>
      </w:pPr>
      <w:r>
        <w:drawing>
          <wp:inline>
            <wp:extent cx="5943600" cy="2971800"/>
            <wp:effectExtent b="0" l="0" r="0" t="0"/>
            <wp:docPr descr="" title="" id="1" name="Picture"/>
            <a:graphic>
              <a:graphicData uri="http://schemas.openxmlformats.org/drawingml/2006/picture">
                <pic:pic>
                  <pic:nvPicPr>
                    <pic:cNvPr descr="ch3_results_word_files/figure-docx/PAST%20PCA-1.png" id="0" name="Picture"/>
                    <pic:cNvPicPr>
                      <a:picLocks noChangeArrowheads="1" noChangeAspect="1"/>
                    </pic:cNvPicPr>
                  </pic:nvPicPr>
                  <pic:blipFill>
                    <a:blip r:embed="rId35"/>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drawing>
          <wp:inline>
            <wp:extent cx="5943600" cy="4754880"/>
            <wp:effectExtent b="0" l="0" r="0" t="0"/>
            <wp:docPr descr="" title="" id="1" name="Picture"/>
            <a:graphic>
              <a:graphicData uri="http://schemas.openxmlformats.org/drawingml/2006/picture">
                <pic:pic>
                  <pic:nvPicPr>
                    <pic:cNvPr descr="ch3_results_word_files/figure-docx/plots%20of%20SSID%20distances-1.png" id="0" name="Picture"/>
                    <pic:cNvPicPr>
                      <a:picLocks noChangeArrowheads="1" noChangeAspect="1"/>
                    </pic:cNvPicPr>
                  </pic:nvPicPr>
                  <pic:blipFill>
                    <a:blip r:embed="rId36"/>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ch3_results_word_files/figure-docx/plots%20of%20SSID%20distances-2.png" id="0" name="Picture"/>
                    <pic:cNvPicPr>
                      <a:picLocks noChangeArrowheads="1" noChangeAspect="1"/>
                    </pic:cNvPicPr>
                  </pic:nvPicPr>
                  <pic:blipFill>
                    <a:blip r:embed="rId37"/>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VerbatimChar"/>
        </w:rPr>
        <w:t xml:space="preserve">##             Df Sum Sq Mean Sq F value   Pr(&gt;F)    </w:t>
      </w:r>
      <w:r>
        <w:br w:type="textWrapping"/>
      </w:r>
      <w:r>
        <w:rPr>
          <w:rStyle w:val="VerbatimChar"/>
        </w:rPr>
        <w:t xml:space="preserve">## treat2       7  79.93  11.418   7.989 3.19e-07 ***</w:t>
      </w:r>
      <w:r>
        <w:br w:type="textWrapping"/>
      </w:r>
      <w:r>
        <w:rPr>
          <w:rStyle w:val="VerbatimChar"/>
        </w:rPr>
        <w:t xml:space="preserve">## reef         1  15.31  15.305  10.709  0.00161 ** </w:t>
      </w:r>
      <w:r>
        <w:br w:type="textWrapping"/>
      </w:r>
      <w:r>
        <w:rPr>
          <w:rStyle w:val="VerbatimChar"/>
        </w:rPr>
        <w:t xml:space="preserve">## treat2:reef  7  18.64   2.662   1.863  0.08777 .  </w:t>
      </w:r>
      <w:r>
        <w:br w:type="textWrapping"/>
      </w:r>
      <w:r>
        <w:rPr>
          <w:rStyle w:val="VerbatimChar"/>
        </w:rPr>
        <w:t xml:space="preserve">## Residuals   75 107.19   1.429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diff       lwr        upr      p adj</w:t>
      </w:r>
      <w:r>
        <w:br w:type="textWrapping"/>
      </w:r>
      <w:r>
        <w:rPr>
          <w:rStyle w:val="VerbatimChar"/>
        </w:rPr>
        <w:t xml:space="preserve">## N-F -0.8118561 -1.311446 -0.3122663 0.00179815</w:t>
      </w:r>
    </w:p>
    <w:p>
      <w:pPr>
        <w:pStyle w:val="SourceCode"/>
      </w:pPr>
      <w:r>
        <w:rPr>
          <w:rStyle w:val="VerbatimChar"/>
        </w:rPr>
        <w:t xml:space="preserve">##                         diff        lwr        upr        p adj</w:t>
      </w:r>
      <w:r>
        <w:br w:type="textWrapping"/>
      </w:r>
      <w:r>
        <w:rPr>
          <w:rStyle w:val="VerbatimChar"/>
        </w:rPr>
        <w:t xml:space="preserve">## 311_31-288_28   -0.509911451 -2.2420587  1.2222358 9.834085e-01</w:t>
      </w:r>
      <w:r>
        <w:br w:type="textWrapping"/>
      </w:r>
      <w:r>
        <w:rPr>
          <w:rStyle w:val="VerbatimChar"/>
        </w:rPr>
        <w:t xml:space="preserve">## 447_28-288_28   -2.396902736 -3.9864301 -0.8073754 2.962322e-04</w:t>
      </w:r>
      <w:r>
        <w:br w:type="textWrapping"/>
      </w:r>
      <w:r>
        <w:rPr>
          <w:rStyle w:val="VerbatimChar"/>
        </w:rPr>
        <w:t xml:space="preserve">## 405_31-288_28   -0.422087582 -1.9781474  1.1339723 9.897169e-01</w:t>
      </w:r>
      <w:r>
        <w:br w:type="textWrapping"/>
      </w:r>
      <w:r>
        <w:rPr>
          <w:rStyle w:val="VerbatimChar"/>
        </w:rPr>
        <w:t xml:space="preserve">## 673_28-288_28   -0.517687876 -2.0448564  1.0094806 9.635321e-01</w:t>
      </w:r>
      <w:r>
        <w:br w:type="textWrapping"/>
      </w:r>
      <w:r>
        <w:rPr>
          <w:rStyle w:val="VerbatimChar"/>
        </w:rPr>
        <w:t xml:space="preserve">## 701_31-288_28   -0.378978975 -1.9350388  1.1770809 9.946317e-01</w:t>
      </w:r>
      <w:r>
        <w:br w:type="textWrapping"/>
      </w:r>
      <w:r>
        <w:rPr>
          <w:rStyle w:val="VerbatimChar"/>
        </w:rPr>
        <w:t xml:space="preserve">## 3285_28-288_28   0.829354857 -0.7267050  2.3854147 7.111894e-01</w:t>
      </w:r>
      <w:r>
        <w:br w:type="textWrapping"/>
      </w:r>
      <w:r>
        <w:rPr>
          <w:rStyle w:val="VerbatimChar"/>
        </w:rPr>
        <w:t xml:space="preserve">## 3309_31-288_28   0.781755622 -0.7743042  2.3378155 7.683101e-01</w:t>
      </w:r>
      <w:r>
        <w:br w:type="textWrapping"/>
      </w:r>
      <w:r>
        <w:rPr>
          <w:rStyle w:val="VerbatimChar"/>
        </w:rPr>
        <w:t xml:space="preserve">## 447_28-311_31   -1.886991285 -3.6191386 -0.1548440 2.308599e-02</w:t>
      </w:r>
      <w:r>
        <w:br w:type="textWrapping"/>
      </w:r>
      <w:r>
        <w:rPr>
          <w:rStyle w:val="VerbatimChar"/>
        </w:rPr>
        <w:t xml:space="preserve">## 405_31-311_31    0.087823869 -1.6136635  1.7893112 9.999998e-01</w:t>
      </w:r>
      <w:r>
        <w:br w:type="textWrapping"/>
      </w:r>
      <w:r>
        <w:rPr>
          <w:rStyle w:val="VerbatimChar"/>
        </w:rPr>
        <w:t xml:space="preserve">## 673_28-311_31   -0.007776425 -1.6828825  1.6673297 1.000000e+00</w:t>
      </w:r>
      <w:r>
        <w:br w:type="textWrapping"/>
      </w:r>
      <w:r>
        <w:rPr>
          <w:rStyle w:val="VerbatimChar"/>
        </w:rPr>
        <w:t xml:space="preserve">## 701_31-311_31    0.130932477 -1.5705549  1.8324198 9.999975e-01</w:t>
      </w:r>
      <w:r>
        <w:br w:type="textWrapping"/>
      </w:r>
      <w:r>
        <w:rPr>
          <w:rStyle w:val="VerbatimChar"/>
        </w:rPr>
        <w:t xml:space="preserve">## 3285_28-311_31   1.339266308 -0.3622211  3.0407537 2.314197e-01</w:t>
      </w:r>
      <w:r>
        <w:br w:type="textWrapping"/>
      </w:r>
      <w:r>
        <w:rPr>
          <w:rStyle w:val="VerbatimChar"/>
        </w:rPr>
        <w:t xml:space="preserve">## 3309_31-311_31   1.291667073 -0.4098203  2.9931544 2.727261e-01</w:t>
      </w:r>
      <w:r>
        <w:br w:type="textWrapping"/>
      </w:r>
      <w:r>
        <w:rPr>
          <w:rStyle w:val="VerbatimChar"/>
        </w:rPr>
        <w:t xml:space="preserve">## 405_31-447_28    1.974815154  0.4187553  3.5308750 4.053529e-03</w:t>
      </w:r>
      <w:r>
        <w:br w:type="textWrapping"/>
      </w:r>
      <w:r>
        <w:rPr>
          <w:rStyle w:val="VerbatimChar"/>
        </w:rPr>
        <w:t xml:space="preserve">## 673_28-447_28    1.879214860  0.3520464  3.4063833 6.001004e-03</w:t>
      </w:r>
      <w:r>
        <w:br w:type="textWrapping"/>
      </w:r>
      <w:r>
        <w:rPr>
          <w:rStyle w:val="VerbatimChar"/>
        </w:rPr>
        <w:t xml:space="preserve">## 701_31-447_28    2.017923762  0.4618639  3.5739836 3.041000e-03</w:t>
      </w:r>
      <w:r>
        <w:br w:type="textWrapping"/>
      </w:r>
      <w:r>
        <w:rPr>
          <w:rStyle w:val="VerbatimChar"/>
        </w:rPr>
        <w:t xml:space="preserve">## 3285_28-447_28   3.226257593  1.6701977  4.7823175 2.526815e-07</w:t>
      </w:r>
      <w:r>
        <w:br w:type="textWrapping"/>
      </w:r>
      <w:r>
        <w:rPr>
          <w:rStyle w:val="VerbatimChar"/>
        </w:rPr>
        <w:t xml:space="preserve">## 3309_31-447_28   3.178658358  1.6225985  4.7347182 3.780239e-07</w:t>
      </w:r>
      <w:r>
        <w:br w:type="textWrapping"/>
      </w:r>
      <w:r>
        <w:rPr>
          <w:rStyle w:val="VerbatimChar"/>
        </w:rPr>
        <w:t xml:space="preserve">## 673_28-405_31   -0.095600294 -1.5879034  1.3967028 9.999993e-01</w:t>
      </w:r>
      <w:r>
        <w:br w:type="textWrapping"/>
      </w:r>
      <w:r>
        <w:rPr>
          <w:rStyle w:val="VerbatimChar"/>
        </w:rPr>
        <w:t xml:space="preserve">## 701_31-405_31    0.043108607 -1.4787480  1.5649652 1.000000e+00</w:t>
      </w:r>
      <w:r>
        <w:br w:type="textWrapping"/>
      </w:r>
      <w:r>
        <w:rPr>
          <w:rStyle w:val="VerbatimChar"/>
        </w:rPr>
        <w:t xml:space="preserve">## 3285_28-405_31   1.251442439 -0.2704141  2.7732990 1.857622e-01</w:t>
      </w:r>
      <w:r>
        <w:br w:type="textWrapping"/>
      </w:r>
      <w:r>
        <w:rPr>
          <w:rStyle w:val="VerbatimChar"/>
        </w:rPr>
        <w:t xml:space="preserve">## 3309_31-405_31   1.203843204 -0.3180134  2.7256998 2.259848e-01</w:t>
      </w:r>
      <w:r>
        <w:br w:type="textWrapping"/>
      </w:r>
      <w:r>
        <w:rPr>
          <w:rStyle w:val="VerbatimChar"/>
        </w:rPr>
        <w:t xml:space="preserve">## 701_31-673_28    0.138708902 -1.3535942  1.6310120 9.999907e-01</w:t>
      </w:r>
      <w:r>
        <w:br w:type="textWrapping"/>
      </w:r>
      <w:r>
        <w:rPr>
          <w:rStyle w:val="VerbatimChar"/>
        </w:rPr>
        <w:t xml:space="preserve">## 3285_28-673_28   1.347042734 -0.1452604  2.8393459 1.068006e-01</w:t>
      </w:r>
      <w:r>
        <w:br w:type="textWrapping"/>
      </w:r>
      <w:r>
        <w:rPr>
          <w:rStyle w:val="VerbatimChar"/>
        </w:rPr>
        <w:t xml:space="preserve">## 3309_31-673_28   1.299443498 -0.1928596  2.7917466 1.341602e-01</w:t>
      </w:r>
      <w:r>
        <w:br w:type="textWrapping"/>
      </w:r>
      <w:r>
        <w:rPr>
          <w:rStyle w:val="VerbatimChar"/>
        </w:rPr>
        <w:t xml:space="preserve">## 3285_28-701_31   1.208333832 -0.3135227  2.7301904 2.219524e-01</w:t>
      </w:r>
      <w:r>
        <w:br w:type="textWrapping"/>
      </w:r>
      <w:r>
        <w:rPr>
          <w:rStyle w:val="VerbatimChar"/>
        </w:rPr>
        <w:t xml:space="preserve">## 3309_31-701_31   1.160734596 -0.3611220  2.6825912 2.672106e-01</w:t>
      </w:r>
      <w:r>
        <w:br w:type="textWrapping"/>
      </w:r>
      <w:r>
        <w:rPr>
          <w:rStyle w:val="VerbatimChar"/>
        </w:rPr>
        <w:t xml:space="preserve">## 3309_31-3285_28 -0.047599235 -1.5694558  1.4742573 1.000000e+00</w:t>
      </w:r>
    </w:p>
    <w:p>
      <w:pPr>
        <w:pStyle w:val="FirstParagraph"/>
      </w:pPr>
      <w:r>
        <w:drawing>
          <wp:inline>
            <wp:extent cx="5943600" cy="4754880"/>
            <wp:effectExtent b="0" l="0" r="0" t="0"/>
            <wp:docPr descr="" title="" id="1" name="Picture"/>
            <a:graphic>
              <a:graphicData uri="http://schemas.openxmlformats.org/drawingml/2006/picture">
                <pic:pic>
                  <pic:nvPicPr>
                    <pic:cNvPr descr="ch3_results_word_files/figure-docx/plots%20of%20PAST%20distances-1.png" id="0" name="Picture"/>
                    <pic:cNvPicPr>
                      <a:picLocks noChangeArrowheads="1" noChangeAspect="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ch3_results_word_files/figure-docx/plots%20of%20PAST%20distances-2.png" id="0" name="Picture"/>
                    <pic:cNvPicPr>
                      <a:picLocks noChangeArrowheads="1" noChangeAspect="1"/>
                    </pic:cNvPicPr>
                  </pic:nvPicPr>
                  <pic:blipFill>
                    <a:blip r:embed="rId39"/>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VerbatimChar"/>
        </w:rPr>
        <w:t xml:space="preserve">##             Df Sum Sq Mean Sq F value   Pr(&gt;F)    </w:t>
      </w:r>
      <w:r>
        <w:br w:type="textWrapping"/>
      </w:r>
      <w:r>
        <w:rPr>
          <w:rStyle w:val="VerbatimChar"/>
        </w:rPr>
        <w:t xml:space="preserve">## treat2       7  47.89   6.842   4.723 0.000356 ***</w:t>
      </w:r>
      <w:r>
        <w:br w:type="textWrapping"/>
      </w:r>
      <w:r>
        <w:rPr>
          <w:rStyle w:val="VerbatimChar"/>
        </w:rPr>
        <w:t xml:space="preserve">## reef         1   2.17   2.170   1.498 0.226374    </w:t>
      </w:r>
      <w:r>
        <w:br w:type="textWrapping"/>
      </w:r>
      <w:r>
        <w:rPr>
          <w:rStyle w:val="VerbatimChar"/>
        </w:rPr>
        <w:t xml:space="preserve">## treat2:reef  6   3.80   0.633   0.437 0.850704    </w:t>
      </w:r>
      <w:r>
        <w:br w:type="textWrapping"/>
      </w:r>
      <w:r>
        <w:rPr>
          <w:rStyle w:val="VerbatimChar"/>
        </w:rPr>
        <w:t xml:space="preserve">## Residuals   53  76.78   1.449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diff        lwr       upr     p adj</w:t>
      </w:r>
      <w:r>
        <w:br w:type="textWrapping"/>
      </w:r>
      <w:r>
        <w:rPr>
          <w:rStyle w:val="VerbatimChar"/>
        </w:rPr>
        <w:t xml:space="preserve">## N-F 0.347785 -0.2418396 0.9374096 0.2420604</w:t>
      </w:r>
    </w:p>
    <w:p>
      <w:pPr>
        <w:pStyle w:val="SourceCode"/>
      </w:pPr>
      <w:r>
        <w:rPr>
          <w:rStyle w:val="VerbatimChar"/>
        </w:rPr>
        <w:t xml:space="preserve">##                        diff        lwr        upr        p adj</w:t>
      </w:r>
      <w:r>
        <w:br w:type="textWrapping"/>
      </w:r>
      <w:r>
        <w:rPr>
          <w:rStyle w:val="VerbatimChar"/>
        </w:rPr>
        <w:t xml:space="preserve">## 311_31-288_28    0.64700960 -1.2803288  2.5743480 0.9623672411</w:t>
      </w:r>
      <w:r>
        <w:br w:type="textWrapping"/>
      </w:r>
      <w:r>
        <w:rPr>
          <w:rStyle w:val="VerbatimChar"/>
        </w:rPr>
        <w:t xml:space="preserve">## 447_28-288_28   -1.77749973 -3.3967878 -0.1582116 0.0220356537</w:t>
      </w:r>
      <w:r>
        <w:br w:type="textWrapping"/>
      </w:r>
      <w:r>
        <w:rPr>
          <w:rStyle w:val="VerbatimChar"/>
        </w:rPr>
        <w:t xml:space="preserve">## 405_31-288_28    0.13061183 -1.7967265  2.0579502 0.9999988128</w:t>
      </w:r>
      <w:r>
        <w:br w:type="textWrapping"/>
      </w:r>
      <w:r>
        <w:rPr>
          <w:rStyle w:val="VerbatimChar"/>
        </w:rPr>
        <w:t xml:space="preserve">## 673_28-288_28    0.18034695 -1.4789296  1.8396235 0.9999694410</w:t>
      </w:r>
      <w:r>
        <w:br w:type="textWrapping"/>
      </w:r>
      <w:r>
        <w:rPr>
          <w:rStyle w:val="VerbatimChar"/>
        </w:rPr>
        <w:t xml:space="preserve">## 701_31-288_28    0.33390645 -1.4306719  2.0984848 0.9987777686</w:t>
      </w:r>
      <w:r>
        <w:br w:type="textWrapping"/>
      </w:r>
      <w:r>
        <w:rPr>
          <w:rStyle w:val="VerbatimChar"/>
        </w:rPr>
        <w:t xml:space="preserve">## 3285_28-288_28   0.55134404 -1.0338500  2.1365381 0.9546001914</w:t>
      </w:r>
      <w:r>
        <w:br w:type="textWrapping"/>
      </w:r>
      <w:r>
        <w:rPr>
          <w:rStyle w:val="VerbatimChar"/>
        </w:rPr>
        <w:t xml:space="preserve">## 3309_31-288_28   1.19105279 -1.0262488  3.4083544 0.6904511955</w:t>
      </w:r>
      <w:r>
        <w:br w:type="textWrapping"/>
      </w:r>
      <w:r>
        <w:rPr>
          <w:rStyle w:val="VerbatimChar"/>
        </w:rPr>
        <w:t xml:space="preserve">## 447_28-311_31   -2.42450933 -4.3518477 -0.4971710 0.0050228195</w:t>
      </w:r>
      <w:r>
        <w:br w:type="textWrapping"/>
      </w:r>
      <w:r>
        <w:rPr>
          <w:rStyle w:val="VerbatimChar"/>
        </w:rPr>
        <w:t xml:space="preserve">## 405_31-311_31   -0.51639777 -2.7089242  1.6761287 0.9951517391</w:t>
      </w:r>
      <w:r>
        <w:br w:type="textWrapping"/>
      </w:r>
      <w:r>
        <w:rPr>
          <w:rStyle w:val="VerbatimChar"/>
        </w:rPr>
        <w:t xml:space="preserve">## 673_28-311_31   -0.46666265 -2.4277179  1.4943926 0.9948356948</w:t>
      </w:r>
      <w:r>
        <w:br w:type="textWrapping"/>
      </w:r>
      <w:r>
        <w:rPr>
          <w:rStyle w:val="VerbatimChar"/>
        </w:rPr>
        <w:t xml:space="preserve">## 701_31-311_31   -0.31310315 -2.3640239  1.7378176 0.9996995973</w:t>
      </w:r>
      <w:r>
        <w:br w:type="textWrapping"/>
      </w:r>
      <w:r>
        <w:rPr>
          <w:rStyle w:val="VerbatimChar"/>
        </w:rPr>
        <w:t xml:space="preserve">## 3285_28-311_31  -0.09566556 -1.9944492  1.8031181 0.9999998484</w:t>
      </w:r>
      <w:r>
        <w:br w:type="textWrapping"/>
      </w:r>
      <w:r>
        <w:rPr>
          <w:rStyle w:val="VerbatimChar"/>
        </w:rPr>
        <w:t xml:space="preserve">## 3309_31-311_31   0.54404319 -1.9072759  2.9953623 0.9966429159</w:t>
      </w:r>
      <w:r>
        <w:br w:type="textWrapping"/>
      </w:r>
      <w:r>
        <w:rPr>
          <w:rStyle w:val="VerbatimChar"/>
        </w:rPr>
        <w:t xml:space="preserve">## 405_31-447_28    1.90811156 -0.0192268  3.8354499 0.0541420045</w:t>
      </w:r>
      <w:r>
        <w:br w:type="textWrapping"/>
      </w:r>
      <w:r>
        <w:rPr>
          <w:rStyle w:val="VerbatimChar"/>
        </w:rPr>
        <w:t xml:space="preserve">## 673_28-447_28    1.95784668  0.2985701  3.6171232 0.0105133144</w:t>
      </w:r>
      <w:r>
        <w:br w:type="textWrapping"/>
      </w:r>
      <w:r>
        <w:rPr>
          <w:rStyle w:val="VerbatimChar"/>
        </w:rPr>
        <w:t xml:space="preserve">## 701_31-447_28    2.11140617  0.3468279  3.8759845 0.0090087185</w:t>
      </w:r>
      <w:r>
        <w:br w:type="textWrapping"/>
      </w:r>
      <w:r>
        <w:rPr>
          <w:rStyle w:val="VerbatimChar"/>
        </w:rPr>
        <w:t xml:space="preserve">## 3285_28-447_28   2.32884376  0.7436497  3.9140378 0.0005896305</w:t>
      </w:r>
      <w:r>
        <w:br w:type="textWrapping"/>
      </w:r>
      <w:r>
        <w:rPr>
          <w:rStyle w:val="VerbatimChar"/>
        </w:rPr>
        <w:t xml:space="preserve">## 3309_31-447_28   2.96855251  0.7512509  5.1858541 0.0022613664</w:t>
      </w:r>
      <w:r>
        <w:br w:type="textWrapping"/>
      </w:r>
      <w:r>
        <w:rPr>
          <w:rStyle w:val="VerbatimChar"/>
        </w:rPr>
        <w:t xml:space="preserve">## 673_28-405_31    0.04973512 -1.9113202  2.0107904 0.9999999987</w:t>
      </w:r>
      <w:r>
        <w:br w:type="textWrapping"/>
      </w:r>
      <w:r>
        <w:rPr>
          <w:rStyle w:val="VerbatimChar"/>
        </w:rPr>
        <w:t xml:space="preserve">## 701_31-405_31    0.20329461 -1.8476261  2.2542153 0.9999837047</w:t>
      </w:r>
      <w:r>
        <w:br w:type="textWrapping"/>
      </w:r>
      <w:r>
        <w:rPr>
          <w:rStyle w:val="VerbatimChar"/>
        </w:rPr>
        <w:t xml:space="preserve">## 3285_28-405_31   0.42073221 -1.4780514  2.3195158 0.9966766215</w:t>
      </w:r>
      <w:r>
        <w:br w:type="textWrapping"/>
      </w:r>
      <w:r>
        <w:rPr>
          <w:rStyle w:val="VerbatimChar"/>
        </w:rPr>
        <w:t xml:space="preserve">## 3309_31-405_31   1.06044096 -1.3908782  3.5117601 0.8687399835</w:t>
      </w:r>
      <w:r>
        <w:br w:type="textWrapping"/>
      </w:r>
      <w:r>
        <w:rPr>
          <w:rStyle w:val="VerbatimChar"/>
        </w:rPr>
        <w:t xml:space="preserve">## 701_31-673_28    0.15355950 -1.6477848  1.9549038 0.9999942106</w:t>
      </w:r>
      <w:r>
        <w:br w:type="textWrapping"/>
      </w:r>
      <w:r>
        <w:rPr>
          <w:rStyle w:val="VerbatimChar"/>
        </w:rPr>
        <w:t xml:space="preserve">## 3285_28-673_28   0.37099709 -1.2550241  1.9970182 0.9960138919</w:t>
      </w:r>
      <w:r>
        <w:br w:type="textWrapping"/>
      </w:r>
      <w:r>
        <w:rPr>
          <w:rStyle w:val="VerbatimChar"/>
        </w:rPr>
        <w:t xml:space="preserve">## 3309_31-673_28   1.01070584 -1.2359652  3.2573769 0.8442593933</w:t>
      </w:r>
      <w:r>
        <w:br w:type="textWrapping"/>
      </w:r>
      <w:r>
        <w:rPr>
          <w:rStyle w:val="VerbatimChar"/>
        </w:rPr>
        <w:t xml:space="preserve">## 3285_28-701_31   0.21743759 -1.5159068  1.9507820 0.9999192473</w:t>
      </w:r>
      <w:r>
        <w:br w:type="textWrapping"/>
      </w:r>
      <w:r>
        <w:rPr>
          <w:rStyle w:val="VerbatimChar"/>
        </w:rPr>
        <w:t xml:space="preserve">## 3309_31-701_31   0.85714634 -1.4683792  3.1826718 0.9387945788</w:t>
      </w:r>
      <w:r>
        <w:br w:type="textWrapping"/>
      </w:r>
      <w:r>
        <w:rPr>
          <w:rStyle w:val="VerbatimChar"/>
        </w:rPr>
        <w:t xml:space="preserve">## 3309_31-3285_28  0.63970875 -1.5528177  2.8322352 0.9826979773</w:t>
      </w:r>
    </w:p>
    <w:p>
      <w:pPr>
        <w:pStyle w:val="FirstParagraph"/>
      </w:pPr>
      <w:r>
        <w:t xml:space="preserve"> </w:t>
      </w:r>
      <w:r>
        <w:t xml:space="preserve"> </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3.5.2 (2018-12-20)</w:t>
      </w:r>
      <w:r>
        <w:br w:type="textWrapping"/>
      </w:r>
      <w:r>
        <w:rPr>
          <w:rStyle w:val="VerbatimChar"/>
        </w:rPr>
        <w:t xml:space="preserve">## Platform: x86_64-apple-darwin15.6.0 (64-bit)</w:t>
      </w:r>
      <w:r>
        <w:br w:type="textWrapping"/>
      </w:r>
      <w:r>
        <w:rPr>
          <w:rStyle w:val="VerbatimChar"/>
        </w:rPr>
        <w:t xml:space="preserve">## Running under: macOS Mojave 10.14.6</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 /Library/Frameworks/R.framework/Versions/3.5/Resources/lib/libRblas.0.dylib</w:t>
      </w:r>
      <w:r>
        <w:br w:type="textWrapping"/>
      </w:r>
      <w:r>
        <w:rPr>
          <w:rStyle w:val="VerbatimChar"/>
        </w:rPr>
        <w:t xml:space="preserve">## LAPACK: /Library/Frameworks/R.framework/Versions/3.5/Resources/lib/libRlapack.dylib</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en_US.UTF-8/en_US.UTF-8/en_US.UTF-8/C/en_US.UTF-8/en_US.UTF-8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grid      stats     graphics  grDevices utils     datasets  methods  </w:t>
      </w:r>
      <w:r>
        <w:br w:type="textWrapping"/>
      </w:r>
      <w:r>
        <w:rPr>
          <w:rStyle w:val="VerbatimChar"/>
        </w:rPr>
        <w:t xml:space="preserve">## [8]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magick_2.2       lme4_1.1-21      Matrix_1.2-17    kableExtra_1.1.0</w:t>
      </w:r>
      <w:r>
        <w:br w:type="textWrapping"/>
      </w:r>
      <w:r>
        <w:rPr>
          <w:rStyle w:val="VerbatimChar"/>
        </w:rPr>
        <w:t xml:space="preserve">##  [5] ggfortify_0.4.7  cowplot_1.0.0    Rmisc_1.5        shiny_1.4.0     </w:t>
      </w:r>
      <w:r>
        <w:br w:type="textWrapping"/>
      </w:r>
      <w:r>
        <w:rPr>
          <w:rStyle w:val="VerbatimChar"/>
        </w:rPr>
        <w:t xml:space="preserve">##  [9] vegan_2.5-6      lattice_0.20-38  permute_0.9-5    forcats_0.4.0   </w:t>
      </w:r>
      <w:r>
        <w:br w:type="textWrapping"/>
      </w:r>
      <w:r>
        <w:rPr>
          <w:rStyle w:val="VerbatimChar"/>
        </w:rPr>
        <w:t xml:space="preserve">## [13] stringr_1.4.0    purrr_0.3.3      tibble_2.1.3     tidyverse_1.2.1 </w:t>
      </w:r>
      <w:r>
        <w:br w:type="textWrapping"/>
      </w:r>
      <w:r>
        <w:rPr>
          <w:rStyle w:val="VerbatimChar"/>
        </w:rPr>
        <w:t xml:space="preserve">## [17] plotly_4.9.0     openxlsx_4.1.0.1 tidyr_1.0.0      ggbiplot_0.55   </w:t>
      </w:r>
      <w:r>
        <w:br w:type="textWrapping"/>
      </w:r>
      <w:r>
        <w:rPr>
          <w:rStyle w:val="VerbatimChar"/>
        </w:rPr>
        <w:t xml:space="preserve">## [21] scales_1.0.0     plyr_1.8.4       dplyr_0.8.3      ggplot2_3.2.1   </w:t>
      </w:r>
      <w:r>
        <w:br w:type="textWrapping"/>
      </w:r>
      <w:r>
        <w:rPr>
          <w:rStyle w:val="VerbatimChar"/>
        </w:rPr>
        <w:t xml:space="preserve">## [25] readr_1.3.1      knitr_1.25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nlme_3.1-141      lubridate_1.7.4   webshot_0.5.1    </w:t>
      </w:r>
      <w:r>
        <w:br w:type="textWrapping"/>
      </w:r>
      <w:r>
        <w:rPr>
          <w:rStyle w:val="VerbatimChar"/>
        </w:rPr>
        <w:t xml:space="preserve">##  [4] httr_1.4.1        tools_3.5.2       backports_1.1.5  </w:t>
      </w:r>
      <w:r>
        <w:br w:type="textWrapping"/>
      </w:r>
      <w:r>
        <w:rPr>
          <w:rStyle w:val="VerbatimChar"/>
        </w:rPr>
        <w:t xml:space="preserve">##  [7] R6_2.4.0          lazyeval_0.2.2    mgcv_1.8-28      </w:t>
      </w:r>
      <w:r>
        <w:br w:type="textWrapping"/>
      </w:r>
      <w:r>
        <w:rPr>
          <w:rStyle w:val="VerbatimChar"/>
        </w:rPr>
        <w:t xml:space="preserve">## [10] colorspace_1.4-1  withr_2.1.2       tidyselect_0.2.5 </w:t>
      </w:r>
      <w:r>
        <w:br w:type="textWrapping"/>
      </w:r>
      <w:r>
        <w:rPr>
          <w:rStyle w:val="VerbatimChar"/>
        </w:rPr>
        <w:t xml:space="preserve">## [13] gridExtra_2.3     compiler_3.5.2    cli_1.1.0        </w:t>
      </w:r>
      <w:r>
        <w:br w:type="textWrapping"/>
      </w:r>
      <w:r>
        <w:rPr>
          <w:rStyle w:val="VerbatimChar"/>
        </w:rPr>
        <w:t xml:space="preserve">## [16] rvest_0.3.4       xml2_1.2.2        labeling_0.3     </w:t>
      </w:r>
      <w:r>
        <w:br w:type="textWrapping"/>
      </w:r>
      <w:r>
        <w:rPr>
          <w:rStyle w:val="VerbatimChar"/>
        </w:rPr>
        <w:t xml:space="preserve">## [19] digest_0.6.22     minqa_1.2.4       rmarkdown_1.16   </w:t>
      </w:r>
      <w:r>
        <w:br w:type="textWrapping"/>
      </w:r>
      <w:r>
        <w:rPr>
          <w:rStyle w:val="VerbatimChar"/>
        </w:rPr>
        <w:t xml:space="preserve">## [22] pkgconfig_2.0.3   htmltools_0.4.0   highr_0.8        </w:t>
      </w:r>
      <w:r>
        <w:br w:type="textWrapping"/>
      </w:r>
      <w:r>
        <w:rPr>
          <w:rStyle w:val="VerbatimChar"/>
        </w:rPr>
        <w:t xml:space="preserve">## [25] fastmap_1.0.1     htmlwidgets_1.5.1 rlang_0.4.1      </w:t>
      </w:r>
      <w:r>
        <w:br w:type="textWrapping"/>
      </w:r>
      <w:r>
        <w:rPr>
          <w:rStyle w:val="VerbatimChar"/>
        </w:rPr>
        <w:t xml:space="preserve">## [28] readxl_1.3.1      rstudioapi_0.10   generics_0.0.2   </w:t>
      </w:r>
      <w:r>
        <w:br w:type="textWrapping"/>
      </w:r>
      <w:r>
        <w:rPr>
          <w:rStyle w:val="VerbatimChar"/>
        </w:rPr>
        <w:t xml:space="preserve">## [31] jsonlite_1.6      zip_2.0.4         magrittr_1.5     </w:t>
      </w:r>
      <w:r>
        <w:br w:type="textWrapping"/>
      </w:r>
      <w:r>
        <w:rPr>
          <w:rStyle w:val="VerbatimChar"/>
        </w:rPr>
        <w:t xml:space="preserve">## [34] Rcpp_1.0.2        munsell_0.5.0     lifecycle_0.1.0  </w:t>
      </w:r>
      <w:r>
        <w:br w:type="textWrapping"/>
      </w:r>
      <w:r>
        <w:rPr>
          <w:rStyle w:val="VerbatimChar"/>
        </w:rPr>
        <w:t xml:space="preserve">## [37] stringi_1.4.3     yaml_2.2.0        MASS_7.3-51.4    </w:t>
      </w:r>
      <w:r>
        <w:br w:type="textWrapping"/>
      </w:r>
      <w:r>
        <w:rPr>
          <w:rStyle w:val="VerbatimChar"/>
        </w:rPr>
        <w:t xml:space="preserve">## [40] parallel_3.5.2    promises_1.1.0    crayon_1.3.4     </w:t>
      </w:r>
      <w:r>
        <w:br w:type="textWrapping"/>
      </w:r>
      <w:r>
        <w:rPr>
          <w:rStyle w:val="VerbatimChar"/>
        </w:rPr>
        <w:t xml:space="preserve">## [43] haven_2.1.1       splines_3.5.2     hms_0.5.1        </w:t>
      </w:r>
      <w:r>
        <w:br w:type="textWrapping"/>
      </w:r>
      <w:r>
        <w:rPr>
          <w:rStyle w:val="VerbatimChar"/>
        </w:rPr>
        <w:t xml:space="preserve">## [46] zeallot_0.1.0     pillar_1.4.2      boot_1.3-23      </w:t>
      </w:r>
      <w:r>
        <w:br w:type="textWrapping"/>
      </w:r>
      <w:r>
        <w:rPr>
          <w:rStyle w:val="VerbatimChar"/>
        </w:rPr>
        <w:t xml:space="preserve">## [49] glue_1.3.1        evaluate_0.14     data.table_1.12.6</w:t>
      </w:r>
      <w:r>
        <w:br w:type="textWrapping"/>
      </w:r>
      <w:r>
        <w:rPr>
          <w:rStyle w:val="VerbatimChar"/>
        </w:rPr>
        <w:t xml:space="preserve">## [52] modelr_0.1.5      vctrs_0.2.0       nloptr_1.2.1     </w:t>
      </w:r>
      <w:r>
        <w:br w:type="textWrapping"/>
      </w:r>
      <w:r>
        <w:rPr>
          <w:rStyle w:val="VerbatimChar"/>
        </w:rPr>
        <w:t xml:space="preserve">## [55] httpuv_1.5.2      cellranger_1.1.0  gtable_0.3.0     </w:t>
      </w:r>
      <w:r>
        <w:br w:type="textWrapping"/>
      </w:r>
      <w:r>
        <w:rPr>
          <w:rStyle w:val="VerbatimChar"/>
        </w:rPr>
        <w:t xml:space="preserve">## [58] assertthat_0.2.1  xfun_0.10         mime_0.7         </w:t>
      </w:r>
      <w:r>
        <w:br w:type="textWrapping"/>
      </w:r>
      <w:r>
        <w:rPr>
          <w:rStyle w:val="VerbatimChar"/>
        </w:rPr>
        <w:t xml:space="preserve">## [61] xtable_1.8-4      broom_0.5.2       later_1.0.0      </w:t>
      </w:r>
      <w:r>
        <w:br w:type="textWrapping"/>
      </w:r>
      <w:r>
        <w:rPr>
          <w:rStyle w:val="VerbatimChar"/>
        </w:rPr>
        <w:t xml:space="preserve">## [64] viridisLite_0.3.0 cluster_2.1.0     ellipsis_0.3.0</w:t>
      </w:r>
    </w:p>
    <w:sectPr w:rsidR="00F37F08" w:rsidRPr="0080535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6F8011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A505FCD"/>
    <w:multiLevelType w:val="multilevel"/>
    <w:tmpl w:val="C5000F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80F002E8"/>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F8FCA26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A726FF42"/>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35126012"/>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C5E8FC52"/>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5B2E73E8"/>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1376D988"/>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D60E7966"/>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F4DEAD5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91CB574"/>
    <w:lvl w:ilvl="0">
      <w:start w:val="1"/>
      <w:numFmt w:val="bullet"/>
      <w:lvlText w:val=""/>
      <w:lvlJc w:val="left"/>
      <w:pPr>
        <w:tabs>
          <w:tab w:val="num" w:pos="360"/>
        </w:tabs>
        <w:ind w:left="360" w:hanging="360"/>
      </w:pPr>
      <w:rPr>
        <w:rFonts w:ascii="Symbol" w:hAnsi="Symbol" w:hint="default"/>
      </w:rPr>
    </w:lvl>
  </w:abstractNum>
  <w:abstractNum w:abstractNumId="990">
    <w:nsid w:val="942960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80535D"/>
    <w:pPr>
      <w:keepNext/>
      <w:keepLines/>
      <w:spacing w:before="480" w:after="0"/>
      <w:outlineLvl w:val="0"/>
    </w:pPr>
    <w:rPr>
      <w:rFonts w:ascii="Times New Roman" w:eastAsiaTheme="majorEastAsia" w:hAnsi="Times New Roman" w:cs="Times New Roman"/>
      <w:b/>
      <w:bCs/>
      <w:color w:val="000000" w:themeColor="tex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80535D"/>
    <w:pPr>
      <w:keepNext/>
      <w:keepLines/>
      <w:spacing w:before="200" w:after="0"/>
      <w:outlineLvl w:val="3"/>
    </w:pPr>
    <w:rPr>
      <w:rFonts w:ascii="Times New Roman" w:eastAsiaTheme="majorEastAsia" w:hAnsi="Times New Roman" w:cs="Times New Roman"/>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535D"/>
    <w:pPr>
      <w:spacing w:before="180" w:after="180"/>
    </w:pPr>
    <w:rPr>
      <w:rFonts w:ascii="Times New Roman" w:hAnsi="Times New Roman" w:cs="Times New Roman"/>
      <w:sz w:val="21"/>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0535D"/>
    <w:pPr>
      <w:keepNext/>
      <w:keepLines/>
      <w:spacing w:before="480" w:after="240"/>
      <w:jc w:val="center"/>
    </w:pPr>
    <w:rPr>
      <w:rFonts w:ascii="Times New Roman" w:eastAsiaTheme="majorEastAsia" w:hAnsi="Times New Roman" w:cs="Times New Roman"/>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53D37"/>
    <w:pPr>
      <w:keepNext/>
      <w:keepLines/>
      <w:jc w:val="center"/>
    </w:pPr>
    <w:rPr>
      <w:rFonts w:ascii="Times New Roman" w:hAnsi="Times New Roman" w:cs="Times New Roman"/>
    </w:rPr>
  </w:style>
  <w:style w:type="paragraph" w:styleId="Date">
    <w:name w:val="Date"/>
    <w:next w:val="BodyText"/>
    <w:qFormat/>
    <w:rsid w:val="00253D37"/>
    <w:pPr>
      <w:keepNext/>
      <w:keepLines/>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80535D"/>
    <w:pPr>
      <w:spacing w:before="100" w:after="100"/>
    </w:pPr>
    <w:rPr>
      <w:rFonts w:eastAsiaTheme="majorEastAsia"/>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0535D"/>
    <w:rPr>
      <w:rFonts w:ascii="Times New Roman" w:hAnsi="Times New Roman" w:cs="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710</Words>
  <Characters>4049</Characters>
  <Application>Microsoft Office Word</Application>
  <DocSecurity>0</DocSecurity>
  <Lines>33</Lines>
  <Paragraphs>9</Paragraphs>
  <ScaleCrop>false</ScaleCrop>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Physiology</dc:title>
  <dc:creator>Colleen Bove</dc:creator>
  <dcterms:created xsi:type="dcterms:W3CDTF">2020-01-24T16:02:49Z</dcterms:created>
  <dcterms:modified xsi:type="dcterms:W3CDTF">2020-01-24T16:02:49Z</dcterms:modified>
</cp:coreProperties>
</file>