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gobierno de IA (NIST AI RMF)</w:t>
      </w:r>
    </w:p>
    <w:p>
      <w:r>
        <w:rPr>
          <w:b/>
        </w:rPr>
        <w:t xml:space="preserve">Describe, para cada subcategoría del NIST AI RMF, el nivel actual con su evidencia, el nivel objetivo que fija la compañía, la brecha y la acción que la cierra, en la escala 0–5 de SEVEN-G.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P73 · Perfil de gobierno de IA (NIST AI RMF)</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NIST AI RMF organiza el gobierno de la IA en resultados verificables, pero no fija una escala para medir cuánto se ha avanzado en cada uno. Este perfil usa la escala de madurez de SEVEN-G y deriva cada nivel del cuestionario ya verificado del documento 11: el consejo ve un solo número por resultado, las características de una IA fiable (sesgo, transparencia, rendición de cuentas, supervisión humana) quedan a la vista y la brecha frente al objetivo se convierte en acciones con responsable, sin una segunda evaluación.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y cuando la compañía quiere informar con el NIST AI RMF a su comité de riesgos, a un cliente o a un supervisor.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a partir de la hoja de respuestas de P34; las subcategorías «Propia» las evalúa el mismo equipo evaluador con las reglas de 11 §4.</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que revisa además todas las subcategorías «Propia» con nivel 3 o superior.</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y la propuesta de niveles objetivo; el consejo o su comisión delegada aprueba los niveles objetivo en C2.</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w:t>
            </w:r>
          </w:p>
        </w:tc>
      </w:tr>
      <w:tr>
        <w:tc>
          <w:tcPr>
            <w:tcW w:w="4819" w:type="dxa"/>
          </w:tcPr>
          <w:p>
            <w:pPr>
              <w:pStyle w:val="Celda"/>
            </w:pPr>
            <w:r>
              <w:rPr>
                <w:b/>
              </w:rPr>
              <w:t xml:space="preserve">Herramienta</w:t>
            </w:r>
          </w:p>
        </w:tc>
        <w:tc>
          <w:tcPr>
            <w:tcW w:w="4819" w:type="dxa"/>
          </w:tcPr>
          <w:p>
            <w:pPr>
              <w:pStyle w:val="Celda"/>
            </w:pPr>
            <w:r>
              <w:t xml:space="preserve">T15 · Diagnóstico de madurez calcula este perfil en su vista «Perfil AI RMF»: nivel derivado del cuestionario, niveles propios, objetivos, brecha, </w:t>
            </w:r>
            <w:r>
              <w:rPr>
                <w:i/>
              </w:rPr>
              <w:t xml:space="preserve">tier</w:t>
            </w:r>
            <w:r>
              <w:t xml:space="preserve"> equivalente y exportación CSV, y guarda su resumen en el registro T01. Esta plantilla es su equivalente en papel o en Word.</w:t>
            </w:r>
          </w:p>
        </w:tc>
      </w:tr>
      <w:tr>
        <w:tc>
          <w:tcPr>
            <w:tcW w:w="4819" w:type="dxa"/>
          </w:tcPr>
          <w:p>
            <w:pPr>
              <w:pStyle w:val="Celda"/>
            </w:pPr>
            <w:r>
              <w:rPr>
                <w:b/>
              </w:rPr>
              <w:t xml:space="preserve">Documento de referencia</w:t>
            </w:r>
          </w:p>
        </w:tc>
        <w:tc>
          <w:tcPr>
            <w:tcW w:w="4819" w:type="dxa"/>
          </w:tcPr>
          <w:p>
            <w:pPr>
              <w:pStyle w:val="Celda"/>
            </w:pPr>
            <w:r>
              <w:t xml:space="preserve">Documento 34 §5.4 (subcategorías, cobertura en SEVEN-G y preguntas asociadas); documento 11 §2.2 (niveles y equivalencia con los </w:t>
            </w:r>
            <w:r>
              <w:rPr>
                <w:i/>
              </w:rPr>
              <w:t xml:space="preserve">tiers</w:t>
            </w:r>
            <w:r>
              <w:t xml:space="preserve">) y §7.5 (regla de derivación).</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seleccionar solo las subcategorías de GOVERN y las que corresponden a sus iniciativas Enterprise, y dejar las demás fuera del perfil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el nivel de la dimensión de referencia, rebajado al nivel anterior al de la pregunta asociada de menor nivel que no esté en «Sí» o «No aplica». En las subcategorías «Propia», el que acredita la evidencia, sin superar el nivel de su dimensión.</w:t>
      </w:r>
    </w:p>
    <w:p>
      <w:pPr>
        <w:pStyle w:val="Lista"/>
      </w:pPr>
      <w:r>
        <w:t xml:space="preserve">• </w:t>
      </w:r>
      <w:r>
        <w:rPr>
          <w:b/>
        </w:rPr>
        <w:t xml:space="preserve">Sin evidencia verificada no se acredita ningún nivel</w:t>
      </w:r>
      <w:r>
        <w:t xml:space="preserve">: una subcategoría evaluada sin evidencia queda en 0; una no evaluada queda en blanco («sin dato»), que no es 0.</w:t>
      </w:r>
    </w:p>
    <w:p>
      <w:pPr>
        <w:pStyle w:val="Lista"/>
      </w:pPr>
      <w:r>
        <w:t xml:space="preserve">• </w:t>
      </w:r>
      <w:r>
        <w:rPr>
          <w:b/>
        </w:rPr>
        <w:t xml:space="preserve">Evidencia</w:t>
      </w:r>
      <w:r>
        <w:t xml:space="preserve">: para las derivadas basta citar las preguntas de P34 y su respuesta; para las «Propia», la referencia trazable a la evidencia (autor, fecha y versión). No se copian aquí las evidencias de P34.</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nunca un dato aparte.</w:t>
      </w:r>
    </w:p>
    <w:p>
      <w:pPr>
        <w:pStyle w:val="Lista"/>
      </w:pPr>
      <w:r>
        <w:t xml:space="preserve">• Las descripciones de cada subcategoría están en 34 §5.4; no se reproduce aquí el texto del NIST.</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El mismo de la evaluación de madurez de la que se deriva.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PG-AAAA-MM.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Versión del AI RMF</w:t>
            </w:r>
          </w:p>
        </w:tc>
        <w:tc>
          <w:tcPr>
            <w:tcW w:w="3213" w:type="dxa"/>
          </w:tcPr>
          <w:p>
            <w:pPr>
              <w:pStyle w:val="Celda"/>
            </w:pPr>
          </w:p>
        </w:tc>
        <w:tc>
          <w:tcPr>
            <w:tcW w:w="3213" w:type="dxa"/>
          </w:tcPr>
          <w:p>
            <w:pPr>
              <w:pStyle w:val="Celda"/>
            </w:pPr>
            <w:r>
              <w:t xml:space="preserve">NIST AI 100-1, versión 1.0, mientras NIST no publique otra.</w:t>
            </w:r>
          </w:p>
        </w:tc>
      </w:tr>
      <w:tr>
        <w:tc>
          <w:tcPr>
            <w:tcW w:w="3213" w:type="dxa"/>
          </w:tcPr>
          <w:p>
            <w:pPr>
              <w:pStyle w:val="Celda"/>
            </w:pPr>
            <w:r>
              <w:t xml:space="preserve">Subcategorías seleccionadas</w:t>
            </w:r>
          </w:p>
        </w:tc>
        <w:tc>
          <w:tcPr>
            <w:tcW w:w="3213" w:type="dxa"/>
          </w:tcPr>
          <w:p>
            <w:pPr>
              <w:pStyle w:val="Celda"/>
            </w:pPr>
          </w:p>
        </w:tc>
        <w:tc>
          <w:tcPr>
            <w:tcW w:w="3213" w:type="dxa"/>
          </w:tcPr>
          <w:p>
            <w:pPr>
              <w:pStyle w:val="Celda"/>
            </w:pPr>
            <w:r>
              <w:t xml:space="preserve">Por defecto, las 72; las excluidas se listan con su motivo en la sección 7.</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GOVERN · gobernar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Propia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Propia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en 3; D6.05 en «Parcial»: faltan los sistemas de terceros en el inventario.</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 · mapear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 · medir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MEASURE 2.11</w:t>
            </w:r>
          </w:p>
        </w:tc>
        <w:tc>
          <w:tcPr>
            <w:tcW w:w="1205" w:type="dxa"/>
          </w:tcPr>
          <w:p>
            <w:pPr>
              <w:pStyle w:val="Celda"/>
            </w:pPr>
            <w:r>
              <w:t xml:space="preserve">Propia (D6)</w:t>
            </w:r>
          </w:p>
        </w:tc>
        <w:tc>
          <w:tcPr>
            <w:tcW w:w="1205" w:type="dxa"/>
          </w:tcPr>
          <w:p>
            <w:pPr>
              <w:pStyle w:val="Celda"/>
            </w:pPr>
            <w:r>
              <w:t xml:space="preserve">2</w:t>
            </w:r>
          </w:p>
        </w:tc>
        <w:tc>
          <w:tcPr>
            <w:tcW w:w="1205" w:type="dxa"/>
          </w:tcPr>
          <w:p>
            <w:pPr>
              <w:pStyle w:val="Celda"/>
            </w:pPr>
            <w:r>
              <w:t xml:space="preserve">Pruebas de sesgo con pares contrafactuales en dos de cinco iniciativas con decisiones sobre personas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 · gestionar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Características de una IA fiable</w:t>
      </w:r>
    </w:p>
    <w:p>
      <w:r>
        <w:t xml:space="preserve">El AI RMF describe siete características de una IA fiable. Esta tabla las hace visibles para el consejo: toma el nivel </w:t>
      </w:r>
      <w:r>
        <w:rPr>
          <w:b/>
        </w:rPr>
        <w:t xml:space="preserve">más bajo</w:t>
      </w:r>
      <w:r>
        <w:t xml:space="preserve"> de las subcategorías que las evalúan de forma más directa.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Característica</w:t>
            </w:r>
          </w:p>
        </w:tc>
        <w:tc>
          <w:tcPr>
            <w:tcW w:w="1928" w:type="dxa"/>
            <w:shd w:val="clear" w:color="auto" w:fill="F2DFCE"/>
          </w:tcPr>
          <w:p>
            <w:pPr>
              <w:pStyle w:val="Celda"/>
            </w:pPr>
            <w:r>
              <w:rPr>
                <w:b/>
              </w:rPr>
              <w:t xml:space="preserve">Subcategorías que la evalúan</w:t>
            </w:r>
          </w:p>
        </w:tc>
        <w:tc>
          <w:tcPr>
            <w:tcW w:w="1928" w:type="dxa"/>
            <w:shd w:val="clear" w:color="auto" w:fill="F2DFCE"/>
          </w:tcPr>
          <w:p>
            <w:pPr>
              <w:pStyle w:val="Celda"/>
            </w:pPr>
            <w:r>
              <w:rPr>
                <w:b/>
              </w:rPr>
              <w:t xml:space="preserve">Nivel actual (mínimo)</w:t>
            </w:r>
          </w:p>
        </w:tc>
        <w:tc>
          <w:tcPr>
            <w:tcW w:w="1928" w:type="dxa"/>
            <w:shd w:val="clear" w:color="auto" w:fill="F2DFCE"/>
          </w:tcPr>
          <w:p>
            <w:pPr>
              <w:pStyle w:val="Celda"/>
            </w:pPr>
            <w:r>
              <w:rPr>
                <w:b/>
              </w:rPr>
              <w:t xml:space="preserve">Nivel objetivo</w:t>
            </w:r>
          </w:p>
        </w:tc>
        <w:tc>
          <w:tcPr>
            <w:tcW w:w="1928" w:type="dxa"/>
            <w:shd w:val="clear" w:color="auto" w:fill="F2DFCE"/>
          </w:tcPr>
          <w:p>
            <w:pPr>
              <w:pStyle w:val="Celda"/>
            </w:pPr>
            <w:r>
              <w:rPr>
                <w:b/>
              </w:rPr>
              <w:t xml:space="preserve">Brecha</w:t>
            </w:r>
          </w:p>
        </w:tc>
      </w:tr>
      <w:tr>
        <w:tc>
          <w:tcPr>
            <w:tcW w:w="1928" w:type="dxa"/>
          </w:tcPr>
          <w:p>
            <w:pPr>
              <w:pStyle w:val="Celda"/>
            </w:pPr>
            <w:r>
              <w:t xml:space="preserve">Válida y fiable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Segura para las personas (sin daños)</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Protegida y resiliente frente a ataques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y transparente (rendición de cuentas)</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Explicable e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Respetuosa con la privacidad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Equitativa, con el sesgo perjudicial gestionado</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Supervisión humana</w:t>
            </w:r>
            <w:r>
              <w:t xml:space="preserve"> (transversal)</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Subcategorías excluidas del perfil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Subcategoría</w:t>
            </w:r>
          </w:p>
        </w:tc>
        <w:tc>
          <w:tcPr>
            <w:tcW w:w="3213" w:type="dxa"/>
            <w:shd w:val="clear" w:color="auto" w:fill="F2DFCE"/>
          </w:tcPr>
          <w:p>
            <w:pPr>
              <w:pStyle w:val="Celda"/>
            </w:pPr>
            <w:r>
              <w:rPr>
                <w:b/>
              </w:rPr>
              <w:t xml:space="preserve">Motivo de la exclusión</w:t>
            </w:r>
          </w:p>
        </w:tc>
        <w:tc>
          <w:tcPr>
            <w:tcW w:w="3213" w:type="dxa"/>
            <w:shd w:val="clear" w:color="auto" w:fill="F2DFCE"/>
          </w:tcPr>
          <w:p>
            <w:pPr>
              <w:pStyle w:val="Celda"/>
            </w:pPr>
            <w:r>
              <w:rPr>
                <w:b/>
              </w:rPr>
              <w:t xml:space="preserve">Quién lo decide</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Resumen por función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seleccionadas</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Plan de acción</w:t>
      </w:r>
    </w:p>
    <w:p>
      <w:r>
        <w:t xml:space="preserve">Las acciones se incorporan al plan de mejora del informe de madurez (P34 §6.6) con el mismo código; aquí solo se relacionan con las subcategorías que cierran.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Subcategorías</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Criterio de cierre</w:t>
            </w:r>
          </w:p>
        </w:tc>
      </w:tr>
      <w:tr>
        <w:tc>
          <w:tcPr>
            <w:tcW w:w="1606" w:type="dxa"/>
          </w:tcPr>
          <w:p>
            <w:pPr>
              <w:pStyle w:val="Celda"/>
            </w:pPr>
            <w:r>
              <w:t xml:space="preserve">AM-AAAA-NN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AM-2026-03</w:t>
            </w:r>
          </w:p>
        </w:tc>
        <w:tc>
          <w:tcPr>
            <w:tcW w:w="1606" w:type="dxa"/>
          </w:tcPr>
          <w:p>
            <w:pPr>
              <w:pStyle w:val="Celda"/>
            </w:pPr>
            <w:r>
              <w:t xml:space="preserve">MEASURE 2.11</w:t>
            </w:r>
          </w:p>
        </w:tc>
        <w:tc>
          <w:tcPr>
            <w:tcW w:w="1606" w:type="dxa"/>
          </w:tcPr>
          <w:p>
            <w:pPr>
              <w:pStyle w:val="Celda"/>
            </w:pPr>
            <w:r>
              <w:t xml:space="preserve">Aplicar pruebas de sesgo con pares contrafactuales a todas las iniciativas con decisiones sobre personas, con umbral en P17.</w:t>
            </w:r>
          </w:p>
        </w:tc>
        <w:tc>
          <w:tcPr>
            <w:tcW w:w="1606" w:type="dxa"/>
          </w:tcPr>
          <w:p>
            <w:pPr>
              <w:pStyle w:val="Celda"/>
            </w:pPr>
            <w:r>
              <w:t xml:space="preserve">Responsable de riesgos de IA</w:t>
            </w:r>
          </w:p>
        </w:tc>
        <w:tc>
          <w:tcPr>
            <w:tcW w:w="1606" w:type="dxa"/>
          </w:tcPr>
          <w:p>
            <w:pPr>
              <w:pStyle w:val="Celda"/>
            </w:pPr>
            <w:r>
              <w:t xml:space="preserve">31-12-2026</w:t>
            </w:r>
          </w:p>
        </w:tc>
        <w:tc>
          <w:tcPr>
            <w:tcW w:w="1606" w:type="dxa"/>
          </w:tcPr>
          <w:p>
            <w:pPr>
              <w:pStyle w:val="Celda"/>
            </w:pPr>
            <w:r>
              <w:t xml:space="preserve">Subcategoría en nivel 3 con evidencia verificada en la siguiente evaluación.</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§5.4; ningún nivel se ha fijado a mano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Ninguna subcategoría «Propia» supera el nivel de su dimensión de referencia.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niveles objetivo están aprobados en C2 y son proporcionales a la ambición y al riesgo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w:t>
            </w:r>
            <w:r>
              <w:rPr>
                <w:i/>
              </w:rPr>
              <w:t xml:space="preserve">tier</w:t>
            </w:r>
            <w:r>
              <w:t xml:space="preserve"> equivalente se ha calculado con la tabla de 11 §2.2 y no se presenta como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evalúa sus subcategorías; el verificador no ha participado en la evaluación.</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72 subcategorías del NIST AI RMF 1.0 en la escala 0–5 del documento 11, con el nivel derivado del cuestionario (11 §7.5), la brecha, el </w:t>
            </w:r>
            <w:r>
              <w:rPr>
                <w:i/>
              </w:rPr>
              <w:t xml:space="preserve">tier</w:t>
            </w:r>
            <w:r>
              <w:t xml:space="preserve"> equivalente como vista, las siete características de una IA fiable más la supervisión humana y el plan de acción enlazado con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P73 · Perfil de gobierno de IA (NIST AI RMF)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Perfil de gobierno de IA (NIST AI RMF)</dc:title>
  <dc:creator>Fernando García Varela</dc:creator>
  <dc:language>es</dc:language>
  <dc:description>sha256:283efe3436ff774f78722122bb4faaff1010e43ff315118e8bcb1fc3068891cb</dc:description>
  <cp:keywords>SEVEN-G</cp:keywords>
</cp:coreProperties>
</file>