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Registro de asignación de roles</w:t>
      </w:r>
    </w:p>
    <w:p>
      <w:r>
        <w:rPr>
          <w:b/>
        </w:rPr>
        <w:t xml:space="preserve">Designa a las personas que asumen cada rol de la iniciativa y demuestra que se respetan la separación de funciones y las incompatibilidades.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4819"/>
        <w:gridCol w:w="4819"/>
      </w:tblGrid>
      <w:tr>
        <w:tc>
          <w:tcPr>
            <w:tcW w:w="4819" w:type="dxa"/>
          </w:tcPr>
          <w:p>
            <w:pPr>
              <w:pStyle w:val="Celda"/>
            </w:pPr>
            <w:r>
              <w:t xml:space="preserve">Documento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Plantilla P03 · Registro de asignación de roles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Versión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0.1 (borrador de trabajo)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Fecha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16-09-2026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Autor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Fernando García · SEACHAD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Estado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Borrador para revisión.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Cita"/>
      </w:pPr>
      <w:r>
        <w:rPr>
          <w:b/>
        </w:rPr>
        <w:t xml:space="preserve">Aviso legal y exención de responsabilidad.</w:t>
      </w:r>
      <w:r>
        <w:t xml:space="preserve"> SEVEN-G es un marco metodológico de referencia que se ofrece «tal cual» y con fines exclusivamente informativos. No constituye asesoramiento jurídico, regulatorio, financiero ni profesional, ni garantiza el cumplimiento de ninguna norma. Las referencias a regulación general (como el Reglamento Europeo de IA, el RGPD, DORA o NIS2), a normas técnicas y a regulación específica de cada sector o jurisdicción pueden ser incompletas, no aplicar a un caso concreto o quedar desactualizadas por cambios normativos, interpretaciones o criterios de las autoridades posteriores a su fecha de consulta. </w:t>
      </w:r>
      <w:r>
        <w:rPr>
          <w:b/>
        </w:rPr>
        <w:t xml:space="preserve">Cada organización que use SEVEN-G es la única responsable de identificar la normativa que le aplica, verificar su vigencia y certificar su propio cumplimiento regulatorio</w:t>
      </w:r>
      <w:r>
        <w:t xml:space="preserve">, con el asesoramiento cualificado que corresponda. El autor y SEACHAD no asumen responsabilidad alguna por el uso que se haga de este contenido ni por las decisiones que se adopten con él. Los datos, cifras, compañías y casos de los ejemplos son ficticios o ilustrativos.</w:t>
      </w:r>
    </w:p>
    <w:p>
      <w:pPr>
        <w:pStyle w:val="Heading1"/>
      </w:pPr>
      <w:r>
        <w:t xml:space="preserve">1. Instrucciones de uso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4819"/>
        <w:gridCol w:w="4819"/>
      </w:tblGrid>
      <w:tr>
        <w:trPr>
          <w:tblHeader/>
        </w:trPr>
        <w:tc>
          <w:tcPr>
            <w:tcW w:w="4819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Aspecto</w:t>
            </w:r>
          </w:p>
        </w:tc>
        <w:tc>
          <w:tcPr>
            <w:tcW w:w="4819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Indicación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Cuándo se usa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En la fase 0, antes de G0. Se actualiza cada vez que cambia una persona, cuando cambia la intensidad y antes de cada </w:t>
            </w:r>
            <w:r>
              <w:rPr>
                <w:i/>
              </w:rPr>
              <w:t xml:space="preserve">gate</w:t>
            </w:r>
            <w:r>
              <w:t xml:space="preserve"> en el que intervengan roles no asignados todavía.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Quién la rellena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El responsable de producto de IA, con la oficina de IA.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Quién la verifica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Lite: oficina de IA. Enterprise: auditor de IA. Si la oficina de IA ha elaborado el registro, verifica el auditor de IA.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Quién decide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Se aprueba con G0: patrocinador (Lite) · comité de IA (Enterprise). La designación del auditor de IA la hace la tercera línea, no el patrocinador.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Gate en que se revisa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G0 · Autorización. En todos los </w:t>
            </w:r>
            <w:r>
              <w:rPr>
                <w:i/>
              </w:rPr>
              <w:t xml:space="preserve">gates</w:t>
            </w:r>
            <w:r>
              <w:t xml:space="preserve"> se comprueba que el verificador y el decisor registrados son los de este documento.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Herramienta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T01 · Registro de iniciativas (bloque </w:t>
            </w:r>
            <w:r>
              <w:rPr>
                <w:i/>
              </w:rPr>
              <w:t xml:space="preserve">Responsables</w:t>
            </w:r>
            <w:r>
              <w:t xml:space="preserve"> de la ficha).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Lite frente a Enterprise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Lite puede omitir los campos marcados </w:t>
            </w:r>
            <w:r>
              <w:rPr>
                <w:b/>
              </w:rPr>
              <w:t xml:space="preserve">(Enterprise)</w:t>
            </w:r>
            <w:r>
              <w:t xml:space="preserve">. En Lite el auditor de IA interviene por muestreo, pero debe estar identificado quién lo haría.</w:t>
            </w:r>
          </w:p>
        </w:tc>
      </w:tr>
    </w:tbl>
    <w:p>
      <w:pPr>
        <w:pStyle w:val="Espacio"/>
      </w:pPr>
    </w:p>
    <w:p>
      <w:r>
        <w:t xml:space="preserve">Reglas de cumplimentación:</w:t>
      </w:r>
    </w:p>
    <w:p>
      <w:pPr>
        <w:pStyle w:val="Lista"/>
      </w:pPr>
      <w:r>
        <w:t xml:space="preserve">• Nadie aprueba su propio trabajo y quien construye no controla (01 §8).</w:t>
      </w:r>
    </w:p>
    <w:p>
      <w:pPr>
        <w:pStyle w:val="Lista"/>
      </w:pPr>
      <w:r>
        <w:t xml:space="preserve">• Una persona puede asumir más de un rol solo si la tabla de incompatibilidades lo permite (01 §8.2).</w:t>
      </w:r>
    </w:p>
    <w:p>
      <w:pPr>
        <w:pStyle w:val="Lista"/>
      </w:pPr>
      <w:r>
        <w:t xml:space="preserve">• Cada persona acepta expresamente su rol, con fecha.</w:t>
      </w:r>
    </w:p>
    <w:p>
      <w:pPr>
        <w:pStyle w:val="Separador"/>
      </w:pPr>
    </w:p>
    <w:p>
      <w:pPr>
        <w:pStyle w:val="Heading1"/>
      </w:pPr>
      <w:r>
        <w:t xml:space="preserve">2. Identificación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Código de la iniciativa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IA-AAAA-NNN.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Nombre de la iniciativa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Intensidad aplicable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Lite · Enterprise (P04). Si cambia, se revisa este registro.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Nivel de ambición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Optimizar · Aumentar · Transformar. En Transformar interviene el consejo en G2 y G7.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Versión del documento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Fecha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DD-MM-AAAA.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Autor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Nombre y rol.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3. Roles de la iniciativa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rPr>
          <w:tblHeader/>
        </w:trPr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Rol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Función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Persona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Cargo y unidad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Dedicación prevista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 de aceptación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Sustituto </w:t>
            </w:r>
            <w:r>
              <w:rPr>
                <w:b/>
              </w:rPr>
              <w:t xml:space="preserve">(Enterprise)</w:t>
            </w:r>
          </w:p>
        </w:tc>
      </w:tr>
      <w:tr>
        <w:tc>
          <w:tcPr>
            <w:tcW w:w="1377" w:type="dxa"/>
          </w:tcPr>
          <w:p>
            <w:pPr>
              <w:pStyle w:val="Celda"/>
            </w:pPr>
            <w:r>
              <w:t xml:space="preserve">Patrocinador de IA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Decide</w:t>
            </w: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</w:tr>
      <w:tr>
        <w:tc>
          <w:tcPr>
            <w:tcW w:w="1377" w:type="dxa"/>
          </w:tcPr>
          <w:p>
            <w:pPr>
              <w:pStyle w:val="Celda"/>
            </w:pPr>
            <w:r>
              <w:t xml:space="preserve">Responsable de producto de IA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Construye</w:t>
            </w: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</w:tr>
      <w:tr>
        <w:tc>
          <w:tcPr>
            <w:tcW w:w="1377" w:type="dxa"/>
          </w:tcPr>
          <w:p>
            <w:pPr>
              <w:pStyle w:val="Celda"/>
            </w:pPr>
            <w:r>
              <w:t xml:space="preserve">Responsable técnico de IA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Construye</w:t>
            </w: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</w:tr>
      <w:tr>
        <w:tc>
          <w:tcPr>
            <w:tcW w:w="1377" w:type="dxa"/>
          </w:tcPr>
          <w:p>
            <w:pPr>
              <w:pStyle w:val="Celda"/>
            </w:pPr>
            <w:r>
              <w:t xml:space="preserve">Responsable de operación de IA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Construye</w:t>
            </w: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</w:tr>
      <w:tr>
        <w:tc>
          <w:tcPr>
            <w:tcW w:w="1377" w:type="dxa"/>
          </w:tcPr>
          <w:p>
            <w:pPr>
              <w:pStyle w:val="Celda"/>
            </w:pPr>
            <w:r>
              <w:t xml:space="preserve">Responsable de riesgos de IA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Controla</w:t>
            </w: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</w:tr>
      <w:tr>
        <w:tc>
          <w:tcPr>
            <w:tcW w:w="1377" w:type="dxa"/>
          </w:tcPr>
          <w:p>
            <w:pPr>
              <w:pStyle w:val="Celda"/>
            </w:pPr>
            <w:r>
              <w:t xml:space="preserve">Auditor de IA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Controla</w:t>
            </w: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</w:tr>
      <w:tr>
        <w:tc>
          <w:tcPr>
            <w:tcW w:w="1377" w:type="dxa"/>
          </w:tcPr>
          <w:p>
            <w:pPr>
              <w:pStyle w:val="Celda"/>
            </w:pPr>
            <w:r>
              <w:rPr>
                <w:i/>
              </w:rPr>
              <w:t xml:space="preserve">(ejemplo ilustrativo)</w:t>
            </w:r>
            <w:r>
              <w:t xml:space="preserve"> Responsable de producto de IA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Construye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Persona A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Responsable de experiencia de cliente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30 %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02-10-2026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Persona B</w:t>
            </w:r>
          </w:p>
        </w:tc>
      </w:tr>
    </w:tbl>
    <w:p>
      <w:pPr>
        <w:pStyle w:val="Espacio"/>
      </w:pPr>
    </w:p>
    <w:p>
      <w:r>
        <w:t xml:space="preserve">Guía de la dedicación: porcentaje de jornada o días al mes durante la fase en curso. Si un rol se asignará más adelante, indicar la fase en la que se designará.</w:t>
      </w:r>
    </w:p>
    <w:p>
      <w:pPr>
        <w:pStyle w:val="Separador"/>
      </w:pPr>
    </w:p>
    <w:p>
      <w:pPr>
        <w:pStyle w:val="Heading1"/>
      </w:pPr>
      <w:r>
        <w:t xml:space="preserve">4. Comprobación de incompatibilidades</w:t>
      </w:r>
    </w:p>
    <w:p>
      <w:r>
        <w:t xml:space="preserve">Marque si la misma persona asume ambos roles. Cualquier "Sí" en una combinación incompatible impide superar G0.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2410"/>
        <w:gridCol w:w="2410"/>
        <w:gridCol w:w="2410"/>
        <w:gridCol w:w="2410"/>
      </w:tblGrid>
      <w:tr>
        <w:trPr>
          <w:tblHeader/>
        </w:trPr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Combinación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Regla (01 §8.2)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¿Misma persona?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Resultado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Patrocinador y responsable de producto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Compatible solo en Lite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Sí · No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Compatible · Incompatible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Patrocinador y responsable técnico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Compatible solo en Lite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Patrocinador y responsable de operación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Compatible solo en Lite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Patrocinador y responsable de riesgos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Incompatible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Patrocinador y auditor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Incompatible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Producto, técnico u operación entre sí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Compatible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Producto, técnico u operación y responsable de riesgos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Incompatible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Producto, técnico u operación y auditor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Incompatible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Responsable de riesgos y auditor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Incompatible en Enterprise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r>
        <w:t xml:space="preserve">Comprobaciones de independencia: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Comprobación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Respuesta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El auditor de IA no depende jerárquicamente del patrocinador.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Sí · No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Indicar la línea jerárquica del auditor.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El auditor de IA no participa en el diseño, construcción u operación.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Sí · No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El responsable de riesgos no forma parte del equipo que construye.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Sí · No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Si el responsable de riesgos elabora evidencias de la fase 3 (P11, P12, P13), la verificación de G3 en Lite la realiza otra persona.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Sí · No · No aplica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Evita que el responsable de riesgos verifique su propio trabajo (01 §7.4, regla 1).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5. Verificación y decisión por </w:t>
      </w:r>
      <w:r>
        <w:rPr>
          <w:i/>
        </w:rPr>
        <w:t xml:space="preserve">gate</w:t>
      </w:r>
    </w:p>
    <w:p>
      <w:r>
        <w:t xml:space="preserve">Referencia: 01 §7.5. Indique la persona u órgano concreto que actuará en cada puerta.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2410"/>
        <w:gridCol w:w="2410"/>
        <w:gridCol w:w="2410"/>
        <w:gridCol w:w="2410"/>
      </w:tblGrid>
      <w:tr>
        <w:trPr>
          <w:tblHeader/>
        </w:trPr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Puerta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Verifica (Lite · Enterprise)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Decide (Lite · Enterprise)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Designación concreta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G0 · Autorización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Oficina de IA · Auditor de IA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Patrocinador · Comité de IA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G1 · Oportunidad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Oficina de IA · Auditor de IA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Patrocinador · Patrocinador, informando al comité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G2 · Hipótesis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Oficina de IA · Auditor de IA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Patrocinador · Comité de IA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G3 · Viabilidad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Responsable de riesgos · Auditor de IA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Patrocinador con conformidad de riesgos · Comité de IA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G4 · Diseño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Oficina de IA · Auditor de IA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Responsable técnico con conformidad de riesgos · Comité de IA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G5 · Puesta en producción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Responsable de riesgos · Auditor de IA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Patrocinador con conformidad de riesgos · Comité de IA tras firma multinivel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R6 · Continuidad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Oficina de IA · Auditor de IA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Patrocinador · Comité de IA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G7 · Escalado o retirada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Oficina de IA · Auditor de IA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Patrocinador · Comité de IA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r>
        <w:t xml:space="preserve">En iniciativas de </w:t>
      </w:r>
      <w:r>
        <w:rPr>
          <w:b/>
        </w:rPr>
        <w:t xml:space="preserve">Transformar</w:t>
      </w:r>
      <w:r>
        <w:t xml:space="preserve">, además, el consejo o su comisión delegada aprueba en G2 y en G7 cuando se decide escalar.</w:t>
      </w:r>
    </w:p>
    <w:p>
      <w:r>
        <w:rPr>
          <w:b/>
        </w:rPr>
        <w:t xml:space="preserve">Firmantes de la puesta en producción (Enterprise)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4819"/>
        <w:gridCol w:w="4819"/>
      </w:tblGrid>
      <w:tr>
        <w:trPr>
          <w:tblHeader/>
        </w:trPr>
        <w:tc>
          <w:tcPr>
            <w:tcW w:w="4819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Firma con capacidad de veto</w:t>
            </w:r>
          </w:p>
        </w:tc>
        <w:tc>
          <w:tcPr>
            <w:tcW w:w="4819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Persona y cargo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Responsable técnico</w:t>
            </w:r>
          </w:p>
        </w:tc>
        <w:tc>
          <w:tcPr>
            <w:tcW w:w="4819" w:type="dxa"/>
          </w:tcPr>
          <w:p>
            <w:pPr>
              <w:pStyle w:val="Celda"/>
            </w:pP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Riesgos y cumplimiento</w:t>
            </w:r>
          </w:p>
        </w:tc>
        <w:tc>
          <w:tcPr>
            <w:tcW w:w="4819" w:type="dxa"/>
          </w:tcPr>
          <w:p>
            <w:pPr>
              <w:pStyle w:val="Celda"/>
            </w:pP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Seguridad de la información</w:t>
            </w:r>
          </w:p>
        </w:tc>
        <w:tc>
          <w:tcPr>
            <w:tcW w:w="4819" w:type="dxa"/>
          </w:tcPr>
          <w:p>
            <w:pPr>
              <w:pStyle w:val="Celda"/>
            </w:pP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Protección de datos</w:t>
            </w:r>
          </w:p>
        </w:tc>
        <w:tc>
          <w:tcPr>
            <w:tcW w:w="4819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6. Participantes consultados e informados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2410"/>
        <w:gridCol w:w="2410"/>
        <w:gridCol w:w="2410"/>
        <w:gridCol w:w="2410"/>
      </w:tblGrid>
      <w:tr>
        <w:trPr>
          <w:tblHeader/>
        </w:trPr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Función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Persona y cargo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Momento de intervención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Tipo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Delegado de protección de datos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Fases 0, 3, 4 y 5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Consultado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Seguridad de la información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Fases 3, 4 y 5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Consultado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Asesoría jurídica y cumplimiento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Fases 0 y 3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Consultado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Personas y organización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Fases 3, 4 y 7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Consultado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Control de gestión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Fases 2, 5, 6 y 7 (validación del valor)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Consultado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Representación de las personas trabajadoras </w:t>
            </w:r>
            <w:r>
              <w:rPr>
                <w:b/>
              </w:rPr>
              <w:t xml:space="preserve">(Enterprise)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Cuando proceda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Informado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Proveedores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Fases 3 a 6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Informado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7. Matriz de responsabilidades por fase </w:t>
      </w:r>
      <w:r>
        <w:rPr>
          <w:b/>
        </w:rPr>
        <w:t xml:space="preserve">(Enterprise)</w:t>
      </w:r>
    </w:p>
    <w:p>
      <w:r>
        <w:t xml:space="preserve">Se parte de 01 §8.4. Cualquier cambio respecto de la matriz de referencia debe justificarse y no puede romper la separación de funciones.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205"/>
        <w:gridCol w:w="1205"/>
        <w:gridCol w:w="1205"/>
        <w:gridCol w:w="1205"/>
        <w:gridCol w:w="1205"/>
        <w:gridCol w:w="1205"/>
        <w:gridCol w:w="1205"/>
        <w:gridCol w:w="1205"/>
      </w:tblGrid>
      <w:tr>
        <w:trPr>
          <w:tblHeader/>
        </w:trPr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Fase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Patrocinador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Producto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Técnico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Operación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Riesgos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Auditor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Cambio y justificación</w:t>
            </w:r>
          </w:p>
        </w:tc>
      </w:tr>
      <w:tr>
        <w:tc>
          <w:tcPr>
            <w:tcW w:w="1205" w:type="dxa"/>
          </w:tcPr>
          <w:p>
            <w:pPr>
              <w:pStyle w:val="Celda"/>
            </w:pPr>
            <w:r>
              <w:t xml:space="preserve">0 · Contexto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A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R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C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I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C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V</w:t>
            </w:r>
          </w:p>
        </w:tc>
        <w:tc>
          <w:tcPr>
            <w:tcW w:w="1205" w:type="dxa"/>
          </w:tcPr>
          <w:p>
            <w:pPr>
              <w:pStyle w:val="Celda"/>
            </w:pPr>
          </w:p>
        </w:tc>
      </w:tr>
      <w:tr>
        <w:tc>
          <w:tcPr>
            <w:tcW w:w="1205" w:type="dxa"/>
          </w:tcPr>
          <w:p>
            <w:pPr>
              <w:pStyle w:val="Celda"/>
            </w:pPr>
            <w:r>
              <w:t xml:space="preserve">1 · Descubrimiento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A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R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C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I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C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V</w:t>
            </w:r>
          </w:p>
        </w:tc>
        <w:tc>
          <w:tcPr>
            <w:tcW w:w="1205" w:type="dxa"/>
          </w:tcPr>
          <w:p>
            <w:pPr>
              <w:pStyle w:val="Celda"/>
            </w:pPr>
          </w:p>
        </w:tc>
      </w:tr>
      <w:tr>
        <w:tc>
          <w:tcPr>
            <w:tcW w:w="1205" w:type="dxa"/>
          </w:tcPr>
          <w:p>
            <w:pPr>
              <w:pStyle w:val="Celda"/>
            </w:pPr>
            <w:r>
              <w:t xml:space="preserve">2 · Hipótesis de valor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A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R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C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I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C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V</w:t>
            </w:r>
          </w:p>
        </w:tc>
        <w:tc>
          <w:tcPr>
            <w:tcW w:w="1205" w:type="dxa"/>
          </w:tcPr>
          <w:p>
            <w:pPr>
              <w:pStyle w:val="Celda"/>
            </w:pPr>
          </w:p>
        </w:tc>
      </w:tr>
      <w:tr>
        <w:tc>
          <w:tcPr>
            <w:tcW w:w="1205" w:type="dxa"/>
          </w:tcPr>
          <w:p>
            <w:pPr>
              <w:pStyle w:val="Celda"/>
            </w:pPr>
            <w:r>
              <w:t xml:space="preserve">3 · Viabilidad y riesgo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A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R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R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C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R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V</w:t>
            </w:r>
          </w:p>
        </w:tc>
        <w:tc>
          <w:tcPr>
            <w:tcW w:w="1205" w:type="dxa"/>
          </w:tcPr>
          <w:p>
            <w:pPr>
              <w:pStyle w:val="Celda"/>
            </w:pPr>
          </w:p>
        </w:tc>
      </w:tr>
      <w:tr>
        <w:tc>
          <w:tcPr>
            <w:tcW w:w="1205" w:type="dxa"/>
          </w:tcPr>
          <w:p>
            <w:pPr>
              <w:pStyle w:val="Celda"/>
            </w:pPr>
            <w:r>
              <w:t xml:space="preserve">4 · Diseño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I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C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A/R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C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C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V</w:t>
            </w:r>
          </w:p>
        </w:tc>
        <w:tc>
          <w:tcPr>
            <w:tcW w:w="1205" w:type="dxa"/>
          </w:tcPr>
          <w:p>
            <w:pPr>
              <w:pStyle w:val="Celda"/>
            </w:pPr>
          </w:p>
        </w:tc>
      </w:tr>
      <w:tr>
        <w:tc>
          <w:tcPr>
            <w:tcW w:w="1205" w:type="dxa"/>
          </w:tcPr>
          <w:p>
            <w:pPr>
              <w:pStyle w:val="Celda"/>
            </w:pPr>
            <w:r>
              <w:t xml:space="preserve">5 · Entrega y validación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I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A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R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C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C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V</w:t>
            </w:r>
          </w:p>
        </w:tc>
        <w:tc>
          <w:tcPr>
            <w:tcW w:w="1205" w:type="dxa"/>
          </w:tcPr>
          <w:p>
            <w:pPr>
              <w:pStyle w:val="Celda"/>
            </w:pPr>
          </w:p>
        </w:tc>
      </w:tr>
      <w:tr>
        <w:tc>
          <w:tcPr>
            <w:tcW w:w="1205" w:type="dxa"/>
          </w:tcPr>
          <w:p>
            <w:pPr>
              <w:pStyle w:val="Celda"/>
            </w:pPr>
            <w:r>
              <w:t xml:space="preserve">6 · Operación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I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C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C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A/R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C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V</w:t>
            </w:r>
          </w:p>
        </w:tc>
        <w:tc>
          <w:tcPr>
            <w:tcW w:w="1205" w:type="dxa"/>
          </w:tcPr>
          <w:p>
            <w:pPr>
              <w:pStyle w:val="Celda"/>
            </w:pPr>
          </w:p>
        </w:tc>
      </w:tr>
      <w:tr>
        <w:tc>
          <w:tcPr>
            <w:tcW w:w="1205" w:type="dxa"/>
          </w:tcPr>
          <w:p>
            <w:pPr>
              <w:pStyle w:val="Celda"/>
            </w:pPr>
            <w:r>
              <w:t xml:space="preserve">7 · Evolución o retirada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A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R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C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C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C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V</w:t>
            </w:r>
          </w:p>
        </w:tc>
        <w:tc>
          <w:tcPr>
            <w:tcW w:w="1205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r>
        <w:rPr>
          <w:b/>
        </w:rPr>
        <w:t xml:space="preserve">A</w:t>
      </w:r>
      <w:r>
        <w:t xml:space="preserve"> responde del resultado · </w:t>
      </w:r>
      <w:r>
        <w:rPr>
          <w:b/>
        </w:rPr>
        <w:t xml:space="preserve">R</w:t>
      </w:r>
      <w:r>
        <w:t xml:space="preserve"> realiza · </w:t>
      </w:r>
      <w:r>
        <w:rPr>
          <w:b/>
        </w:rPr>
        <w:t xml:space="preserve">C</w:t>
      </w:r>
      <w:r>
        <w:t xml:space="preserve"> consultado · </w:t>
      </w:r>
      <w:r>
        <w:rPr>
          <w:b/>
        </w:rPr>
        <w:t xml:space="preserve">I</w:t>
      </w:r>
      <w:r>
        <w:t xml:space="preserve"> informado · </w:t>
      </w:r>
      <w:r>
        <w:rPr>
          <w:b/>
        </w:rPr>
        <w:t xml:space="preserve">V</w:t>
      </w:r>
      <w:r>
        <w:t xml:space="preserve"> verifica.</w:t>
      </w:r>
    </w:p>
    <w:p>
      <w:pPr>
        <w:pStyle w:val="Separador"/>
      </w:pPr>
    </w:p>
    <w:p>
      <w:pPr>
        <w:pStyle w:val="Heading1"/>
      </w:pPr>
      <w:r>
        <w:t xml:space="preserve">8. Declaración de conflictos de interés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Persona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Rol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¿Conflicto de interés?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Descripción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Medida adoptada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Sí · No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rPr>
                <w:i/>
              </w:rPr>
              <w:t xml:space="preserve">(ejemplo ilustrativo)</w:t>
            </w:r>
            <w:r>
              <w:t xml:space="preserve"> Persona C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Responsable de riesgos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Sí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Participó en la selección del proveedor en otra iniciativa.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Se abstiene en la conformidad de P14; la emite su sustituto.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9. Registro de cambios de asignación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blHeader/>
        </w:trPr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Rol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Persona anterior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Persona nueva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Motivo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Aprobado por</w:t>
            </w:r>
          </w:p>
        </w:tc>
      </w:tr>
      <w:tr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r>
        <w:t xml:space="preserve">Cada cambio genera un evento en el registro de iniciativas (03 §3.3).</w:t>
      </w:r>
    </w:p>
    <w:p>
      <w:pPr>
        <w:pStyle w:val="Separador"/>
      </w:pPr>
    </w:p>
    <w:p>
      <w:pPr>
        <w:pStyle w:val="Heading1"/>
      </w:pPr>
      <w:r>
        <w:t xml:space="preserve">10. Criterios de calidad</w:t>
      </w:r>
    </w:p>
    <w:p>
      <w:r>
        <w:t xml:space="preserve">Los criterios formales de G0 están en el documento 21 (ver criterios G0.xx).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#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Comprobación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Estado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1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Los seis roles están asignados o tienen fase prevista de designación.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Cumple · No cumple · No aplica · Pendiente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2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No hay combinaciones incompatibles según la intensidad aplicable.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3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El auditor de IA es independiente del equipo y del patrocinador.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4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Cada persona ha aceptado su rol con fecha.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5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Verificador y decisor de cada </w:t>
            </w:r>
            <w:r>
              <w:rPr>
                <w:i/>
              </w:rPr>
              <w:t xml:space="preserve">gate</w:t>
            </w:r>
            <w:r>
              <w:t xml:space="preserve"> están identificados.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6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En Enterprise, están identificados los firmantes de la puesta en producción.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7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Se han declarado los conflictos de interés.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11. Aprobación y verificación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Función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Rol en SEVEN-G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Nombre y cargo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Firma o referencia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Elabora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Responsable de producto de IA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Verifica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Oficina de IA (Lite) · Auditor de IA (Enterprise)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Decide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Patrocinador de IA (Lite) · Comité de IA (Enterprise), con G0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r>
        <w:t xml:space="preserve">Separación de funciones: nadie verifica un registro en el que figura con un rol incompatible con la verificación.</w:t>
      </w:r>
    </w:p>
    <w:p>
      <w:pPr>
        <w:pStyle w:val="Separador"/>
      </w:pPr>
    </w:p>
    <w:p>
      <w:pPr>
        <w:pStyle w:val="Heading1"/>
      </w:pPr>
      <w:r>
        <w:t xml:space="preserve">12. Control de versiones</w:t>
      </w:r>
    </w:p>
    <w:p>
      <w:r>
        <w:rPr>
          <w:b/>
        </w:rPr>
        <w:t xml:space="preserve">Documento cumplimentado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2410"/>
        <w:gridCol w:w="2410"/>
        <w:gridCol w:w="2410"/>
        <w:gridCol w:w="2410"/>
      </w:tblGrid>
      <w:tr>
        <w:trPr>
          <w:tblHeader/>
        </w:trPr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Versión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Autor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Cambios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r>
        <w:rPr>
          <w:b/>
        </w:rPr>
        <w:t xml:space="preserve">Plantilla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Versión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Cambios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0.1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16-09-2026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Primera versión. Traslada a formato de registro los roles, incompatibilidades, reparto de verificación y decisión y responsabilidades por fase de 01 §7.5 y §8.</w:t>
            </w:r>
          </w:p>
        </w:tc>
      </w:tr>
    </w:tbl>
    <w:p>
      <w:pPr>
        <w:pStyle w:val="Espacio"/>
      </w:pPr>
    </w:p>
    <w:sectPr>
      <w:footerReference w:type="default" r:id="rId2"/>
      <w:pgSz w:w="11906" w:h="16838"/>
      <w:pgMar w:top="1134" w:right="1134" w:bottom="1134" w:left="1134" w:header="567" w:footer="567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pStyle w:val="Pie"/>
    </w:pPr>
    <w:r>
      <w:t xml:space="preserve">SEVEN-G · Plantilla P03 · Registro de asignación de roles · CC BY 4.0 · Fernando García · SEACHAD · Generada desde la fuente Markdown: no edite la plantilla, rellene una copia.</w:t>
    </w:r>
    <w:r>
      <w:rPr>
        <w:color w:val="66605C"/>
        <w:sz w:val="15"/>
      </w:rPr>
      <w:t xml:space="preserve"> · </w:t>
    </w:r>
    <w:r>
      <w:rPr>
        <w:sz w:val="15"/>
      </w:rPr>
      <w:fldChar w:fldCharType="begin"/>
    </w:r>
    <w:r>
      <w:rPr>
        <w:sz w:val="15"/>
      </w:rPr>
      <w:instrText xml:space="preserve"> PAGE </w:instrText>
    </w:r>
    <w:r>
      <w:rPr>
        <w:sz w:val="15"/>
      </w:rPr>
      <w:fldChar w:fldCharType="separate"/>
    </w:r>
    <w:r>
      <w:rPr>
        <w:sz w:val="15"/>
      </w:rPr>
      <w:t>1</w:t>
    </w:r>
    <w:r>
      <w:rPr>
        <w:sz w:val="15"/>
      </w:rPr>
      <w:fldChar w:fldCharType="end"/>
    </w:r>
  </w:p>
</w:ftr>
</file>

<file path=word/styles.xml><?xml version="1.0" encoding="utf-8"?>
<w:styles xmlns:w="http://schemas.openxmlformats.org/wordprocessingml/2006/main">
  <w:docDefaults>
    <w:rPrDefault>
      <w:rPr>
        <w:rFonts w:ascii="Georgia" w:hAnsi="Georgia" w:eastAsia="Georgia" w:cs="Georgia"/>
        <w:color w:val="1A1817"/>
        <w:sz w:val="20"/>
        <w:szCs w:val="20"/>
        <w:lang w:val="es-ES"/>
      </w:rPr>
    </w:rPrDefault>
    <w:pPrDefault>
      <w:pPr>
        <w:spacing w:after="120" w:line="264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next w:val="Normal"/>
    <w:qFormat/>
    <w:pPr>
      <w:spacing w:after="160"/>
    </w:pPr>
    <w:rPr>
      <w:b/>
      <w:color w:val="1A1817"/>
      <w:sz w:val="40"/>
    </w:rPr>
  </w:style>
  <w:style w:type="paragraph" w:styleId="Heading1">
    <w:name w:val="heading 1"/>
    <w:basedOn w:val="Normal"/>
    <w:next w:val="Normal"/>
    <w:qFormat/>
    <w:pPr>
      <w:keepNext/>
      <w:pBdr>
        <w:top w:val="single" w:sz="12" w:space="4" w:color="990F3D"/>
      </w:pBdr>
      <w:spacing w:before="360" w:after="120"/>
      <w:outlineLvl w:val="0"/>
    </w:pPr>
    <w:rPr>
      <w:b/>
      <w:color w:val="990F3D"/>
      <w:sz w:val="28"/>
    </w:rPr>
  </w:style>
  <w:style w:type="paragraph" w:styleId="Heading2">
    <w:name w:val="heading 2"/>
    <w:basedOn w:val="Normal"/>
    <w:next w:val="Normal"/>
    <w:qFormat/>
    <w:pPr>
      <w:keepNext/>
      <w:spacing w:before="240" w:after="80"/>
      <w:outlineLvl w:val="1"/>
    </w:pPr>
    <w:rPr>
      <w:b/>
      <w:color w:val="0D7680"/>
      <w:sz w:val="24"/>
    </w:rPr>
  </w:style>
  <w:style w:type="paragraph" w:styleId="Heading3">
    <w:name w:val="heading 3"/>
    <w:basedOn w:val="Normal"/>
    <w:next w:val="Normal"/>
    <w:qFormat/>
    <w:pPr>
      <w:keepNext/>
      <w:spacing w:before="200" w:after="60"/>
      <w:outlineLvl w:val="2"/>
    </w:pPr>
    <w:rPr>
      <w:b/>
      <w:sz w:val="21"/>
    </w:rPr>
  </w:style>
  <w:style w:type="paragraph" w:styleId="Cita">
    <w:name w:val="Cita SEVEN-G"/>
    <w:basedOn w:val="Normal"/>
    <w:pPr>
      <w:pBdr>
        <w:left w:val="single" w:sz="18" w:space="8" w:color="990F3D"/>
      </w:pBdr>
      <w:shd w:val="clear" w:color="auto" w:fill="FFF1E5"/>
      <w:ind w:left="240" w:right="120"/>
      <w:spacing w:before="120" w:after="160"/>
    </w:pPr>
    <w:rPr>
      <w:sz w:val="17"/>
    </w:rPr>
  </w:style>
  <w:style w:type="paragraph" w:styleId="Celda">
    <w:name w:val="Celda"/>
    <w:basedOn w:val="Normal"/>
    <w:pPr>
      <w:spacing w:before="20" w:after="20" w:line="240" w:lineRule="auto"/>
    </w:pPr>
    <w:rPr>
      <w:sz w:val="17"/>
    </w:rPr>
  </w:style>
  <w:style w:type="paragraph" w:styleId="Lista">
    <w:name w:val="Lista SEVEN-G"/>
    <w:basedOn w:val="Normal"/>
    <w:pPr>
      <w:ind w:left="360" w:hanging="240"/>
      <w:spacing w:after="60"/>
    </w:pPr>
  </w:style>
  <w:style w:type="paragraph" w:styleId="Lista2">
    <w:name w:val="Lista SEVEN-G 2"/>
    <w:basedOn w:val="Lista"/>
    <w:pPr>
      <w:ind w:left="720" w:hanging="240"/>
    </w:pPr>
  </w:style>
  <w:style w:type="paragraph" w:styleId="Separador">
    <w:name w:val="Separador"/>
    <w:basedOn w:val="Normal"/>
    <w:pPr>
      <w:pBdr>
        <w:bottom w:val="single" w:sz="4" w:space="1" w:color="CCC1B7"/>
      </w:pBdr>
      <w:spacing w:after="120"/>
    </w:pPr>
  </w:style>
  <w:style w:type="paragraph" w:styleId="Espacio">
    <w:name w:val="Espacio"/>
    <w:basedOn w:val="Normal"/>
    <w:pPr>
      <w:spacing w:after="60" w:line="120" w:lineRule="exact"/>
    </w:pPr>
  </w:style>
  <w:style w:type="paragraph" w:styleId="Pie">
    <w:name w:val="footer"/>
    <w:basedOn w:val="Normal"/>
    <w:rPr>
      <w:color w:val="66605C"/>
      <w:sz w:val="15"/>
    </w:rPr>
  </w:style>
  <w:style w:type="table" w:styleId="TablaSG">
    <w:name w:val="Tabla SEVEN-G"/>
    <w:tblPr>
      <w:tblBorders>
        <w:top w:val="single" w:sz="4" w:space="0" w:color="CCC1B7"/>
        <w:left w:val="single" w:sz="4" w:space="0" w:color="CCC1B7"/>
        <w:bottom w:val="single" w:sz="4" w:space="0" w:color="CCC1B7"/>
        <w:right w:val="single" w:sz="4" w:space="0" w:color="CCC1B7"/>
        <w:insideH w:val="single" w:sz="4" w:space="0" w:color="CCC1B7"/>
        <w:insideV w:val="single" w:sz="4" w:space="0" w:color="CCC1B7"/>
      </w:tblBorders>
      <w:tblCellMar>
        <w:top w:w="40" w:type="dxa"/>
        <w:left w:w="80" w:type="dxa"/>
        <w:bottom w:w="40" w:type="dxa"/>
        <w:right w:w="80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SEVEN-G docx.ps1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P03 · Registro de asignación de roles</dc:title>
  <dc:creator>Fernando García · SEACHAD</dc:creator>
  <dc:language>es</dc:language>
  <dc:description>sha256:1efd20cf6a89602c51afbb31f9e41b69d2fefcbeae8ff882ac2a3e091242984f</dc:description>
  <cp:keywords>SEVEN-G</cp:keywords>
</cp:coreProperties>
</file>