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Lienzo de hipótesis de valor</w:t>
      </w:r>
    </w:p>
    <w:p>
      <w:r>
        <w:rPr>
          <w:b/>
        </w:rPr>
        <w:t xml:space="preserve">Formula el valor esperado de la iniciativa como una hipótesis falsable, medible y expresada en dinero, con su método de atribución y sus criterios de parada fijados antes de invertir.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P08 · Lienzo de hipótesis de valor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2 (Hipótesis de valor), antes de G2. Se contrasta con los resultados del piloto en la fase 5 (P22) y con el valor realizado en las fases 6 y 7 (P28).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IA. Control de gestión revisa los valores unitarios y la fórmula.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patrocinador. Enterprise: comité de IA. Transformar: además, el consejo o su comisión delegada.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G2 · Hipótesis.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T11 · Lienzo y calculadora de hipótesis de valor.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La hipótesis, la métrica principal, la línea base, el umbral, el método de atribución, la fórmula y los criterios de parada son obligatorios en ambas.</w:t>
            </w:r>
          </w:p>
        </w:tc>
      </w:tr>
    </w:tbl>
    <w:p>
      <w:pPr>
        <w:pStyle w:val="Espacio"/>
      </w:pPr>
    </w:p>
    <w:p>
      <w:r>
        <w:t xml:space="preserve">Reglas que se aplican (00 §6):</w:t>
      </w:r>
    </w:p>
    <w:p>
      <w:pPr>
        <w:pStyle w:val="Lista"/>
      </w:pPr>
      <w:r>
        <w:t xml:space="preserve">• Todo importe tiene </w:t>
      </w:r>
      <w:r>
        <w:rPr>
          <w:b/>
        </w:rPr>
        <w:t xml:space="preserve">fórmula</w:t>
      </w:r>
      <w:r>
        <w:t xml:space="preserve"> (unidades × valor unitario), es </w:t>
      </w:r>
      <w:r>
        <w:rPr>
          <w:b/>
        </w:rPr>
        <w:t xml:space="preserve">incremental</w:t>
      </w:r>
      <w:r>
        <w:t xml:space="preserve"> frente a la línea base y tiene </w:t>
      </w:r>
      <w:r>
        <w:rPr>
          <w:b/>
        </w:rPr>
        <w:t xml:space="preserve">estado</w:t>
      </w:r>
      <w:r>
        <w:t xml:space="preserve">: validado, declarado o estimado.</w:t>
      </w:r>
    </w:p>
    <w:p>
      <w:pPr>
        <w:pStyle w:val="Lista"/>
      </w:pPr>
      <w:r>
        <w:t xml:space="preserve">• Se separan </w:t>
      </w:r>
      <w:r>
        <w:rPr>
          <w:b/>
        </w:rPr>
        <w:t xml:space="preserve">eficiencias</w:t>
      </w:r>
      <w:r>
        <w:t xml:space="preserve">, </w:t>
      </w:r>
      <w:r>
        <w:rPr>
          <w:b/>
        </w:rPr>
        <w:t xml:space="preserve">retorno</w:t>
      </w:r>
      <w:r>
        <w:t xml:space="preserve"> y </w:t>
      </w:r>
      <w:r>
        <w:rPr>
          <w:b/>
        </w:rPr>
        <w:t xml:space="preserve">coste recurrente</w:t>
      </w:r>
      <w:r>
        <w:t xml:space="preserve">. </w:t>
      </w:r>
      <w:r>
        <w:rPr>
          <w:b/>
        </w:rPr>
        <w:t xml:space="preserve">Valor neto anual = eficiencias + retorno − coste recurrente.</w:t>
      </w:r>
    </w:p>
    <w:p>
      <w:pPr>
        <w:pStyle w:val="Lista"/>
      </w:pPr>
      <w:r>
        <w:t xml:space="preserve">• La </w:t>
      </w:r>
      <w:r>
        <w:rPr>
          <w:b/>
        </w:rPr>
        <w:t xml:space="preserve">capacidad liberada no suma</w:t>
      </w:r>
      <w:r>
        <w:t xml:space="preserve"> hasta que se materializa o se reasigna de forma explícita.</w:t>
      </w:r>
    </w:p>
    <w:p>
      <w:pPr>
        <w:pStyle w:val="Lista"/>
      </w:pPr>
      <w:r>
        <w:t xml:space="preserve">• Cada euro se atribuye a </w:t>
      </w:r>
      <w:r>
        <w:rPr>
          <w:b/>
        </w:rPr>
        <w:t xml:space="preserve">un solo caso</w:t>
      </w:r>
      <w:r>
        <w:t xml:space="preserve">; si hay resultados compartidos, se declara el reparto.</w:t>
      </w:r>
    </w:p>
    <w:p>
      <w:pPr>
        <w:pStyle w:val="Lista"/>
      </w:pPr>
      <w:r>
        <w:t xml:space="preserve">• </w:t>
      </w:r>
      <w:r>
        <w:rPr>
          <w:b/>
        </w:rPr>
        <w:t xml:space="preserve">Una hipótesis que no puede fallar no es válida.</w:t>
      </w:r>
      <w:r>
        <w:t xml:space="preserve"> Los criterios de parada no pueden relajarse después sin aprobación del órgano que autorizó la iniciativa (01 §7.4).</w:t>
      </w:r>
    </w:p>
    <w:p>
      <w:r>
        <w:t xml:space="preserve">Las cifras de los ejemplos son </w:t>
      </w:r>
      <w:r>
        <w:rPr>
          <w:b/>
        </w:rPr>
        <w:t xml:space="preserve">ficticias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 confirmado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 (P07, columna Confirmada).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Taxonomía de 03 §3.3.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Problema, usuarios y solución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comprensible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es y para qué se usa (regla 10).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Problema u oportunidad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Situación actual con datos de la línea base (P09).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Usuarios y beneficiarios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usa el sistema y quién recibe el beneficio.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Solución propuesta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hará el sistema y qué seguirán haciendo las personas.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Supuestos críticos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Condiciones sin las cuales la hipótesis no se sostiene.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Hipótesis de valor falsable</w:t>
      </w:r>
    </w:p>
    <w:p>
      <w:r>
        <w:rPr>
          <w:b/>
        </w:rPr>
        <w:t xml:space="preserve">Formato:</w:t>
      </w:r>
      <w:r>
        <w:t xml:space="preserve"> </w:t>
      </w:r>
      <w:r>
        <w:rPr>
          <w:i/>
        </w:rPr>
        <w:t xml:space="preserve">Si</w:t>
      </w:r>
      <w:r>
        <w:t xml:space="preserve"> [intervención], </w:t>
      </w:r>
      <w:r>
        <w:rPr>
          <w:i/>
        </w:rPr>
        <w:t xml:space="preserve">entonces</w:t>
      </w:r>
      <w:r>
        <w:t xml:space="preserve"> [métrica principal] pasará de [línea base] a [objetivo] en [ámbito] en [plazo], medido con [método de atribución]. </w:t>
      </w:r>
      <w:r>
        <w:rPr>
          <w:i/>
        </w:rPr>
        <w:t xml:space="preserve">La hipótesis se considerará refutada si</w:t>
      </w:r>
      <w:r>
        <w:t xml:space="preserve"> [condición medible].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Enunciado de la hipótesis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sola frase con el formato anterior.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Condición de refutación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 concreto que demostraría que la hipótesis es falsa.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Horizonte de comprobación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o periodo en el que se comprobará.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Si se incorpora un asistente de respuesta a las consultas sobre pedidos del canal web, entonces la tasa de consultas resueltas sin intervención de un agente pasará del 0 % al 35 % en ese canal en seis meses desde el inicio del piloto, medido con grupo de control. La hipótesis se considerará refutada si la tasa es inferior al 20 % o si la satisfacción de los clientes atendidos cae más de 5 puntos respecto del grupo de control.</w:t>
      </w:r>
    </w:p>
    <w:p>
      <w:r>
        <w:t xml:space="preserve">Prueba de falsabilidad: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 · No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¿Existe un resultado posible que refutaría la hipótesis?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¿La métrica, el umbral, el ámbito y el plazo son numéricos o verificables?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¿La línea base está medida o su estimación está justificada (P09)?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Métricas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Definición y fórmula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Unidad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Línea base (P09)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de éxito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Principal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Secundaria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De salvaguarda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Principal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Tasa de resolución sin agente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Consultas cerradas sin traspaso ÷ consultas atendidas por el asistente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35 %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20 %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Semanal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De salvaguarda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Satisfacción del cliente atendido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Media de la encuesta posterior (0–100)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puntos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78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≥ 78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≥ 73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Semanal</w:t>
            </w:r>
          </w:p>
        </w:tc>
      </w:tr>
    </w:tbl>
    <w:p>
      <w:pPr>
        <w:pStyle w:val="Espacio"/>
      </w:pPr>
    </w:p>
    <w:p>
      <w:pPr>
        <w:pStyle w:val="Lista"/>
      </w:pPr>
      <w:r>
        <w:t xml:space="preserve">• </w:t>
      </w:r>
      <w:r>
        <w:rPr>
          <w:b/>
        </w:rPr>
        <w:t xml:space="preserve">Objetivo</w:t>
      </w:r>
      <w:r>
        <w:t xml:space="preserve">: resultado esperado.</w:t>
      </w:r>
    </w:p>
    <w:p>
      <w:pPr>
        <w:pStyle w:val="Lista"/>
      </w:pPr>
      <w:r>
        <w:t xml:space="preserve">• </w:t>
      </w:r>
      <w:r>
        <w:rPr>
          <w:b/>
        </w:rPr>
        <w:t xml:space="preserve">Umbral de éxito</w:t>
      </w:r>
      <w:r>
        <w:t xml:space="preserve">: mínimo para considerar validada la hipótesis.</w:t>
      </w:r>
    </w:p>
    <w:p>
      <w:pPr>
        <w:pStyle w:val="Lista"/>
      </w:pPr>
      <w:r>
        <w:t xml:space="preserve">• </w:t>
      </w:r>
      <w:r>
        <w:rPr>
          <w:b/>
        </w:rPr>
        <w:t xml:space="preserve">Métrica de salvaguarda</w:t>
      </w:r>
      <w:r>
        <w:t xml:space="preserve">: lo que no debe empeorar (calidad, satisfacción, errores, quejas, equidad).</w:t>
      </w:r>
    </w:p>
    <w:p>
      <w:pPr>
        <w:pStyle w:val="Separador"/>
      </w:pPr>
    </w:p>
    <w:p>
      <w:pPr>
        <w:pStyle w:val="Heading1"/>
      </w:pPr>
      <w:r>
        <w:t xml:space="preserve">6. Método de atribución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Grupo de control · Antes y después · Otro justificado. Se prefiere grupo de control siempre que sea posible.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Diseño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forman los grupos o periodos, tamaño y duración.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Amenazas a la validez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Estacionalidad, cambios simultáneos en el proceso, efecto novedad, selección de casos favorables.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Cómo se controlan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Medidas para neutralizar cada amenaza.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valida la medición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Control de gestión o auditoría (condición para el estado </w:t>
            </w:r>
            <w:r>
              <w:rPr>
                <w:i/>
              </w:rPr>
              <w:t xml:space="preserve">validado</w:t>
            </w:r>
            <w:r>
              <w:t xml:space="preserve">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Reparto con otras iniciativas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otra iniciativa contribuye al mismo resultado, porcentaje atribuido a cada una y criterio (regla 5).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Valor en dinero</w:t>
      </w:r>
    </w:p>
    <w:p>
      <w:pPr>
        <w:pStyle w:val="Heading2"/>
      </w:pPr>
      <w:r>
        <w:t xml:space="preserve">7.1 Importes anuales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Unidades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unitario (€) y fuente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anual (€)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del importe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Supuestos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Eficiencias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validado · declarado · estimado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Eficiencias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Horas de atención externa que se dejan de contratar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4.000 h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21,00 €/h (contrato vigente)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4.000 × 21,00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84.000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Reducción contractual acordada con el proveedor a partir del segundo trimestre.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Retorno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Pedidos no cancelados por respuesta inmediata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1.200 pedidos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9,00 € de margen por pedido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1.200 × 9,00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10.800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Tasa de cancelación del grupo de control.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Coste recurrente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Consumo de modelos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200.000 consultas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0,03 € por consulta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200.000 × 0,03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6.000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Tarifa pública del proveedor.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Coste recurrente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Licencias de la plataforma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12.000 € anuales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 × 12.000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12.000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Oferta recibida.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Coste recurrente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Personas de operación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0,3 FTE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55.000 € por FTE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0,3 × 55.000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16.500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Coste medio de la función.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7.2 Resumen económico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(€)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Eficiencias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Suma de 7.1.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Suma de 7.1.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Suma de 7.1.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Valor neto anual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 + retorno − coste recurrente.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Inversión adicional necesaria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Construcción, integración, adopción y control hasta producción.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Neto adicional por euro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Neto anual adicional esperado ÷ inversión adicional necesaria.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hasta el primer 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Meses.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Horizonte de retorno fijado en C2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 en el que el neto debe ser positivo.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84.000 + 10.800 − 34.500 = </w:t>
      </w:r>
      <w:r>
        <w:rPr>
          <w:b/>
        </w:rPr>
        <w:t xml:space="preserve">60.300 €</w:t>
      </w:r>
      <w:r>
        <w:t xml:space="preserve"> de valor neto anual. Con una inversión adicional de 90.000 €, el neto adicional por euro es 60.300 ÷ 90.000 = </w:t>
      </w:r>
      <w:r>
        <w:rPr>
          <w:b/>
        </w:rPr>
        <w:t xml:space="preserve">0,67</w:t>
      </w:r>
      <w:r>
        <w:t xml:space="preserve">.</w:t>
      </w:r>
    </w:p>
    <w:p>
      <w:pPr>
        <w:pStyle w:val="Heading2"/>
      </w:pPr>
      <w:r>
        <w:t xml:space="preserve">7.3 Capacidad liberada (no suma)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Capacidad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Cantidad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 de materialización o reasignación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Materialización (menor coste real) · Reasignación explícita a otra actividad · Sin plan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Horas de agentes internos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2.500 h/año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Reasignación a gestión de incidencias complejas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Dirección de atención al cliente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Tercer trimestre</w:t>
            </w:r>
          </w:p>
        </w:tc>
      </w:tr>
    </w:tbl>
    <w:p>
      <w:pPr>
        <w:pStyle w:val="Espacio"/>
      </w:pPr>
    </w:p>
    <w:p>
      <w:r>
        <w:t xml:space="preserve">Solo cuando se materializa o se reasigna de forma verificable pasa a 7.1 como eficiencia.</w:t>
      </w:r>
    </w:p>
    <w:p>
      <w:pPr>
        <w:pStyle w:val="Heading2"/>
      </w:pPr>
      <w:r>
        <w:t xml:space="preserve">7.4 Valor no sumable y magnitudes no monetarias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¿Traducido a dinero?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 o motivo por el que no se ha podido cuantificar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Riesgo evitado · Cumplimiento · Otra magnitud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Riesgo evitado y cumplimiento no se suman al valor neto salvo que se traduzcan a dinero con fórmula (regla 7).</w:t>
      </w:r>
    </w:p>
    <w:p>
      <w:pPr>
        <w:pStyle w:val="Separador"/>
      </w:pPr>
    </w:p>
    <w:p>
      <w:pPr>
        <w:pStyle w:val="Heading1"/>
      </w:pPr>
      <w:r>
        <w:t xml:space="preserve">8. Criterios de parada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 y umbral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 de evaluación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si se activa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lo evalúa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Parar · Pivotar · Iterar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Resolución insuficiente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Tasa de resolución &lt; 20 % tras 8 semanas de piloto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Fin del piloto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Parar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Deterioro de la experiencia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Satisfacción &lt; 73 puntos dos semanas seguidas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Semanal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Suspender el piloto e Iterar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producto; decide el patrocinador</w:t>
            </w:r>
          </w:p>
        </w:tc>
      </w:tr>
    </w:tbl>
    <w:p>
      <w:pPr>
        <w:pStyle w:val="Espacio"/>
      </w:pPr>
    </w:p>
    <w:p>
      <w:r>
        <w:t xml:space="preserve">Deben incluir, como mínimo, un criterio sobre la métrica principal, uno sobre la salvaguarda y uno económico (coste o inversión máxima).</w:t>
      </w:r>
    </w:p>
    <w:p>
      <w:pPr>
        <w:pStyle w:val="Separador"/>
      </w:pPr>
    </w:p>
    <w:p>
      <w:pPr>
        <w:pStyle w:val="Heading1"/>
      </w:pPr>
      <w:r>
        <w:t xml:space="preserve">9. Solo para Transformar</w:t>
      </w:r>
    </w:p>
    <w:p>
      <w:pPr>
        <w:pStyle w:val="Heading2"/>
      </w:pPr>
      <w:r>
        <w:t xml:space="preserve">9.1 Hitos de aprendizaje y límite de inversión por etapa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Etapa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 de aprendizaje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esperada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 y umbral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máxima de la etapa (€)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acumulada máxima (€)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al cierre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Continuar · Pivotar · Parar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¿Pagarían los clientes profesionales por un servicio de previsión de roturas de stock?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Cartas de intención de clientes piloto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≥ 5 clientes con intención firmada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31-03-2027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60.000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60.000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Continuar si se alcanza; Parar si 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2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¿Se sostiene el uso pagado?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Contratos de prueba de pago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≥ 3 clientes renuevan tras 3 meses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30-09-2027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150.000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210.000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Continuar · Pivotar · Parar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Consejo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9.2 Aprobación de la apuesta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Hipótesis de retorno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ingresos, servicios o cambio de modelo operativo se esperan y cuándo.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Incertidumbres principales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 que todavía no se sabe y se resolverá con los hitos.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de opción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capacidad o posición gana la compañía aunque la apuesta no llegue a escalar. Se documenta para G3.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Límite total de inversión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Máximo autorizado antes de nueva decisión del consejo.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Decisión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Fecha, órgano y referencia del acta.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Comprobación por nivel de ambición en G2</w:t>
      </w:r>
    </w:p>
    <w:p>
      <w:r>
        <w:t xml:space="preserve">Referencia: 01 §7.6.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debe contener el lienzo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Cumple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Línea base de coste, tiempo o errores; ahorro esperado con fórmula.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aplica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Métricas de rendimiento y de coste; objetivo de adopción.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Hipótesis de retorno con hitos de aprendizaje; límite de inversión por etapa; aprobación del consejo.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Los criterios formales de G2 están en el documento 21 (ver criterios G2.xx).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hipótesis es falsable: tiene condición de refutación, umbral, ámbito y plazo.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línea base está medida o su estimación está justificada en P09.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una métrica principal y al menos una de salvaguarda.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método de atribución es explícito y controla las amenazas principales.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importe tiene fórmula, tipo y estado.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capacidad liberada figura aparte y no suma.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neto anual y neto adicional por euro están calculados.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criterios de parada existen y son anteriores a la inversión.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Transformar: hitos, límite por etapa, valor de opción y aprobación del consejo.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valores unitarios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Transformar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 o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no ha elaborado el lienzo; el patrocinador responde del valor, pero no verifica.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las reglas de medición de 00 §6, los criterios de G2 por nivel de ambición de 01 §7.6 y los parámetros de valor de la especificación común §5.7.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P08 · Lienzo de hipótesis de valor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P08 · Lienzo de hipótesis de valor</dc:title>
  <dc:creator>Fernando García · SEACHAD</dc:creator>
  <dc:language>es</dc:language>
  <dc:description>sha256:452f79d4b17351671df774bf58ad43cc5958898af666ca0cf8a38ff90484a505</dc:description>
  <cp:keywords>SEVEN-G</cp:keywords>
</cp:coreProperties>
</file>