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Diseño de seguridad (incluye agentes)</w:t>
      </w:r>
    </w:p>
    <w:p>
      <w:r>
        <w:rPr>
          <w:b/>
        </w:rPr>
        <w:t xml:space="preserve">Documenta las amenazas del sistema de IA y los controles diseñados, con especial atención a la identidad, los permisos y los límites de los agentes que actúan.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P18 · Diseño de seguridad (incluye agentes)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Fase 4 (diseño de controles). Las pruebas del bloque 11 se planifican en la fase 4 y se ejecutan en la fase 5, antes de G5. Se revisa en R6 y ante cambios de herramientas, permisos o modelo.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técnico de IA, con seguridad de la información.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Auditor de IA en Enterprise; oficina de IA en Lite, con revisión de seguridad de la información.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En qué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G4 (diseño) y G5 (pruebas superadas y firma de seguridad en P23).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Si el sistema no ejecuta acciones (A0 o A1 según P17), los bloques 5 a 9 pueden marcarse </w:t>
            </w:r>
            <w:r>
              <w:rPr>
                <w:i/>
              </w:rPr>
              <w:t xml:space="preserve">No aplica</w:t>
            </w:r>
            <w:r>
              <w:t xml:space="preserve"> con justificación; la identidad técnica (bloque 4) y el registro (bloque 10) se completan siempre.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T10 Evaluación de seguridad de agentes.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Relación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P15 Arquitectura · P16 Linaje · P17 Supervisión humana · P19 Reversión · P25 Monitorización · P26 Respuesta a incidentes · documento 35 (controles AG) · documento 36 (terceros).</w:t>
            </w:r>
          </w:p>
        </w:tc>
      </w:tr>
    </w:tbl>
    <w:p>
      <w:pPr>
        <w:pStyle w:val="Espacio"/>
      </w:pPr>
    </w:p>
    <w:p>
      <w:r>
        <w:t xml:space="preserve">Reglas:</w:t>
      </w:r>
    </w:p>
    <w:p>
      <w:pPr>
        <w:pStyle w:val="Lista"/>
      </w:pPr>
      <w:r>
        <w:t xml:space="preserve">• Los controles se referencian con los </w:t>
      </w:r>
      <w:r>
        <w:rPr>
          <w:b/>
        </w:rPr>
        <w:t xml:space="preserve">códigos AG del documento 35</w:t>
      </w:r>
      <w:r>
        <w:t xml:space="preserve">. No se crean códigos locales con ese formato; los controles propios de la compañía se referencian con su código interno.</w:t>
      </w:r>
    </w:p>
    <w:p>
      <w:pPr>
        <w:pStyle w:val="Lista"/>
      </w:pPr>
      <w:r>
        <w:t xml:space="preserve">• Los controles críticos de seguridad no admiten </w:t>
      </w:r>
      <w:r>
        <w:rPr>
          <w:b/>
        </w:rPr>
        <w:t xml:space="preserve">Continuar con condiciones</w:t>
      </w:r>
      <w:r>
        <w:t xml:space="preserve"> en el </w:t>
      </w:r>
      <w:r>
        <w:rPr>
          <w:i/>
        </w:rPr>
        <w:t xml:space="preserve">gate</w:t>
      </w:r>
      <w:r>
        <w:t xml:space="preserve"> (01 §7.3).</w:t>
      </w:r>
    </w:p>
    <w:p>
      <w:pPr>
        <w:pStyle w:val="Lista"/>
      </w:pPr>
      <w:r>
        <w:t xml:space="preserve">• El contenido que el sistema lee (documentos, correos, páginas web, respuestas de herramientas) es </w:t>
      </w:r>
      <w:r>
        <w:rPr>
          <w:b/>
        </w:rPr>
        <w:t xml:space="preserve">dato, no instrucción</w:t>
      </w:r>
      <w:r>
        <w:t xml:space="preserve">: el diseño debe impedir que ese contenido ordene acciones.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Sistema(s)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en el inventario (T02).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Tecnología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ML predictivo · IA generativa · Agente · Procesamiento de lenguaje y documentos · Visión · Optimización · IA de terceros embebida · Reglas (no es IA).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Exposición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Interna · Empleados · Clientes de forma indirecta · Clientes o personas externas de forma directa.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autonomía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A0 · A1 · A2 · A3 (P17).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nombre.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Presentado para verificación · Verificado · Aprobado · Sustituido.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Amenazas y controles</w:t>
      </w:r>
    </w:p>
    <w:p>
      <w:r>
        <w:rPr>
          <w:b/>
        </w:rPr>
        <w:t xml:space="preserve">Estado del control:</w:t>
      </w:r>
      <w:r>
        <w:t xml:space="preserve"> Diseñado · Implantado · Probado · Pendiente · No aplica.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Amenaza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¿Aplica? (Sí · No)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Control previsto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 (control AG del documento 35 o control interno)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Inyección de instrucciones directa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Inyección de instrucciones indirecta (a través de documentos, correos, web o herramientas)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Fuga de información en las respuestas o en los registros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Envenenamiento de datos de entrenamiento o de la base de conocimiento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Extracción o manipulación del modelo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Entradas diseñadas para engañar al modelo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Permisos excesivos del sistema o del agente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Acciones no autorizadas o fuera de la finalidad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Abuso de consumo y coste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Cadena de suministro (modelos, librerías, proveedores)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Falta de trazabilidad de acciones e intenciones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Suplantación o contenido sintético usado contra el proceso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Identidad del agente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Identidad técnica propia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agente tiene identidad propia, no compartida con personas ni con otros agentes.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Propietario responsable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Persona que responde de la identidad (normalmente, responsable de operación de IA).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Por cuenta de quién actúa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cuenta de un usuario concreto (delegación) · Por cuenta de la compañía (proceso). Si actúa por cuenta de un usuario, nunca con más permisos que ese usuario.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Gestión de credenciales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Almacén de secretos; sin credenciales en instrucciones ni en código; rotación.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Revocación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y en cuánto tiempo se revocan las credenciales; quién puede hacerlo.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Revisión periódica de la identidad y sus permisos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Frecuencia y responsable. Se registra en el inventario de identidades no humanas (P54).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Permisos mínimos</w:t>
      </w:r>
    </w:p>
    <w:p>
      <w:r>
        <w:rPr>
          <w:b/>
        </w:rPr>
        <w:t xml:space="preserve">Operación:</w:t>
      </w:r>
      <w:r>
        <w:t xml:space="preserve"> Lectura · Escritura · Borrado · Envío externo · Operación económica · Cambio de configuración.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Herramienta o sistema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Operación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Alcance concreto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Validación humana previa (Sí · No)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Sistema de gestión de pedidos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Lectura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Pedidos del cliente que inicia la conversación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Consultar estado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No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Sistema de gestión de pedidos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Escritura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Cambio de dirección de entrega antes del envío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Resolver solicitud frecuente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No, dentro de límites del bloque 7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Pasarela de devoluciones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Operación económica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Reembolsos de pedidos propios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Resolver devoluciones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Sí, por encima del límite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Todo permiso no listado está denegado.</w:t>
      </w:r>
    </w:p>
    <w:p>
      <w:pPr>
        <w:pStyle w:val="Separador"/>
      </w:pPr>
    </w:p>
    <w:p>
      <w:pPr>
        <w:pStyle w:val="Heading1"/>
      </w:pPr>
      <w:r>
        <w:t xml:space="preserve">6. Control de intención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Finalidades autorizadas del agente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Lista cerrada de tareas para las que puede actuar.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Registro de la intención por acción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acción registra la tarea o solicitud que la origina.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Comprobación de coherencia entre intención y acción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se bloquea una acción que no corresponde a la finalidad declarada (por ejemplo, un envío externo durante una consulta).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Tratamiento de instrucciones contenidas en datos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se separan instrucciones legítimas y contenido leído.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Acciones encadenadas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Límite de pasos y comprobación antes de cada acción con efecto externo.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Límites de actuación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Límite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Qué ocurre al alcanzarlo (Bloqueo · Validación humana · Alerta · Parada)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Importe máximo por acción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Importe acumulado por periodo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Número de acciones por periodo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Destinatarios o dominios permitidos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Sistemas y datos vedados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Coste de consumo máximo por periodo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Número máximo de pasos por tarea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Franja horaria de actuación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Validación humana de acciones sensibles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 sensible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de sensibilidad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Quién valida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Información que ve quien valida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Tiempo máximo de respuesta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 no hay respuesta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Reembolso superior al límite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Importe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Supervisor de atención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Pedido, motivo, historial y propuesta del agente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 horas laborables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Se cancela y se informa al cliente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Por defecto, una acción sensible sin validación </w:t>
      </w:r>
      <w:r>
        <w:rPr>
          <w:b/>
        </w:rPr>
        <w:t xml:space="preserve">se cancela</w:t>
      </w:r>
      <w:r>
        <w:t xml:space="preserve">; nunca se ejecuta por vencimiento del plazo. Debe ser coherente con el reparto de decisiones de P17.</w:t>
      </w:r>
    </w:p>
    <w:p>
      <w:pPr>
        <w:pStyle w:val="Separador"/>
      </w:pPr>
    </w:p>
    <w:p>
      <w:pPr>
        <w:pStyle w:val="Heading1"/>
      </w:pPr>
      <w:r>
        <w:t xml:space="preserve">9. Interruptor de parada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Mecanismo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se detiene el sistema (función, configuración, revocación de credenciales).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Quién puede activarlo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Roles, incluido al menos uno disponible fuera del horario laboral si el sistema opera continuamente.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detiene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Nuevas acciones, acciones en curso, colas pendientes.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Tiempo objetivo hasta la detención efectiva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Medido en la prueba del bloque 11.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seguro tras la parada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Proceso manual o modo degradado (P19).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Autorización para reactivar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distinto del que operaba el sistema cuando se activó por incidente.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Registro de acciones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Dato registrado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¿Se registra? (Sí · No)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Observaciones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y hora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Identidad del agente y versión de modelo e instrucciones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Usuario o proceso por cuenta del cual actúa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Intención o tarea de origen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Herramienta, operación y parámetros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Sin exponer datos sensibles innecesarios.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 de la acción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Validación humana (quién, cuándo, sentido)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Bloqueos por límites o por control de intención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Plazo de conservación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inferior al que exija la regulación aplicable (documento 34).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Protección frente a alteración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se garantiza la integridad del registro.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Acceso al registro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Quién puede consultarlo; el agente no puede modificarlo.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Pruebas de seguridad, incluida la inyección de instrucciones</w:t>
      </w:r>
    </w:p>
    <w:p>
      <w:r>
        <w:rPr>
          <w:b/>
        </w:rPr>
        <w:t xml:space="preserve">Tipo:</w:t>
      </w:r>
      <w:r>
        <w:t xml:space="preserve"> Inyección directa · Inyección indirecta · Fuga de información · Escalada de permisos · Evasión de límites · Abuso de consumo · Prueba del interruptor de parada · Otra. </w:t>
      </w:r>
      <w:r>
        <w:rPr>
          <w:b/>
        </w:rPr>
        <w:t xml:space="preserve">Resultado:</w:t>
      </w:r>
      <w:r>
        <w:t xml:space="preserve"> Superada · Superada con observaciones · No superada · Pendiente.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Prueba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Ejecutada por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Hallazgos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 y responsable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Documento con instrucciones ocultas que pide reenviar datos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Inyección indirecta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Equipo de seguridad ajeno al proyecto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Superada con observaciones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El agente no reenvió, pero citó la instrucción en su respuesta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Filtrar contenido citado · responsable técnico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Las pruebas deberían ejecutarlas personas ajenas al equipo que construye. Una prueba </w:t>
      </w:r>
      <w:r>
        <w:rPr>
          <w:i/>
        </w:rPr>
        <w:t xml:space="preserve">No superada</w:t>
      </w:r>
      <w:r>
        <w:t xml:space="preserve"> sobre un control crítico impide la firma de seguridad en P23. El plan y el informe de las campañas de pruebas adversarias se documentan en P53.</w:t>
      </w:r>
    </w:p>
    <w:p>
      <w:pPr>
        <w:pStyle w:val="Separador"/>
      </w:pPr>
    </w:p>
    <w:p>
      <w:pPr>
        <w:pStyle w:val="Heading1"/>
      </w:pPr>
      <w:r>
        <w:t xml:space="preserve">12. Criterios de calidad</w:t>
      </w:r>
    </w:p>
    <w:p>
      <w:r>
        <w:t xml:space="preserve">Criterios formales de G4 y G5 en el documento 21; controles de agentes en los controles AG del documento 35.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Todas las amenazas aplicables tienen control y responsable.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agente tiene identidad propia y revocable.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permisos se limitan a lo listado y están justificados.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Hay control de intención y límites con consecuencia definida.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acciones sensibles requieren validación humana y se cancelan sin ella.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interruptor de parada está probado y el tiempo medido cumple el objetivo.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registro de acciones permite reconstruir quién hizo qué, por qué y con qué resultado.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pruebas de inyección se han ejecutado antes de G5 y los hallazgos críticos están resueltos.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13.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Seguridad de la información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Conformidad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Decisor del </w:t>
            </w:r>
            <w:r>
              <w:rPr>
                <w:i/>
              </w:rPr>
              <w:t xml:space="preserve">gate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Según 01 §7.5 (registrado en P29)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seguridad de la información y el verificador no forman parte del equipo que construye.</w:t>
      </w:r>
    </w:p>
    <w:p>
      <w:pPr>
        <w:pStyle w:val="Separador"/>
      </w:pPr>
    </w:p>
    <w:p>
      <w:pPr>
        <w:pStyle w:val="Heading1"/>
      </w:pPr>
      <w:r>
        <w:t xml:space="preserve">14. Control de versiones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 de la plantilla.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P18 · Diseño de seguridad (incluye agentes)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P18 · Diseño de seguridad (incluye agentes)</dc:title>
  <dc:creator>Fernando García · SEACHAD</dc:creator>
  <dc:language>es</dc:language>
  <dc:description>sha256:4714ffed05385f5e2a32199bc0b40dbdc9d7dc1a010aeaa1c65a511016ed6e45</dc:description>
  <cp:keywords>SEVEN-G</cp:keywords>
</cp:coreProperties>
</file>