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Evaluación de impacto en derechos fundamentales</w:t>
      </w:r>
    </w:p>
    <w:p>
      <w:r>
        <w:rPr>
          <w:b/>
        </w:rPr>
        <w:t xml:space="preserve">Documenta la evaluación de impacto en derechos fundamentales que el Reglamento de IA exige a determinados responsables del despliegue de sistemas de alto riesgo antes del primer uso, y prepara su notificación a la autoridad de vigilancia del mercado.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P48 · Evaluación de impacto en derechos fundamentales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Cita"/>
      </w:pPr>
      <w:r>
        <w:rPr>
          <w:i/>
        </w:rPr>
        <w:t xml:space="preserve">Esta plantilla no constituye asesoramiento jurídico.</w:t>
      </w:r>
      <w:r>
        <w:t xml:space="preserve"> Referencias consultadas en septiembre de 2026; la obligación se aplica con el alto riesgo del anexo III (2-12-2027 tras el Reglamento (UE) 2026/1744). Verifíquese su vigencia (documento 34 §3.1 y §3.10).</w:t>
      </w: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Un sistema de alto riesgo que decide sobre el crédito, el seguro o el acceso a servicios públicos puede perjudicar a colectivos enteros sin que ningún indicador económico lo muestre. Esta evaluación obliga a describir, antes del primer uso, en qué procesos se usará el sistema, a quién afecta, qué perjuicios puede causar y qué hará la compañía si se materializan; sin ella el sistema no puede desplegarse legalmente en los supuestos obligados y el </w:t>
      </w:r>
      <w:r>
        <w:rPr>
          <w:i/>
        </w:rPr>
        <w:t xml:space="preserve">gate</w:t>
      </w:r>
      <w:r>
        <w:t xml:space="preserve"> G5 no puede superarse. Hecha desde el diseño, además, evita rediseños tardíos.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Se abre cuando P11 §9.2 concluye que la evaluación es </w:t>
            </w:r>
            <w:r>
              <w:rPr>
                <w:b/>
              </w:rPr>
              <w:t xml:space="preserve">Requerida</w:t>
            </w:r>
            <w:r>
              <w:t xml:space="preserve">, o </w:t>
            </w:r>
            <w:r>
              <w:rPr>
                <w:b/>
              </w:rPr>
              <w:t xml:space="preserve">Recomendada</w:t>
            </w:r>
            <w:r>
              <w:t xml:space="preserve"> y la compañía decide hacerla. Se elabora en la fase 3, se actualiza en la fase 4 con el diseño, se notifica antes de G5 y se revisa en la fase 5, en cada R6 y cuando cambie alguno de sus elementos (artículo 27.2).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 riesgos de IA, con la segunda línea (asesoría jurídica y cumplimiento) y el responsable de producto de IA (34 §3.10). El área de negocio que usará el sistema describe los procesos.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oficina de IA o auditor de IA. Enterprise: auditor de IA. En la práctica, los sistemas de alto riesgo son siempre Enterprise.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Comité de IA; la aceptación del riesgo residual, según P12 §6.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Gate o momento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G3 · Viabilidad (determinada e iniciada, G3.09); G4 · Diseño (completada y medidas en el diseño, G4.13); G5 · Puesta en producción (notificada, G5.15); R6 (vigente, R6.08).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T07 · Clasificador regulatorio (estado, fecha, enlace y fecha de notificación, 32 §3.5).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32 §6.2, 34 §3.10 y §8.2, documento 33 (escalas de riesgo), documento 50 §8 (decisiones sobre personas).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Cuando es obligatoria, todo su contenido es obligatorio. Toda iniciativa Enterprise con decisiones sobre personas </w:t>
            </w:r>
            <w:r>
              <w:rPr>
                <w:b/>
              </w:rPr>
              <w:t xml:space="preserve">debería</w:t>
            </w:r>
            <w:r>
              <w:t xml:space="preserve"> aplicar este contenido aunque no esté obligada (34 §3.10); en ese uso voluntario puede omitir la sección 10.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</w:t>
      </w:r>
      <w:r>
        <w:rPr>
          <w:b/>
        </w:rPr>
        <w:t xml:space="preserve">Una evaluación por sistema de alto riesgo y por uso.</w:t>
      </w:r>
      <w:r>
        <w:t xml:space="preserve"> Si el mismo sistema (SIA-AAAA-NNN) se usa en procesos distintos, se describen todos.</w:t>
      </w:r>
    </w:p>
    <w:p>
      <w:pPr>
        <w:pStyle w:val="Lista"/>
      </w:pPr>
      <w:r>
        <w:t xml:space="preserve">• La evaluación se centra en las </w:t>
      </w:r>
      <w:r>
        <w:rPr>
          <w:b/>
        </w:rPr>
        <w:t xml:space="preserve">personas y colectivos afectados</w:t>
      </w:r>
      <w:r>
        <w:t xml:space="preserve">, no en la compañía. Se apoya en la información que el proveedor facilita con las instrucciones de uso.</w:t>
      </w:r>
    </w:p>
    <w:p>
      <w:pPr>
        <w:pStyle w:val="Lista"/>
      </w:pPr>
      <w:r>
        <w:t xml:space="preserve">• </w:t>
      </w:r>
      <w:r>
        <w:rPr>
          <w:b/>
        </w:rPr>
        <w:t xml:space="preserve">Complementa, sin duplicar,</w:t>
      </w:r>
      <w:r>
        <w:t xml:space="preserve"> la evaluación de impacto en protección de datos (P47): lo que ya consta allí se referencia (sección 11).</w:t>
      </w:r>
    </w:p>
    <w:p>
      <w:pPr>
        <w:pStyle w:val="Lista"/>
      </w:pPr>
      <w:r>
        <w:t xml:space="preserve">• El Reglamento de IA prevé un cuestionario de la Oficina Europea de IA para la notificación: a fecha de consulta, la plantilla de la Oficina Europea de IA está pendiente de confirmar (34 §3.10). Cuando esté disponible, ese es el formato de notificación; </w:t>
      </w:r>
      <w:r>
        <w:rPr>
          <w:b/>
        </w:rPr>
        <w:t xml:space="preserve">esta plantilla de SEVEN-G no lo sustituye</w:t>
      </w:r>
      <w:r>
        <w:t xml:space="preserve">: sirve para preparar el contenido, integrarlo en el ciclo de la iniciativa y conservar la trazabilidad interna.</w:t>
      </w:r>
    </w:p>
    <w:p>
      <w:pPr>
        <w:pStyle w:val="Lista"/>
      </w:pPr>
      <w:r>
        <w:t xml:space="preserve">• Uso voluntario: puede apoyarse en ISO/IEC 42005:2025 (32 §6.2).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y nombre del sistema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SIA-AAAA-NNN de P05 (T02).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Proveedor del sistema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Interno o tercero (P14).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Finalidad prevista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Copiar de P05 y P11.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Clasificación y punto del anexo III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 P11 §6.2 (por ejemplo, 5.b o 5.c).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Rol de la compañía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Responsable del despliegue (y, en su caso, también proveedor).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Referencia a P11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Versión y fecha.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Referencia a P47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existe EIPD del mismo tratamiento.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Borrador · Presentada para verificación · Aprobada · Notificada · En revisión · Sustituida.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Aplicabilidad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Pregunta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Justificación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¿El sistema es de alto riesgo del artículo 6.2 (anexo III) y no del punto 2 (infraestructuras críticas)?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¿La compañía es organismo de Derecho público o entidad privada que presta servicios públicos?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¿El sistema está en el anexo III, punto 5, letra b) (solvencia o calificación crediticia) o letra c) (evaluación de riesgos y fijación de precios en seguros de vida y salud)?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Resultado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Obligatoria · Voluntaria · No aplica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Obligatoria si la primera respuesta es «Sí» y alguna de las otras dos también.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desde la que es exigible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 las obligaciones del anexo III. SEVEN-G recomienda realizarla desde el diseño (32 §6.2).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Procesos en los que se usará el sistema (artículo 27.1.a)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Procesos del responsable del despliegue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Descripción de cada proceso en lenguaje de negocio, conforme a la finalidad prevista.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Decisiones que apoya o toma el sistema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decide, qué recomienda y qué valida una persona (P17 §5).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autonomía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A0–A3.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Usos excluidos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Usos que no están permitidos aunque el sistema pueda hacerlos.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Periodo y frecuencia de uso (artículo 27.1.b)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prevista de primer uso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 de G5.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Periodo de uso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Indefinido con revisión en R6, o fecha de fin.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Frecuencia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Continua, diaria, por solicitud, por campaña.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Volumen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Decisiones o personas evaluadas por periodo (orden de magnitud).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Personas y colectivos afectados (artículo 27.1.c)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Categoría de personas o colectivo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Cómo les afecta el sistema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Volumen aproximado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¿Colectivo vulnerable?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Por edad, discapacidad, situación económica o social, u otras.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Solicitantes de préstamos personales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Su puntuación condiciona la aprobación y el precio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Unas 40.000 solicitudes al año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Sí: personas con historial crediticio corto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Riesgos específicos de perjuicio (artículo 27.1.d)</w:t>
      </w:r>
    </w:p>
    <w:p>
      <w:r>
        <w:t xml:space="preserve">Considere la información facilitada por el proveedor (instrucciones de uso) y valore con la </w:t>
      </w:r>
      <w:r>
        <w:rPr>
          <w:b/>
        </w:rPr>
        <w:t xml:space="preserve">escala común</w:t>
      </w:r>
      <w:r>
        <w:t xml:space="preserve"> (documento 33): </w:t>
      </w:r>
      <w:r>
        <w:rPr>
          <w:b/>
        </w:rPr>
        <w:t xml:space="preserve">Nivel = Probabilidad × Impacto</w:t>
      </w:r>
      <w:r>
        <w:t xml:space="preserve">; Bajo 1–4 · Medio 5–9 · Alto 10–15 · Crítico 16–25. El eje dominante será normalmente «Personas y derechos». Los riesgos de nivel Medio o superior se trasladan a P12.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rPr>
          <w:tblHeader/>
        </w:trPr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 de perjuicio (causa, evento y consecuencia)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Colectivo afectado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Derecho o interés afectado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 inh.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 inh.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inherente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Medidas (secciones 8 y 9)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residual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 en P12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t xml:space="preserve">F01</w:t>
            </w: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1–5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1–5</w:t>
            </w: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IA-AAAA-NNN · Rnn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t xml:space="preserve">F02</w:t>
            </w: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F01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Variables que actúan como sustitutas del origen o la edad hacen que un colectivo reciba peores puntuaciones y se le deniegue o encarezca el crédito.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Solicitantes con historial crediticio corto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No discriminación; acceso a servicios esenciales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12 Alto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Exclusión de variables sustitutas (P16); pruebas de sesgo antes del piloto y en producción (P22, P25); revisión humana de denegaciones (P17)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6 Medio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IA-2026-021 · R02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Medidas de supervisión humana (artículo 27.1.e)</w:t>
      </w:r>
    </w:p>
    <w:p>
      <w:r>
        <w:t xml:space="preserve">Según las instrucciones de uso del proveedor y el diseño de P17.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Modos de supervisión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Validación previa · Supervisión en tiempo real · Revisión a posteriori por muestreo · Supervisión agregada (P17 §6).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Personas que supervisan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Rol, competencia, formación y autoridad (artículo 26.2; P20).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Capacidad de no usar, anular o detener el sistema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P17 §7; interruptor de parada (P18, P19).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Coherencia con las instrucciones de uso del proveedor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exige el proveedor y cómo se cumple.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Medidas si los riesgos se materializan (artículo 27.1.f)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Gobierno interno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Quién decide suspender o limitar el uso, escalado y plazos (P26, documento 30).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Mecanismos de reclamación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Canal, plazo interno de respuesta y rol que revisa (P17 §8; P49).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Explicación de decisiones individuales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Cómo se atienden las solicitudes (artículo 86; P49).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Reparación de las personas afectadas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Revisión de decisiones ya tomadas, corrección y comunicación.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Información al proveedor y a las autoridades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Vigilancia y comunicación de incidentes graves (artículo 26.5; P26, P27).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Notificación a la autoridad de vigilancia del mercado (artículo 27.3)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Autoridad competente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Identificada en P11 (AESIA o autoridad sectorial; 34 §8.2).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Formato utilizado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modelo que facilite la Oficina Europea de IA, cuando esté disponible; mientras tanto, el que indique la autoridad.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notificación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Antes de G5 (P23).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Referencia o acuse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Notificaciones de actualización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 y motivo de cada actualización notificada.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Relación con la evaluación de impacto en protección de datos (P47)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Elemento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¿Consta ya en P47?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Referencia o complemento en esta evaluación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Descripción del tratamiento y de los datos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Riesgos para la protección de datos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Riesgos para otros derechos (no discriminación, acceso a servicios, tutela, otros)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Solo en esta evaluación.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Medidas comunes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Conclusión y revisión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residual más alto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 la sección 7.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Conclusión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sistema puede desplegarse · Puede desplegarse con condiciones · No puede desplegarse.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Condiciones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Medidas que deben estar verificadas antes de G5.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Aceptación del riesgo residual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Órgano según P12 §6. Un residual Crítico sin aprobación del consejo o de su comisión delegada bloquea G3 y G5.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Próxima revisión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Siguiente R6 o cambio de proceso, colectivo, frecuencia, proveedor o instrucciones de uso (artículo 27.2; P27).</w:t>
            </w: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Motivo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residual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¿Se notifica la actualización?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Revisado por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Fase 5 · R6 · Cambio · Incidente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Sí · No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13. Criterios de calidad</w:t>
      </w:r>
    </w:p>
    <w:p>
      <w:r>
        <w:t xml:space="preserve">Los criterios formales están en el documento 21 (G3.09, G4.13, G5.15 y R6.08).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aplicabilidad coincide con P11 §9.2 y está justificada.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Están los seis elementos del artículo 27.1: procesos, periodo y frecuencia, personas afectadas, riesgos, supervisión humana y medidas ante materialización.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ha usado la información del proveedor y sus instrucciones de uso.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riesgos se valoran con la escala común y los de nivel Medio o superior están en P12.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Hay mecanismo de reclamación y vía de explicación operativos (P17, P49).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reutiliza la EIPD (P47) sin duplicarla.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notificación a la autoridad consta antes de G5, con fecha y referencia.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Está vigente en la última R6 y se notifican las actualizaciones.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14.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Coordina y elabora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Describe procesos y supervisión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 y área de negocio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Valida jurídicamente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Segunda línea (asesoría jurídica o cumplimiento)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Consultado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Delegado de protección de datos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Auditor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Aprueba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Comité de IA; aceptación del residual según P12 §6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☐ Declaración: «La organización confirma que esta evaluación se ha realizado con asesoramiento cualificado y asume su responsabilidad; SEVEN-G es solo una referencia metodológica.»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Mismo órgano que aprueba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elabora la evaluación no la verifica; el área que usará el sistema no acepta su riesgo residual.</w:t>
      </w:r>
    </w:p>
    <w:p>
      <w:pPr>
        <w:pStyle w:val="Separador"/>
      </w:pPr>
    </w:p>
    <w:p>
      <w:pPr>
        <w:pStyle w:val="Heading1"/>
      </w:pPr>
      <w:r>
        <w:t xml:space="preserve">15.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Desarrolla la evaluación que P11 §9.2 declara necesaria, con los elementos del artículo 27 recogidos en 32 §6.2 y 34 §3.10, la notificación a la autoridad y el enlace con P47 y P12. Referencias consultadas en septiembre de 2026.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P48 · Evaluación de impacto en derechos fundamentales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P48 · Evaluación de impacto en derechos fundamentales</dc:title>
  <dc:creator>Fernando García · SEACHAD</dc:creator>
  <dc:language>es</dc:language>
  <dc:description>sha256:4de835cfcebef4b7983aedb23737cce929eba35c4d1549ff9cb9229804159fa7</dc:description>
  <cp:keywords>SEVEN-G</cp:keywords>
</cp:coreProperties>
</file>