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Plan de transferencia y nota de salida</w:t>
      </w:r>
    </w:p>
    <w:p>
      <w:r>
        <w:rPr>
          <w:b/>
        </w:rPr>
        <w:t xml:space="preserve">Planifica cómo pasa la capacidad del tercero a la compañía y deja constancia, al terminar el encargo, de lo entregado, del estado de la cartera y de las herramientas, de lo pendiente y de los riesgos abiertos, con un responsable interno para cada cosa.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P71 · Plan de transferencia y nota de salida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El objetivo de todo acompañamiento con SEVEN-G es que la compañía gobierne su IA sin depender del tercero (91 §3, principio 3). Si la transferencia no se planifica con hitos y evidencias, el servicio se prolonga por inercia o termina dejando registros que nadie sabe mantener, decisiones sin dueño y riesgos que nadie vigila. La nota de salida convierte el final del encargo en un traspaso verificable: la compañía debe poder leer y mantener todo lo entregado sin el tercero (91 §7.3).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plan de transferencia (sección 3) se redacta al inicio del encargo, junto con P70, y se revisa en cada hito; en M5 es un entregable obligatorio con fecha de salida o de reducción del servicio (91 §4.6). La nota de salida (secciones 4 a 9) se cumplimenta al terminar cualquier modelo M1 a M5 (91 §7.3).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del servicio del tercero, con la oficina de IA de la compañía.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comprueba que puede operar cada capacidad sin el tercero; control de gestión, las cifras de la cartera; el responsable de riesgos de IA, la nota de riesgos abiertos.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Quien encargó el servicio (P70, sección 11) acepta la salida; en M5, el comité de IA aprueba el plan de transferencia y su revisión anual.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Final del encargo; en M5, cada revisión anual del servicio y antes de C5.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· Registro de iniciativas (JSON completo del registro), T17 · Panel de IA para el consejo (fichero de datos y huella), T18 · Registro de recomendaciones del consejo; y las demás que se hayan usado (T02, T03, T06, T14, T15).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91 (§3 principios, §4.6 M5, §5.3 periodo de separación, §7 calidad y salida); documento 90 (hoja de ruta de 6 a 18 meses).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Igual en ambos. En M1 la transferencia puede limitarse a la sección 4 y a los responsables internos de la sección 9.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Cada capacidad, entregable, pendiente y riesgo tiene un responsable interno con nombre.</w:t>
      </w:r>
      <w:r>
        <w:t xml:space="preserve"> Un «equipo» o un «área» no es un responsable.</w:t>
      </w:r>
    </w:p>
    <w:p>
      <w:pPr>
        <w:pStyle w:val="Lista"/>
      </w:pPr>
      <w:r>
        <w:t xml:space="preserve">• </w:t>
      </w:r>
      <w:r>
        <w:rPr>
          <w:b/>
        </w:rPr>
        <w:t xml:space="preserve">Transferir es demostrar que la compañía lo hace sola</w:t>
      </w:r>
      <w:r>
        <w:t xml:space="preserve">: la evidencia es un entregable preparado por la compañía, no una formación recibida.</w:t>
      </w:r>
    </w:p>
    <w:p>
      <w:pPr>
        <w:pStyle w:val="Lista"/>
      </w:pPr>
      <w:r>
        <w:t xml:space="preserve">• </w:t>
      </w:r>
      <w:r>
        <w:rPr>
          <w:b/>
        </w:rPr>
        <w:t xml:space="preserve">Formatos abiertos y mantenibles</w:t>
      </w:r>
      <w:r>
        <w:t xml:space="preserve"> (91 §7.1, compromiso 9): documentos editables, hojas de cálculo, JSON.</w:t>
      </w:r>
    </w:p>
    <w:p>
      <w:pPr>
        <w:pStyle w:val="Lista"/>
      </w:pPr>
      <w:r>
        <w:t xml:space="preserve">• </w:t>
      </w:r>
      <w:r>
        <w:rPr>
          <w:b/>
        </w:rPr>
        <w:t xml:space="preserve">Sin dato no es cero</w:t>
      </w:r>
      <w:r>
        <w:t xml:space="preserve">: lo que no se sabe a la fecha de salida se declara como </w:t>
      </w:r>
      <w:r>
        <w:rPr>
          <w:i/>
        </w:rPr>
        <w:t xml:space="preserve">sin dato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del encargo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Propuesta y carta de encargo (P70).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Compañía y perímetro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Tercero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Modelo de acompañamiento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M1 · M2 · M3 · M4 · M5.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inicio del servicio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salida o de reducción prevista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salida real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interno receptor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Normalmente, la dirección de la oficina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SEVEN-G y adaptaciones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mismas declaradas en los entregables.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este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Plan de transferencia de capacidades</w:t>
      </w:r>
    </w:p>
    <w:p>
      <w:pPr>
        <w:pStyle w:val="Heading2"/>
      </w:pPr>
      <w:r>
        <w:t xml:space="preserve">3.1 Capacidades</w:t>
      </w:r>
    </w:p>
    <w:p>
      <w:r>
        <w:t xml:space="preserve">Método: </w:t>
      </w:r>
      <w:r>
        <w:rPr>
          <w:b/>
        </w:rPr>
        <w:t xml:space="preserve">Hace el tercero</w:t>
      </w:r>
      <w:r>
        <w:t xml:space="preserve"> (la compañía observa) → </w:t>
      </w:r>
      <w:r>
        <w:rPr>
          <w:b/>
        </w:rPr>
        <w:t xml:space="preserve">Hace la compañía con apoyo</w:t>
      </w:r>
      <w:r>
        <w:t xml:space="preserve"> → </w:t>
      </w:r>
      <w:r>
        <w:rPr>
          <w:b/>
        </w:rPr>
        <w:t xml:space="preserve">Hace la compañía sola</w:t>
      </w:r>
      <w:r>
        <w:t xml:space="preserve"> (el tercero solo revisa, si se le pide).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Capacidad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interno receptor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Situación actual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Método siguiente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Hito y fecha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de que la compañía lo hace sola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Preparar el paquete trimestral (P67)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Hace la compañía con apoyo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Hace la compañía sola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Paquete del primer trimestre de 2027 · 15-03-2027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Paquete enviado en D−7 preparado por la oficina de IA; el tercero solo revisó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En curso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Mantener el registro de iniciativas y el inventario (T01, T02)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Preparar evidencias de </w:t>
            </w:r>
            <w:r>
              <w:rPr>
                <w:i/>
              </w:rPr>
              <w:t xml:space="preserve">gate</w:t>
            </w:r>
            <w:r>
              <w:t xml:space="preserve"> con los equipos (P29, T03)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Calcular las métricas del embudo y de agilidad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Actualizar el panel del consejo y guardar la foto de cada sesión (T17)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Mantener el registro de decisiones y recomendaciones (P69, T18)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Validar cifras con control de gestión (documento 40)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Preparar las revisiones de continuidad R6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Preparar la revisión anual C5 (madurez, índice, tesis)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Estado: No iniciada · En curso · Transferida · No se transfiere (con motivo).</w:t>
      </w:r>
    </w:p>
    <w:p>
      <w:pPr>
        <w:pStyle w:val="Heading2"/>
      </w:pPr>
      <w:r>
        <w:t xml:space="preserve">3.2 Hitos de reducción del servicio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Hito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 para alcanzarlo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Dedicación del tercero después del hito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Aceptado por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Salida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Todas las capacidades en «Transferida» o «No se transfiere» con motivo aceptado.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Ninguna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Inventario de entregables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Entregable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Plantilla o herramienta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Formato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Ubicación en el repositorio de la compañía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Aceptado por y fecha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interno de mantenerlo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Informe de diagnóstico C1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P33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Documento editable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Repositorio documental de la oficina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Patrocinador de la implantación · 30-11-2026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Oficina de IA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Cada entregable indica la versión de SEVEN-G, las adaptaciones y el reconocimiento de autoría con el aviso legal de 93 §11.9.</w:t>
      </w:r>
    </w:p>
    <w:p>
      <w:pPr>
        <w:pStyle w:val="Separador"/>
      </w:pPr>
    </w:p>
    <w:p>
      <w:pPr>
        <w:pStyle w:val="Heading1"/>
      </w:pPr>
      <w:r>
        <w:t xml:space="preserve">5. Registros, datos y herramientas</w:t>
      </w:r>
    </w:p>
    <w:p>
      <w:pPr>
        <w:pStyle w:val="Heading2"/>
      </w:pPr>
      <w:r>
        <w:t xml:space="preserve">5.1 Estado de las herramientas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 del esquema o de la herramienta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Fichero de datos entregado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Última actualización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actualiza o se regenera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interno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Pendientes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T01 · Registro de iniciativas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JSON completo del registro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T02 · Inventario de sistemas de IA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T06 · Matriz y registro de riesgos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Exportación CSV o JSON de T01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T17 · Panel de IA para el consejo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Fichero de datos del panel y huella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T18 · Registro de recomendaciones del consejo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JSON o hoja de cálculo (P69)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(otras usadas)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5.2 Accesos del tercero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Sistema o repositorio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acceso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Retirado (Sí · No)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Comprobado por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Los accesos se retiran a la fecha de salida; si alguno se mantiene, se indica el motivo y la fecha de retirada.</w:t>
      </w:r>
    </w:p>
    <w:p>
      <w:pPr>
        <w:pStyle w:val="Heading2"/>
      </w:pPr>
      <w:r>
        <w:t xml:space="preserve">5.3 Evidencias y su ubicación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evidencia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Ubicación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interno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Evidencias de </w:t>
            </w:r>
            <w:r>
              <w:rPr>
                <w:i/>
              </w:rPr>
              <w:t xml:space="preserve">gates</w:t>
            </w:r>
            <w:r>
              <w:t xml:space="preserve"> verificados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Evidencias de madurez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Validaciones de valor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Actas y decisiones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Estado de la cartera a la fecha de salida</w:t>
      </w:r>
    </w:p>
    <w:p>
      <w:r>
        <w:t xml:space="preserve">Datos a la fecha de corte indicada, con la fuente (T01, T12) y las reglas del documento 40.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corte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Iniciativas por fase y estado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Fases 0–2, 3–5, en producción, en G7; paradas y retiradas.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Estancadas y condiciones vencidas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código.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R6 vencidas en producción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Valor neto anual y proporción validada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Eficiencias, retorno y coste recurrente por separado; capacidad liberada aparte.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Casos con neto anual negativo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Individualmente.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pendientes de regularización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plazo aprobado (90 §5).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 pendiente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 sin clasificar con criterio jurídico.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Semáforo de programas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Última versión (P67 §6).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Decisiones y recomendaciones pendientes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abreviado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interno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comprometida vigente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declarado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Valoración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DEC · REC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Extracto de P69. Si el tercero era valorador de alguna recomendación, se designa el nuevo valorador independiente.</w:t>
      </w:r>
    </w:p>
    <w:p>
      <w:pPr>
        <w:pStyle w:val="Separador"/>
      </w:pPr>
    </w:p>
    <w:p>
      <w:pPr>
        <w:pStyle w:val="Heading1"/>
      </w:pPr>
      <w:r>
        <w:t xml:space="preserve">8. Nota de riesgos abiertos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Iniciativa o ámbito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interno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Próxima revisión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La oficina de IA no dispone todavía de una segunda persona formada en el mantenimiento del registro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Transferencia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Medio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Dirección de la oficina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30-04-2027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Formación de un suplente incluida en el plan anual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Incluye los riesgos Alto y Crítico de la cartera (P12, T06), las no conformidades abiertas (P50) y los riesgos de la propia transferencia (dependencia del tercero, personas clave, herramientas sin responsable). Escala de riesgo P×I 5×5 del documento 33.</w:t>
      </w:r>
    </w:p>
    <w:p>
      <w:pPr>
        <w:pStyle w:val="Separador"/>
      </w:pPr>
    </w:p>
    <w:p>
      <w:pPr>
        <w:pStyle w:val="Heading1"/>
      </w:pPr>
      <w:r>
        <w:t xml:space="preserve">9. Independencia después de la salida y lecciones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Ámbitos en los que el tercero no podrá auditar ni valorar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implantados, acompañados o auditados (91 §5.2).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de separación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 menos una C5 completa (91 §5.3); fecha a partir de la cual termina.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que pasan del tercero a la compañía o al revés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les aplican las incompatibilidades durante el periodo de separación.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Lecciones del encargo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funcionó, qué no y qué cambiaría la compañía.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Apoyo posterior acordado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existe, con alcance y fecha; nunca como condición para leer o mantener lo entregado.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capacidad tiene rol receptor, hito y evidencia de que la compañía la ejerce sola.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Todos los entregables están en formato abierto, con ubicación y responsable interno.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compañía puede actualizar T01, T17 y T18 sin el tercero (91 §7.3).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decisiones y recomendaciones pendientes tienen responsable interno y, si procede, nuevo valorador.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nota de riesgos abiertos incluye los de la transferencia.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accesos del tercero están retirados o justificados.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M2, se cumplen los criterios de 90 §4.5 y la oficina de IA ha preparado al menos una decisión de </w:t>
            </w:r>
            <w:r>
              <w:rPr>
                <w:i/>
              </w:rPr>
              <w:t xml:space="preserve">gate</w:t>
            </w:r>
            <w:r>
              <w:t xml:space="preserve"> y un paquete con apoyo, no por delegación (91 §4.3).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del servicio del tercero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Recibe y verifica las capacidades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 las cifras de la cartera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 la nota de riesgos abiertos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Acepta la salida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Quien encargó el servicio · comité de IA en M5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tercero no declara transferida una capacidad; lo hace la oficina de IA con la evidencia de que la ejerce sola.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Plan de transferencia de capacidades con hitos de reducción del servicio y nota de salida con inventario de entregables, estado de herramientas y cartera, pendientes, riesgos abiertos, accesos y periodo de separación (91 §4.6, §5.3 y §7.3).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P71 · Plan de transferencia y nota de salida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P71 · Plan de transferencia y nota de salida</dc:title>
  <dc:creator>Fernando García · SEACHAD</dc:creator>
  <dc:language>es</dc:language>
  <dc:description>sha256:64eef0788a69e5f9ad31197d5e5b79de239c0bab224eb4dbfd02bfae19268fd9</dc:description>
  <cp:keywords>SEVEN-G</cp:keywords>
</cp:coreProperties>
</file>