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Diseño de seguridad (incluye agentes)</w:t>
      </w:r>
    </w:p>
    <w:p>
      <w:r>
        <w:rPr>
          <w:b/>
        </w:rPr>
        <w:t xml:space="preserve">Documenta las amenazas del sistema de IA y los controles diseñados, con especial atención a la identidad, los permisos y los límites de los agentes que actúan.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P18 · Diseño de seguridad (incluye agentes)</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4 (diseño de controles). Las pruebas del bloque 11 se planifican en la fase 4 y se ejecutan en la fase 5, antes de G5. Se revisa en R6 y ante cambios de herramientas, permisos o modelo.</w:t>
            </w:r>
          </w:p>
        </w:tc>
      </w:tr>
      <w:tr>
        <w:tc>
          <w:tcPr>
            <w:tcW w:w="4819" w:type="dxa"/>
          </w:tcPr>
          <w:p>
            <w:pPr>
              <w:pStyle w:val="Celda"/>
            </w:pPr>
            <w:r>
              <w:rPr>
                <w:b/>
              </w:rPr>
              <w:t xml:space="preserve">Quién la rellena</w:t>
            </w:r>
          </w:p>
        </w:tc>
        <w:tc>
          <w:tcPr>
            <w:tcW w:w="4819" w:type="dxa"/>
          </w:tcPr>
          <w:p>
            <w:pPr>
              <w:pStyle w:val="Celda"/>
            </w:pPr>
            <w:r>
              <w:t xml:space="preserve">Responsable técnico de IA, con seguridad de la información.</w:t>
            </w:r>
          </w:p>
        </w:tc>
      </w:tr>
      <w:tr>
        <w:tc>
          <w:tcPr>
            <w:tcW w:w="4819" w:type="dxa"/>
          </w:tcPr>
          <w:p>
            <w:pPr>
              <w:pStyle w:val="Celda"/>
            </w:pPr>
            <w:r>
              <w:rPr>
                <w:b/>
              </w:rPr>
              <w:t xml:space="preserve">Quién la verifica</w:t>
            </w:r>
          </w:p>
        </w:tc>
        <w:tc>
          <w:tcPr>
            <w:tcW w:w="4819" w:type="dxa"/>
          </w:tcPr>
          <w:p>
            <w:pPr>
              <w:pStyle w:val="Celda"/>
            </w:pPr>
            <w:r>
              <w:t xml:space="preserve">Auditor de IA en Enterprise; oficina de IA en Lite, con revisión de seguridad de la información.</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(diseño) y G5 (pruebas superadas y firma de seguridad en P23).</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Si el sistema no ejecuta acciones (A0 o A1 según P17), los bloques 5 a 9 pueden marcarse </w:t>
            </w:r>
            <w:r>
              <w:rPr>
                <w:i/>
              </w:rPr>
              <w:t xml:space="preserve">No aplica</w:t>
            </w:r>
            <w:r>
              <w:t xml:space="preserve"> con justificación; la identidad técnica (bloque 4) y el registro (bloque 10) se completan siempre.</w:t>
            </w:r>
          </w:p>
        </w:tc>
      </w:tr>
      <w:tr>
        <w:tc>
          <w:tcPr>
            <w:tcW w:w="4819" w:type="dxa"/>
          </w:tcPr>
          <w:p>
            <w:pPr>
              <w:pStyle w:val="Celda"/>
            </w:pPr>
            <w:r>
              <w:rPr>
                <w:b/>
              </w:rPr>
              <w:t xml:space="preserve">Herramienta</w:t>
            </w:r>
          </w:p>
        </w:tc>
        <w:tc>
          <w:tcPr>
            <w:tcW w:w="4819" w:type="dxa"/>
          </w:tcPr>
          <w:p>
            <w:pPr>
              <w:pStyle w:val="Celda"/>
            </w:pPr>
            <w:r>
              <w:t xml:space="preserve">T10 Evaluación de seguridad de agentes.</w:t>
            </w:r>
          </w:p>
        </w:tc>
      </w:tr>
      <w:tr>
        <w:tc>
          <w:tcPr>
            <w:tcW w:w="4819" w:type="dxa"/>
          </w:tcPr>
          <w:p>
            <w:pPr>
              <w:pStyle w:val="Celda"/>
            </w:pPr>
            <w:r>
              <w:rPr>
                <w:b/>
              </w:rPr>
              <w:t xml:space="preserve">Relación</w:t>
            </w:r>
          </w:p>
        </w:tc>
        <w:tc>
          <w:tcPr>
            <w:tcW w:w="4819" w:type="dxa"/>
          </w:tcPr>
          <w:p>
            <w:pPr>
              <w:pStyle w:val="Celda"/>
            </w:pPr>
            <w:r>
              <w:t xml:space="preserve">P15 Arquitectura · P16 Linaje · P17 Supervisión humana · P19 Reversión · P25 Monitorización · P26 Respuesta a incidentes · documento 35 (controles AG) · documento 36 (terceros).</w:t>
            </w:r>
          </w:p>
        </w:tc>
      </w:tr>
    </w:tbl>
    <w:p>
      <w:pPr>
        <w:pStyle w:val="Espacio"/>
      </w:pPr>
    </w:p>
    <w:p>
      <w:r>
        <w:t xml:space="preserve">Reglas:</w:t>
      </w:r>
    </w:p>
    <w:p>
      <w:pPr>
        <w:pStyle w:val="Lista"/>
      </w:pPr>
      <w:r>
        <w:t xml:space="preserve">• Los controles se referencian con los </w:t>
      </w:r>
      <w:r>
        <w:rPr>
          <w:b/>
        </w:rPr>
        <w:t xml:space="preserve">códigos AG del documento 35</w:t>
      </w:r>
      <w:r>
        <w:t xml:space="preserve">. No se crean códigos locales con ese formato; los controles propios de la compañía se referencian con su código interno.</w:t>
      </w:r>
    </w:p>
    <w:p>
      <w:pPr>
        <w:pStyle w:val="Lista"/>
      </w:pPr>
      <w:r>
        <w:t xml:space="preserve">• Los controles críticos de seguridad no admiten </w:t>
      </w:r>
      <w:r>
        <w:rPr>
          <w:b/>
        </w:rPr>
        <w:t xml:space="preserve">Continuar con condiciones</w:t>
      </w:r>
      <w:r>
        <w:t xml:space="preserve"> en el </w:t>
      </w:r>
      <w:r>
        <w:rPr>
          <w:i/>
        </w:rPr>
        <w:t xml:space="preserve">gate</w:t>
      </w:r>
      <w:r>
        <w:t xml:space="preserve"> (01 §7.3).</w:t>
      </w:r>
    </w:p>
    <w:p>
      <w:pPr>
        <w:pStyle w:val="Lista"/>
      </w:pPr>
      <w:r>
        <w:t xml:space="preserve">• El contenido que el sistema lee (documentos, correos, páginas web, respuestas de herramientas) es </w:t>
      </w:r>
      <w:r>
        <w:rPr>
          <w:b/>
        </w:rPr>
        <w:t xml:space="preserve">dato, no instrucción</w:t>
      </w:r>
      <w:r>
        <w:t xml:space="preserve">: el diseño debe impedir que ese contenido ordene acciones.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Tecnología</w:t>
            </w:r>
          </w:p>
        </w:tc>
        <w:tc>
          <w:tcPr>
            <w:tcW w:w="3213" w:type="dxa"/>
          </w:tcPr>
          <w:p>
            <w:pPr>
              <w:pStyle w:val="Celda"/>
            </w:pPr>
          </w:p>
        </w:tc>
        <w:tc>
          <w:tcPr>
            <w:tcW w:w="3213" w:type="dxa"/>
          </w:tcPr>
          <w:p>
            <w:pPr>
              <w:pStyle w:val="Celda"/>
            </w:pPr>
            <w:r>
              <w:t xml:space="preserve">ML predictivo · IA generativa · Agente · Procesamiento de lenguaje y documentos · Visión · Optimización · IA de terceros embebida · Reglas (no es IA).</w:t>
            </w:r>
          </w:p>
        </w:tc>
      </w:tr>
      <w:tr>
        <w:tc>
          <w:tcPr>
            <w:tcW w:w="3213" w:type="dxa"/>
          </w:tcPr>
          <w:p>
            <w:pPr>
              <w:pStyle w:val="Celda"/>
            </w:pPr>
            <w:r>
              <w:t xml:space="preserve">Exposición</w:t>
            </w:r>
          </w:p>
        </w:tc>
        <w:tc>
          <w:tcPr>
            <w:tcW w:w="3213" w:type="dxa"/>
          </w:tcPr>
          <w:p>
            <w:pPr>
              <w:pStyle w:val="Celda"/>
            </w:pPr>
          </w:p>
        </w:tc>
        <w:tc>
          <w:tcPr>
            <w:tcW w:w="3213" w:type="dxa"/>
          </w:tcPr>
          <w:p>
            <w:pPr>
              <w:pStyle w:val="Celda"/>
            </w:pPr>
            <w:r>
              <w:t xml:space="preserve">Interna · Empleados · Clientes de forma indirecta · Clientes o personas externas de forma directa.</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Amenazas y controles</w:t>
      </w:r>
    </w:p>
    <w:p>
      <w:r>
        <w:rPr>
          <w:b/>
        </w:rPr>
        <w:t xml:space="preserve">Estado del control:</w:t>
      </w:r>
      <w:r>
        <w:t xml:space="preserve"> Diseñado · Implantado · Probado · Pendiente · No aplica.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Amenaza</w:t>
            </w:r>
          </w:p>
        </w:tc>
        <w:tc>
          <w:tcPr>
            <w:tcW w:w="1606" w:type="dxa"/>
            <w:shd w:val="clear" w:color="auto" w:fill="F2DFCE"/>
          </w:tcPr>
          <w:p>
            <w:pPr>
              <w:pStyle w:val="Celda"/>
            </w:pPr>
            <w:r>
              <w:rPr>
                <w:b/>
              </w:rPr>
              <w:t xml:space="preserve">¿Aplica? (Sí · No)</w:t>
            </w:r>
          </w:p>
        </w:tc>
        <w:tc>
          <w:tcPr>
            <w:tcW w:w="1606" w:type="dxa"/>
            <w:shd w:val="clear" w:color="auto" w:fill="F2DFCE"/>
          </w:tcPr>
          <w:p>
            <w:pPr>
              <w:pStyle w:val="Celda"/>
            </w:pPr>
            <w:r>
              <w:rPr>
                <w:b/>
              </w:rPr>
              <w:t xml:space="preserve">Control previsto</w:t>
            </w:r>
          </w:p>
        </w:tc>
        <w:tc>
          <w:tcPr>
            <w:tcW w:w="1606" w:type="dxa"/>
            <w:shd w:val="clear" w:color="auto" w:fill="F2DFCE"/>
          </w:tcPr>
          <w:p>
            <w:pPr>
              <w:pStyle w:val="Celda"/>
            </w:pPr>
            <w:r>
              <w:rPr>
                <w:b/>
              </w:rPr>
              <w:t xml:space="preserve">Referencia (control AG del documento 35 o control interno)</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Estado</w:t>
            </w:r>
          </w:p>
        </w:tc>
      </w:tr>
      <w:tr>
        <w:tc>
          <w:tcPr>
            <w:tcW w:w="1606" w:type="dxa"/>
          </w:tcPr>
          <w:p>
            <w:pPr>
              <w:pStyle w:val="Celda"/>
            </w:pPr>
            <w:r>
              <w:t xml:space="preserve">Inyección de instrucciones directa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Inyección de instrucciones indirecta (a través de documentos, correos, web o herramientas)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Fuga de información en las respuestas o en los registros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Envenenamiento de datos de entrenamiento o de la base de conocimiento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Extracción o manipulación del modelo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Entradas diseñadas para engañar al modelo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Permisos excesivos del sistema o del agente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Acciones no autorizadas o fuera de la finalidad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Abuso de consumo y coste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Cadena de suministro (modelos, librerías, proveedores)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Falta de trazabilidad de acciones e intenciones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Envenenamiento de herramientas y conectores (descripción con instrucciones ocultas, cambios tras aprobarse, ámbitos excesivos)</w:t>
            </w:r>
          </w:p>
        </w:tc>
        <w:tc>
          <w:tcPr>
            <w:tcW w:w="1606" w:type="dxa"/>
          </w:tcPr>
          <w:p>
            <w:pPr>
              <w:pStyle w:val="Celda"/>
            </w:pPr>
          </w:p>
        </w:tc>
        <w:tc>
          <w:tcPr>
            <w:tcW w:w="1606" w:type="dxa"/>
          </w:tcPr>
          <w:p>
            <w:pPr>
              <w:pStyle w:val="Celda"/>
            </w:pPr>
          </w:p>
        </w:tc>
        <w:tc>
          <w:tcPr>
            <w:tcW w:w="1606" w:type="dxa"/>
          </w:tcPr>
          <w:p>
            <w:pPr>
              <w:pStyle w:val="Celda"/>
            </w:pPr>
            <w:r>
              <w:t xml:space="preserve">AG-13</w:t>
            </w:r>
          </w:p>
        </w:tc>
        <w:tc>
          <w:tcPr>
            <w:tcW w:w="1606" w:type="dxa"/>
          </w:tcPr>
          <w:p>
            <w:pPr>
              <w:pStyle w:val="Celda"/>
            </w:pPr>
          </w:p>
        </w:tc>
        <w:tc>
          <w:tcPr>
            <w:tcW w:w="1606" w:type="dxa"/>
          </w:tcPr>
          <w:p>
            <w:pPr>
              <w:pStyle w:val="Celda"/>
            </w:pPr>
          </w:p>
        </w:tc>
      </w:tr>
      <w:tr>
        <w:tc>
          <w:tcPr>
            <w:tcW w:w="1606" w:type="dxa"/>
          </w:tcPr>
          <w:p>
            <w:pPr>
              <w:pStyle w:val="Celda"/>
            </w:pPr>
            <w:r>
              <w:t xml:space="preserve">Tráfico hacia modelos fuera de la pasarela corporativa de IA</w:t>
            </w:r>
          </w:p>
        </w:tc>
        <w:tc>
          <w:tcPr>
            <w:tcW w:w="1606" w:type="dxa"/>
          </w:tcPr>
          <w:p>
            <w:pPr>
              <w:pStyle w:val="Celda"/>
            </w:pPr>
          </w:p>
        </w:tc>
        <w:tc>
          <w:tcPr>
            <w:tcW w:w="1606" w:type="dxa"/>
          </w:tcPr>
          <w:p>
            <w:pPr>
              <w:pStyle w:val="Celda"/>
            </w:pPr>
          </w:p>
        </w:tc>
        <w:tc>
          <w:tcPr>
            <w:tcW w:w="1606" w:type="dxa"/>
          </w:tcPr>
          <w:p>
            <w:pPr>
              <w:pStyle w:val="Celda"/>
            </w:pPr>
            <w:r>
              <w:t xml:space="preserve">SEG-26</w:t>
            </w:r>
          </w:p>
        </w:tc>
        <w:tc>
          <w:tcPr>
            <w:tcW w:w="1606" w:type="dxa"/>
          </w:tcPr>
          <w:p>
            <w:pPr>
              <w:pStyle w:val="Celda"/>
            </w:pPr>
          </w:p>
        </w:tc>
        <w:tc>
          <w:tcPr>
            <w:tcW w:w="1606" w:type="dxa"/>
          </w:tcPr>
          <w:p>
            <w:pPr>
              <w:pStyle w:val="Celda"/>
            </w:pPr>
          </w:p>
        </w:tc>
      </w:tr>
      <w:tr>
        <w:tc>
          <w:tcPr>
            <w:tcW w:w="1606" w:type="dxa"/>
          </w:tcPr>
          <w:p>
            <w:pPr>
              <w:pStyle w:val="Celda"/>
            </w:pPr>
            <w:r>
              <w:t xml:space="preserve">Suplantación del cliente con IA (exposición directa)</w:t>
            </w:r>
          </w:p>
        </w:tc>
        <w:tc>
          <w:tcPr>
            <w:tcW w:w="1606" w:type="dxa"/>
          </w:tcPr>
          <w:p>
            <w:pPr>
              <w:pStyle w:val="Celda"/>
            </w:pPr>
          </w:p>
        </w:tc>
        <w:tc>
          <w:tcPr>
            <w:tcW w:w="1606" w:type="dxa"/>
          </w:tcPr>
          <w:p>
            <w:pPr>
              <w:pStyle w:val="Celda"/>
            </w:pPr>
          </w:p>
        </w:tc>
        <w:tc>
          <w:tcPr>
            <w:tcW w:w="1606" w:type="dxa"/>
          </w:tcPr>
          <w:p>
            <w:pPr>
              <w:pStyle w:val="Celda"/>
            </w:pPr>
            <w:r>
              <w:t xml:space="preserve">35 §9.1; RT-SEG-09</w:t>
            </w:r>
          </w:p>
        </w:tc>
        <w:tc>
          <w:tcPr>
            <w:tcW w:w="1606" w:type="dxa"/>
          </w:tcPr>
          <w:p>
            <w:pPr>
              <w:pStyle w:val="Celda"/>
            </w:pPr>
          </w:p>
        </w:tc>
        <w:tc>
          <w:tcPr>
            <w:tcW w:w="1606" w:type="dxa"/>
          </w:tcPr>
          <w:p>
            <w:pPr>
              <w:pStyle w:val="Celda"/>
            </w:pPr>
          </w:p>
        </w:tc>
      </w:tr>
      <w:tr>
        <w:tc>
          <w:tcPr>
            <w:tcW w:w="1606" w:type="dxa"/>
          </w:tcPr>
          <w:p>
            <w:pPr>
              <w:pStyle w:val="Celda"/>
            </w:pPr>
            <w:r>
              <w:t xml:space="preserve">Suplantación o contenido sintético usado contra el proceso </w:t>
            </w:r>
            <w:r>
              <w:rPr>
                <w:b/>
              </w:rPr>
              <w:t xml:space="preserve">(Enterprise)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Identidad del agente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Identidad técnica propia</w:t>
            </w:r>
          </w:p>
        </w:tc>
        <w:tc>
          <w:tcPr>
            <w:tcW w:w="3213" w:type="dxa"/>
          </w:tcPr>
          <w:p>
            <w:pPr>
              <w:pStyle w:val="Celda"/>
            </w:pPr>
          </w:p>
        </w:tc>
        <w:tc>
          <w:tcPr>
            <w:tcW w:w="3213" w:type="dxa"/>
          </w:tcPr>
          <w:p>
            <w:pPr>
              <w:pStyle w:val="Celda"/>
            </w:pPr>
            <w:r>
              <w:t xml:space="preserve">Cada agente tiene identidad propia, no compartida con personas ni con otros agentes.</w:t>
            </w:r>
          </w:p>
        </w:tc>
      </w:tr>
      <w:tr>
        <w:tc>
          <w:tcPr>
            <w:tcW w:w="3213" w:type="dxa"/>
          </w:tcPr>
          <w:p>
            <w:pPr>
              <w:pStyle w:val="Celda"/>
            </w:pPr>
            <w:r>
              <w:t xml:space="preserve">Propietario responsable</w:t>
            </w:r>
          </w:p>
        </w:tc>
        <w:tc>
          <w:tcPr>
            <w:tcW w:w="3213" w:type="dxa"/>
          </w:tcPr>
          <w:p>
            <w:pPr>
              <w:pStyle w:val="Celda"/>
            </w:pPr>
          </w:p>
        </w:tc>
        <w:tc>
          <w:tcPr>
            <w:tcW w:w="3213" w:type="dxa"/>
          </w:tcPr>
          <w:p>
            <w:pPr>
              <w:pStyle w:val="Celda"/>
            </w:pPr>
            <w:r>
              <w:t xml:space="preserve">Persona que responde de la identidad (normalmente, responsable de operación de IA).</w:t>
            </w:r>
          </w:p>
        </w:tc>
      </w:tr>
      <w:tr>
        <w:tc>
          <w:tcPr>
            <w:tcW w:w="3213" w:type="dxa"/>
          </w:tcPr>
          <w:p>
            <w:pPr>
              <w:pStyle w:val="Celda"/>
            </w:pPr>
            <w:r>
              <w:t xml:space="preserve">Por cuenta de quién actúa</w:t>
            </w:r>
          </w:p>
        </w:tc>
        <w:tc>
          <w:tcPr>
            <w:tcW w:w="3213" w:type="dxa"/>
          </w:tcPr>
          <w:p>
            <w:pPr>
              <w:pStyle w:val="Celda"/>
            </w:pPr>
          </w:p>
        </w:tc>
        <w:tc>
          <w:tcPr>
            <w:tcW w:w="3213" w:type="dxa"/>
          </w:tcPr>
          <w:p>
            <w:pPr>
              <w:pStyle w:val="Celda"/>
            </w:pPr>
            <w:r>
              <w:t xml:space="preserve">Por cuenta de un usuario concreto (delegación) · Por cuenta de la compañía (proceso). Si actúa por cuenta de un usuario, nunca con más permisos que ese usuario.</w:t>
            </w:r>
          </w:p>
        </w:tc>
      </w:tr>
      <w:tr>
        <w:tc>
          <w:tcPr>
            <w:tcW w:w="3213" w:type="dxa"/>
          </w:tcPr>
          <w:p>
            <w:pPr>
              <w:pStyle w:val="Celda"/>
            </w:pPr>
            <w:r>
              <w:t xml:space="preserve">Gestión de credenciales</w:t>
            </w:r>
          </w:p>
        </w:tc>
        <w:tc>
          <w:tcPr>
            <w:tcW w:w="3213" w:type="dxa"/>
          </w:tcPr>
          <w:p>
            <w:pPr>
              <w:pStyle w:val="Celda"/>
            </w:pPr>
          </w:p>
        </w:tc>
        <w:tc>
          <w:tcPr>
            <w:tcW w:w="3213" w:type="dxa"/>
          </w:tcPr>
          <w:p>
            <w:pPr>
              <w:pStyle w:val="Celda"/>
            </w:pPr>
            <w:r>
              <w:t xml:space="preserve">Almacén de secretos; sin credenciales en instrucciones ni en código; rotación.</w:t>
            </w:r>
          </w:p>
        </w:tc>
      </w:tr>
      <w:tr>
        <w:tc>
          <w:tcPr>
            <w:tcW w:w="3213" w:type="dxa"/>
          </w:tcPr>
          <w:p>
            <w:pPr>
              <w:pStyle w:val="Celda"/>
            </w:pPr>
            <w:r>
              <w:t xml:space="preserve">Revocación</w:t>
            </w:r>
          </w:p>
        </w:tc>
        <w:tc>
          <w:tcPr>
            <w:tcW w:w="3213" w:type="dxa"/>
          </w:tcPr>
          <w:p>
            <w:pPr>
              <w:pStyle w:val="Celda"/>
            </w:pPr>
          </w:p>
        </w:tc>
        <w:tc>
          <w:tcPr>
            <w:tcW w:w="3213" w:type="dxa"/>
          </w:tcPr>
          <w:p>
            <w:pPr>
              <w:pStyle w:val="Celda"/>
            </w:pPr>
            <w:r>
              <w:t xml:space="preserve">Cómo y en cuánto tiempo se revocan las credenciales; quién puede hacerlo.</w:t>
            </w:r>
          </w:p>
        </w:tc>
      </w:tr>
      <w:tr>
        <w:tc>
          <w:tcPr>
            <w:tcW w:w="3213" w:type="dxa"/>
          </w:tcPr>
          <w:p>
            <w:pPr>
              <w:pStyle w:val="Celda"/>
            </w:pPr>
            <w:r>
              <w:t xml:space="preserve">Revisión periódica de la identidad y sus permisos </w:t>
            </w:r>
            <w:r>
              <w:rPr>
                <w:b/>
              </w:rPr>
              <w:t xml:space="preserve">(Enterprise)</w:t>
            </w:r>
          </w:p>
        </w:tc>
        <w:tc>
          <w:tcPr>
            <w:tcW w:w="3213" w:type="dxa"/>
          </w:tcPr>
          <w:p>
            <w:pPr>
              <w:pStyle w:val="Celda"/>
            </w:pPr>
          </w:p>
        </w:tc>
        <w:tc>
          <w:tcPr>
            <w:tcW w:w="3213" w:type="dxa"/>
          </w:tcPr>
          <w:p>
            <w:pPr>
              <w:pStyle w:val="Celda"/>
            </w:pPr>
            <w:r>
              <w:t xml:space="preserve">Frecuencia y responsable. Se registra en el inventario de identidades no humanas (P54).</w:t>
            </w:r>
          </w:p>
        </w:tc>
      </w:tr>
    </w:tbl>
    <w:p>
      <w:pPr>
        <w:pStyle w:val="Espacio"/>
      </w:pPr>
    </w:p>
    <w:p>
      <w:pPr>
        <w:pStyle w:val="Separador"/>
      </w:pPr>
    </w:p>
    <w:p>
      <w:pPr>
        <w:pStyle w:val="Heading1"/>
      </w:pPr>
      <w:r>
        <w:t xml:space="preserve">5. Permisos mínimos</w:t>
      </w:r>
    </w:p>
    <w:p>
      <w:r>
        <w:rPr>
          <w:b/>
        </w:rPr>
        <w:t xml:space="preserve">Operación:</w:t>
      </w:r>
      <w:r>
        <w:t xml:space="preserve"> Lectura · Escritura · Borrado · Envío externo · Operación económica · Cambio de configuración.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Herramienta o sistema</w:t>
            </w:r>
          </w:p>
        </w:tc>
        <w:tc>
          <w:tcPr>
            <w:tcW w:w="1928" w:type="dxa"/>
            <w:shd w:val="clear" w:color="auto" w:fill="F2DFCE"/>
          </w:tcPr>
          <w:p>
            <w:pPr>
              <w:pStyle w:val="Celda"/>
            </w:pPr>
            <w:r>
              <w:rPr>
                <w:b/>
              </w:rPr>
              <w:t xml:space="preserve">Operación</w:t>
            </w:r>
          </w:p>
        </w:tc>
        <w:tc>
          <w:tcPr>
            <w:tcW w:w="1928" w:type="dxa"/>
            <w:shd w:val="clear" w:color="auto" w:fill="F2DFCE"/>
          </w:tcPr>
          <w:p>
            <w:pPr>
              <w:pStyle w:val="Celda"/>
            </w:pPr>
            <w:r>
              <w:rPr>
                <w:b/>
              </w:rPr>
              <w:t xml:space="preserve">Alcance concreto</w:t>
            </w:r>
          </w:p>
        </w:tc>
        <w:tc>
          <w:tcPr>
            <w:tcW w:w="1928" w:type="dxa"/>
            <w:shd w:val="clear" w:color="auto" w:fill="F2DFCE"/>
          </w:tcPr>
          <w:p>
            <w:pPr>
              <w:pStyle w:val="Celda"/>
            </w:pPr>
            <w:r>
              <w:rPr>
                <w:b/>
              </w:rPr>
              <w:t xml:space="preserve">Justificación</w:t>
            </w:r>
          </w:p>
        </w:tc>
        <w:tc>
          <w:tcPr>
            <w:tcW w:w="1928" w:type="dxa"/>
            <w:shd w:val="clear" w:color="auto" w:fill="F2DFCE"/>
          </w:tcPr>
          <w:p>
            <w:pPr>
              <w:pStyle w:val="Celda"/>
            </w:pPr>
            <w:r>
              <w:rPr>
                <w:b/>
              </w:rPr>
              <w:t xml:space="preserve">Validación humana previa (Sí · No)</w:t>
            </w:r>
          </w:p>
        </w:tc>
      </w:tr>
      <w:tr>
        <w:tc>
          <w:tcPr>
            <w:tcW w:w="1928" w:type="dxa"/>
          </w:tcPr>
          <w:p>
            <w:pPr>
              <w:pStyle w:val="Celda"/>
            </w:pPr>
            <w:r>
              <w:t xml:space="preserve">Sistema de gestión de pedidos </w:t>
            </w:r>
            <w:r>
              <w:rPr>
                <w:i/>
              </w:rPr>
              <w:t xml:space="preserve">(ejemplo ilustrativo)</w:t>
            </w:r>
          </w:p>
        </w:tc>
        <w:tc>
          <w:tcPr>
            <w:tcW w:w="1928" w:type="dxa"/>
          </w:tcPr>
          <w:p>
            <w:pPr>
              <w:pStyle w:val="Celda"/>
            </w:pPr>
            <w:r>
              <w:t xml:space="preserve">Lectura</w:t>
            </w:r>
          </w:p>
        </w:tc>
        <w:tc>
          <w:tcPr>
            <w:tcW w:w="1928" w:type="dxa"/>
          </w:tcPr>
          <w:p>
            <w:pPr>
              <w:pStyle w:val="Celda"/>
            </w:pPr>
            <w:r>
              <w:t xml:space="preserve">Pedidos del cliente que inicia la conversación</w:t>
            </w:r>
          </w:p>
        </w:tc>
        <w:tc>
          <w:tcPr>
            <w:tcW w:w="1928" w:type="dxa"/>
          </w:tcPr>
          <w:p>
            <w:pPr>
              <w:pStyle w:val="Celda"/>
            </w:pPr>
            <w:r>
              <w:t xml:space="preserve">Consultar estado</w:t>
            </w:r>
          </w:p>
        </w:tc>
        <w:tc>
          <w:tcPr>
            <w:tcW w:w="1928" w:type="dxa"/>
          </w:tcPr>
          <w:p>
            <w:pPr>
              <w:pStyle w:val="Celda"/>
            </w:pPr>
            <w:r>
              <w:t xml:space="preserve">No</w:t>
            </w:r>
          </w:p>
        </w:tc>
      </w:tr>
      <w:tr>
        <w:tc>
          <w:tcPr>
            <w:tcW w:w="1928" w:type="dxa"/>
          </w:tcPr>
          <w:p>
            <w:pPr>
              <w:pStyle w:val="Celda"/>
            </w:pPr>
            <w:r>
              <w:t xml:space="preserve">Sistema de gestión de pedidos </w:t>
            </w:r>
            <w:r>
              <w:rPr>
                <w:i/>
              </w:rPr>
              <w:t xml:space="preserve">(ejemplo ilustrativo)</w:t>
            </w:r>
          </w:p>
        </w:tc>
        <w:tc>
          <w:tcPr>
            <w:tcW w:w="1928" w:type="dxa"/>
          </w:tcPr>
          <w:p>
            <w:pPr>
              <w:pStyle w:val="Celda"/>
            </w:pPr>
            <w:r>
              <w:t xml:space="preserve">Escritura</w:t>
            </w:r>
          </w:p>
        </w:tc>
        <w:tc>
          <w:tcPr>
            <w:tcW w:w="1928" w:type="dxa"/>
          </w:tcPr>
          <w:p>
            <w:pPr>
              <w:pStyle w:val="Celda"/>
            </w:pPr>
            <w:r>
              <w:t xml:space="preserve">Cambio de dirección de entrega antes del envío</w:t>
            </w:r>
          </w:p>
        </w:tc>
        <w:tc>
          <w:tcPr>
            <w:tcW w:w="1928" w:type="dxa"/>
          </w:tcPr>
          <w:p>
            <w:pPr>
              <w:pStyle w:val="Celda"/>
            </w:pPr>
            <w:r>
              <w:t xml:space="preserve">Resolver solicitud frecuente</w:t>
            </w:r>
          </w:p>
        </w:tc>
        <w:tc>
          <w:tcPr>
            <w:tcW w:w="1928" w:type="dxa"/>
          </w:tcPr>
          <w:p>
            <w:pPr>
              <w:pStyle w:val="Celda"/>
            </w:pPr>
            <w:r>
              <w:t xml:space="preserve">No, dentro de límites del bloque 7</w:t>
            </w:r>
          </w:p>
        </w:tc>
      </w:tr>
      <w:tr>
        <w:tc>
          <w:tcPr>
            <w:tcW w:w="1928" w:type="dxa"/>
          </w:tcPr>
          <w:p>
            <w:pPr>
              <w:pStyle w:val="Celda"/>
            </w:pPr>
            <w:r>
              <w:t xml:space="preserve">Pasarela de devoluciones </w:t>
            </w:r>
            <w:r>
              <w:rPr>
                <w:i/>
              </w:rPr>
              <w:t xml:space="preserve">(ejemplo ilustrativo)</w:t>
            </w:r>
          </w:p>
        </w:tc>
        <w:tc>
          <w:tcPr>
            <w:tcW w:w="1928" w:type="dxa"/>
          </w:tcPr>
          <w:p>
            <w:pPr>
              <w:pStyle w:val="Celda"/>
            </w:pPr>
            <w:r>
              <w:t xml:space="preserve">Operación económica</w:t>
            </w:r>
          </w:p>
        </w:tc>
        <w:tc>
          <w:tcPr>
            <w:tcW w:w="1928" w:type="dxa"/>
          </w:tcPr>
          <w:p>
            <w:pPr>
              <w:pStyle w:val="Celda"/>
            </w:pPr>
            <w:r>
              <w:t xml:space="preserve">Reembolsos de pedidos propios</w:t>
            </w:r>
          </w:p>
        </w:tc>
        <w:tc>
          <w:tcPr>
            <w:tcW w:w="1928" w:type="dxa"/>
          </w:tcPr>
          <w:p>
            <w:pPr>
              <w:pStyle w:val="Celda"/>
            </w:pPr>
            <w:r>
              <w:t xml:space="preserve">Resolver devoluciones</w:t>
            </w:r>
          </w:p>
        </w:tc>
        <w:tc>
          <w:tcPr>
            <w:tcW w:w="1928" w:type="dxa"/>
          </w:tcPr>
          <w:p>
            <w:pPr>
              <w:pStyle w:val="Celda"/>
            </w:pPr>
            <w:r>
              <w:t xml:space="preserve">Sí, por encima del límite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Todo permiso no listado está denegado.</w:t>
      </w:r>
    </w:p>
    <w:p>
      <w:pPr>
        <w:pStyle w:val="Separador"/>
      </w:pPr>
    </w:p>
    <w:p>
      <w:pPr>
        <w:pStyle w:val="Heading1"/>
      </w:pPr>
      <w:r>
        <w:t xml:space="preserve">6. Control de intención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Finalidades autorizadas del agente</w:t>
            </w:r>
          </w:p>
        </w:tc>
        <w:tc>
          <w:tcPr>
            <w:tcW w:w="3213" w:type="dxa"/>
          </w:tcPr>
          <w:p>
            <w:pPr>
              <w:pStyle w:val="Celda"/>
            </w:pPr>
          </w:p>
        </w:tc>
        <w:tc>
          <w:tcPr>
            <w:tcW w:w="3213" w:type="dxa"/>
          </w:tcPr>
          <w:p>
            <w:pPr>
              <w:pStyle w:val="Celda"/>
            </w:pPr>
            <w:r>
              <w:t xml:space="preserve">Lista cerrada de tareas para las que puede actuar.</w:t>
            </w:r>
          </w:p>
        </w:tc>
      </w:tr>
      <w:tr>
        <w:tc>
          <w:tcPr>
            <w:tcW w:w="3213" w:type="dxa"/>
          </w:tcPr>
          <w:p>
            <w:pPr>
              <w:pStyle w:val="Celda"/>
            </w:pPr>
            <w:r>
              <w:t xml:space="preserve">Registro de la intención por acción</w:t>
            </w:r>
          </w:p>
        </w:tc>
        <w:tc>
          <w:tcPr>
            <w:tcW w:w="3213" w:type="dxa"/>
          </w:tcPr>
          <w:p>
            <w:pPr>
              <w:pStyle w:val="Celda"/>
            </w:pPr>
          </w:p>
        </w:tc>
        <w:tc>
          <w:tcPr>
            <w:tcW w:w="3213" w:type="dxa"/>
          </w:tcPr>
          <w:p>
            <w:pPr>
              <w:pStyle w:val="Celda"/>
            </w:pPr>
            <w:r>
              <w:t xml:space="preserve">Cada acción registra la tarea o solicitud que la origina.</w:t>
            </w:r>
          </w:p>
        </w:tc>
      </w:tr>
      <w:tr>
        <w:tc>
          <w:tcPr>
            <w:tcW w:w="3213" w:type="dxa"/>
          </w:tcPr>
          <w:p>
            <w:pPr>
              <w:pStyle w:val="Celda"/>
            </w:pPr>
            <w:r>
              <w:t xml:space="preserve">Comprobación de coherencia entre intención y acción</w:t>
            </w:r>
          </w:p>
        </w:tc>
        <w:tc>
          <w:tcPr>
            <w:tcW w:w="3213" w:type="dxa"/>
          </w:tcPr>
          <w:p>
            <w:pPr>
              <w:pStyle w:val="Celda"/>
            </w:pPr>
          </w:p>
        </w:tc>
        <w:tc>
          <w:tcPr>
            <w:tcW w:w="3213" w:type="dxa"/>
          </w:tcPr>
          <w:p>
            <w:pPr>
              <w:pStyle w:val="Celda"/>
            </w:pPr>
            <w:r>
              <w:t xml:space="preserve">Cómo se bloquea una acción que no corresponde a la finalidad declarada (por ejemplo, un envío externo durante una consulta).</w:t>
            </w:r>
          </w:p>
        </w:tc>
      </w:tr>
      <w:tr>
        <w:tc>
          <w:tcPr>
            <w:tcW w:w="3213" w:type="dxa"/>
          </w:tcPr>
          <w:p>
            <w:pPr>
              <w:pStyle w:val="Celda"/>
            </w:pPr>
            <w:r>
              <w:t xml:space="preserve">Tratamiento de instrucciones contenidas en datos</w:t>
            </w:r>
          </w:p>
        </w:tc>
        <w:tc>
          <w:tcPr>
            <w:tcW w:w="3213" w:type="dxa"/>
          </w:tcPr>
          <w:p>
            <w:pPr>
              <w:pStyle w:val="Celda"/>
            </w:pPr>
          </w:p>
        </w:tc>
        <w:tc>
          <w:tcPr>
            <w:tcW w:w="3213" w:type="dxa"/>
          </w:tcPr>
          <w:p>
            <w:pPr>
              <w:pStyle w:val="Celda"/>
            </w:pPr>
            <w:r>
              <w:t xml:space="preserve">Cómo se separan instrucciones legítimas y contenido leído.</w:t>
            </w:r>
          </w:p>
        </w:tc>
      </w:tr>
      <w:tr>
        <w:tc>
          <w:tcPr>
            <w:tcW w:w="3213" w:type="dxa"/>
          </w:tcPr>
          <w:p>
            <w:pPr>
              <w:pStyle w:val="Celda"/>
            </w:pPr>
            <w:r>
              <w:t xml:space="preserve">Acciones encadenadas </w:t>
            </w:r>
            <w:r>
              <w:rPr>
                <w:b/>
              </w:rPr>
              <w:t xml:space="preserve">(Enterprise)</w:t>
            </w:r>
          </w:p>
        </w:tc>
        <w:tc>
          <w:tcPr>
            <w:tcW w:w="3213" w:type="dxa"/>
          </w:tcPr>
          <w:p>
            <w:pPr>
              <w:pStyle w:val="Celda"/>
            </w:pPr>
          </w:p>
        </w:tc>
        <w:tc>
          <w:tcPr>
            <w:tcW w:w="3213" w:type="dxa"/>
          </w:tcPr>
          <w:p>
            <w:pPr>
              <w:pStyle w:val="Celda"/>
            </w:pPr>
            <w:r>
              <w:t xml:space="preserve">Límite de pasos y comprobación antes de cada acción con efecto externo.</w:t>
            </w:r>
          </w:p>
        </w:tc>
      </w:tr>
    </w:tbl>
    <w:p>
      <w:pPr>
        <w:pStyle w:val="Espacio"/>
      </w:pPr>
    </w:p>
    <w:p>
      <w:pPr>
        <w:pStyle w:val="Separador"/>
      </w:pPr>
    </w:p>
    <w:p>
      <w:pPr>
        <w:pStyle w:val="Heading1"/>
      </w:pPr>
      <w:r>
        <w:t xml:space="preserve">7. Límites de actuación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Límite</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Qué ocurre al alcanzarlo (Bloqueo · Validación humana · Alerta · Parada)</w:t>
            </w:r>
          </w:p>
        </w:tc>
      </w:tr>
      <w:tr>
        <w:tc>
          <w:tcPr>
            <w:tcW w:w="3213" w:type="dxa"/>
          </w:tcPr>
          <w:p>
            <w:pPr>
              <w:pStyle w:val="Celda"/>
            </w:pPr>
            <w:r>
              <w:t xml:space="preserve">Importe máximo por acción</w:t>
            </w:r>
          </w:p>
        </w:tc>
        <w:tc>
          <w:tcPr>
            <w:tcW w:w="3213" w:type="dxa"/>
          </w:tcPr>
          <w:p>
            <w:pPr>
              <w:pStyle w:val="Celda"/>
            </w:pPr>
          </w:p>
        </w:tc>
        <w:tc>
          <w:tcPr>
            <w:tcW w:w="3213" w:type="dxa"/>
          </w:tcPr>
          <w:p>
            <w:pPr>
              <w:pStyle w:val="Celda"/>
            </w:pPr>
          </w:p>
        </w:tc>
      </w:tr>
      <w:tr>
        <w:tc>
          <w:tcPr>
            <w:tcW w:w="3213" w:type="dxa"/>
          </w:tcPr>
          <w:p>
            <w:pPr>
              <w:pStyle w:val="Celda"/>
            </w:pPr>
            <w:r>
              <w:t xml:space="preserve">Importe acumulado por periodo</w:t>
            </w:r>
          </w:p>
        </w:tc>
        <w:tc>
          <w:tcPr>
            <w:tcW w:w="3213" w:type="dxa"/>
          </w:tcPr>
          <w:p>
            <w:pPr>
              <w:pStyle w:val="Celda"/>
            </w:pPr>
          </w:p>
        </w:tc>
        <w:tc>
          <w:tcPr>
            <w:tcW w:w="3213" w:type="dxa"/>
          </w:tcPr>
          <w:p>
            <w:pPr>
              <w:pStyle w:val="Celda"/>
            </w:pPr>
          </w:p>
        </w:tc>
      </w:tr>
      <w:tr>
        <w:tc>
          <w:tcPr>
            <w:tcW w:w="3213" w:type="dxa"/>
          </w:tcPr>
          <w:p>
            <w:pPr>
              <w:pStyle w:val="Celda"/>
            </w:pPr>
            <w:r>
              <w:t xml:space="preserve">Número de acciones por periodo</w:t>
            </w:r>
          </w:p>
        </w:tc>
        <w:tc>
          <w:tcPr>
            <w:tcW w:w="3213" w:type="dxa"/>
          </w:tcPr>
          <w:p>
            <w:pPr>
              <w:pStyle w:val="Celda"/>
            </w:pPr>
          </w:p>
        </w:tc>
        <w:tc>
          <w:tcPr>
            <w:tcW w:w="3213" w:type="dxa"/>
          </w:tcPr>
          <w:p>
            <w:pPr>
              <w:pStyle w:val="Celda"/>
            </w:pPr>
          </w:p>
        </w:tc>
      </w:tr>
      <w:tr>
        <w:tc>
          <w:tcPr>
            <w:tcW w:w="3213" w:type="dxa"/>
          </w:tcPr>
          <w:p>
            <w:pPr>
              <w:pStyle w:val="Celda"/>
            </w:pPr>
            <w:r>
              <w:t xml:space="preserve">Destinatarios o dominios permitidos</w:t>
            </w:r>
          </w:p>
        </w:tc>
        <w:tc>
          <w:tcPr>
            <w:tcW w:w="3213" w:type="dxa"/>
          </w:tcPr>
          <w:p>
            <w:pPr>
              <w:pStyle w:val="Celda"/>
            </w:pPr>
          </w:p>
        </w:tc>
        <w:tc>
          <w:tcPr>
            <w:tcW w:w="3213" w:type="dxa"/>
          </w:tcPr>
          <w:p>
            <w:pPr>
              <w:pStyle w:val="Celda"/>
            </w:pPr>
          </w:p>
        </w:tc>
      </w:tr>
      <w:tr>
        <w:tc>
          <w:tcPr>
            <w:tcW w:w="3213" w:type="dxa"/>
          </w:tcPr>
          <w:p>
            <w:pPr>
              <w:pStyle w:val="Celda"/>
            </w:pPr>
            <w:r>
              <w:t xml:space="preserve">Sistemas y datos vedados</w:t>
            </w:r>
          </w:p>
        </w:tc>
        <w:tc>
          <w:tcPr>
            <w:tcW w:w="3213" w:type="dxa"/>
          </w:tcPr>
          <w:p>
            <w:pPr>
              <w:pStyle w:val="Celda"/>
            </w:pPr>
          </w:p>
        </w:tc>
        <w:tc>
          <w:tcPr>
            <w:tcW w:w="3213" w:type="dxa"/>
          </w:tcPr>
          <w:p>
            <w:pPr>
              <w:pStyle w:val="Celda"/>
            </w:pPr>
          </w:p>
        </w:tc>
      </w:tr>
      <w:tr>
        <w:tc>
          <w:tcPr>
            <w:tcW w:w="3213" w:type="dxa"/>
          </w:tcPr>
          <w:p>
            <w:pPr>
              <w:pStyle w:val="Celda"/>
            </w:pPr>
            <w:r>
              <w:t xml:space="preserve">Coste de consumo máximo por periodo</w:t>
            </w:r>
          </w:p>
        </w:tc>
        <w:tc>
          <w:tcPr>
            <w:tcW w:w="3213" w:type="dxa"/>
          </w:tcPr>
          <w:p>
            <w:pPr>
              <w:pStyle w:val="Celda"/>
            </w:pPr>
          </w:p>
        </w:tc>
        <w:tc>
          <w:tcPr>
            <w:tcW w:w="3213" w:type="dxa"/>
          </w:tcPr>
          <w:p>
            <w:pPr>
              <w:pStyle w:val="Celda"/>
            </w:pPr>
          </w:p>
        </w:tc>
      </w:tr>
      <w:tr>
        <w:tc>
          <w:tcPr>
            <w:tcW w:w="3213" w:type="dxa"/>
          </w:tcPr>
          <w:p>
            <w:pPr>
              <w:pStyle w:val="Celda"/>
            </w:pPr>
            <w:r>
              <w:t xml:space="preserve">Número máximo de pasos por tarea</w:t>
            </w:r>
          </w:p>
        </w:tc>
        <w:tc>
          <w:tcPr>
            <w:tcW w:w="3213" w:type="dxa"/>
          </w:tcPr>
          <w:p>
            <w:pPr>
              <w:pStyle w:val="Celda"/>
            </w:pPr>
          </w:p>
        </w:tc>
        <w:tc>
          <w:tcPr>
            <w:tcW w:w="3213" w:type="dxa"/>
          </w:tcPr>
          <w:p>
            <w:pPr>
              <w:pStyle w:val="Celda"/>
            </w:pPr>
          </w:p>
        </w:tc>
      </w:tr>
      <w:tr>
        <w:tc>
          <w:tcPr>
            <w:tcW w:w="3213" w:type="dxa"/>
          </w:tcPr>
          <w:p>
            <w:pPr>
              <w:pStyle w:val="Celda"/>
            </w:pPr>
            <w:r>
              <w:t xml:space="preserve">Franja horaria de actuación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Validación humana de acciones sensibles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Acción sensible</w:t>
            </w:r>
          </w:p>
        </w:tc>
        <w:tc>
          <w:tcPr>
            <w:tcW w:w="1606" w:type="dxa"/>
            <w:shd w:val="clear" w:color="auto" w:fill="F2DFCE"/>
          </w:tcPr>
          <w:p>
            <w:pPr>
              <w:pStyle w:val="Celda"/>
            </w:pPr>
            <w:r>
              <w:rPr>
                <w:b/>
              </w:rPr>
              <w:t xml:space="preserve">Criterio de sensibilidad</w:t>
            </w:r>
          </w:p>
        </w:tc>
        <w:tc>
          <w:tcPr>
            <w:tcW w:w="1606" w:type="dxa"/>
            <w:shd w:val="clear" w:color="auto" w:fill="F2DFCE"/>
          </w:tcPr>
          <w:p>
            <w:pPr>
              <w:pStyle w:val="Celda"/>
            </w:pPr>
            <w:r>
              <w:rPr>
                <w:b/>
              </w:rPr>
              <w:t xml:space="preserve">Quién valida</w:t>
            </w:r>
          </w:p>
        </w:tc>
        <w:tc>
          <w:tcPr>
            <w:tcW w:w="1606" w:type="dxa"/>
            <w:shd w:val="clear" w:color="auto" w:fill="F2DFCE"/>
          </w:tcPr>
          <w:p>
            <w:pPr>
              <w:pStyle w:val="Celda"/>
            </w:pPr>
            <w:r>
              <w:rPr>
                <w:b/>
              </w:rPr>
              <w:t xml:space="preserve">Información que ve quien valida</w:t>
            </w:r>
          </w:p>
        </w:tc>
        <w:tc>
          <w:tcPr>
            <w:tcW w:w="1606" w:type="dxa"/>
            <w:shd w:val="clear" w:color="auto" w:fill="F2DFCE"/>
          </w:tcPr>
          <w:p>
            <w:pPr>
              <w:pStyle w:val="Celda"/>
            </w:pPr>
            <w:r>
              <w:rPr>
                <w:b/>
              </w:rPr>
              <w:t xml:space="preserve">Tiempo máximo de respuesta</w:t>
            </w:r>
          </w:p>
        </w:tc>
        <w:tc>
          <w:tcPr>
            <w:tcW w:w="1606" w:type="dxa"/>
            <w:shd w:val="clear" w:color="auto" w:fill="F2DFCE"/>
          </w:tcPr>
          <w:p>
            <w:pPr>
              <w:pStyle w:val="Celda"/>
            </w:pPr>
            <w:r>
              <w:rPr>
                <w:b/>
              </w:rPr>
              <w:t xml:space="preserve">Si no hay respuesta</w:t>
            </w:r>
          </w:p>
        </w:tc>
      </w:tr>
      <w:tr>
        <w:tc>
          <w:tcPr>
            <w:tcW w:w="1606" w:type="dxa"/>
          </w:tcPr>
          <w:p>
            <w:pPr>
              <w:pStyle w:val="Celda"/>
            </w:pPr>
            <w:r>
              <w:t xml:space="preserve">Reembolso superior al límite </w:t>
            </w:r>
            <w:r>
              <w:rPr>
                <w:i/>
              </w:rPr>
              <w:t xml:space="preserve">(ejemplo ilustrativo)</w:t>
            </w:r>
          </w:p>
        </w:tc>
        <w:tc>
          <w:tcPr>
            <w:tcW w:w="1606" w:type="dxa"/>
          </w:tcPr>
          <w:p>
            <w:pPr>
              <w:pStyle w:val="Celda"/>
            </w:pPr>
            <w:r>
              <w:t xml:space="preserve">Importe</w:t>
            </w:r>
          </w:p>
        </w:tc>
        <w:tc>
          <w:tcPr>
            <w:tcW w:w="1606" w:type="dxa"/>
          </w:tcPr>
          <w:p>
            <w:pPr>
              <w:pStyle w:val="Celda"/>
            </w:pPr>
            <w:r>
              <w:t xml:space="preserve">Supervisor de atención</w:t>
            </w:r>
          </w:p>
        </w:tc>
        <w:tc>
          <w:tcPr>
            <w:tcW w:w="1606" w:type="dxa"/>
          </w:tcPr>
          <w:p>
            <w:pPr>
              <w:pStyle w:val="Celda"/>
            </w:pPr>
            <w:r>
              <w:t xml:space="preserve">Pedido, motivo, historial y propuesta del agente</w:t>
            </w:r>
          </w:p>
        </w:tc>
        <w:tc>
          <w:tcPr>
            <w:tcW w:w="1606" w:type="dxa"/>
          </w:tcPr>
          <w:p>
            <w:pPr>
              <w:pStyle w:val="Celda"/>
            </w:pPr>
            <w:r>
              <w:t xml:space="preserve">4 horas laborables</w:t>
            </w:r>
          </w:p>
        </w:tc>
        <w:tc>
          <w:tcPr>
            <w:tcW w:w="1606" w:type="dxa"/>
          </w:tcPr>
          <w:p>
            <w:pPr>
              <w:pStyle w:val="Celda"/>
            </w:pPr>
            <w:r>
              <w:t xml:space="preserve">Se cancela y se informa al cliente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Por defecto, una acción sensible sin validación </w:t>
      </w:r>
      <w:r>
        <w:rPr>
          <w:b/>
        </w:rPr>
        <w:t xml:space="preserve">se cancela</w:t>
      </w:r>
      <w:r>
        <w:t xml:space="preserve">; nunca se ejecuta por vencimiento del plazo. Debe ser coherente con el reparto de decisiones de P17.</w:t>
      </w:r>
    </w:p>
    <w:p>
      <w:pPr>
        <w:pStyle w:val="Separador"/>
      </w:pPr>
    </w:p>
    <w:p>
      <w:pPr>
        <w:pStyle w:val="Heading1"/>
      </w:pPr>
      <w:r>
        <w:t xml:space="preserve">9. Interruptor de parada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Mecanismo</w:t>
            </w:r>
          </w:p>
        </w:tc>
        <w:tc>
          <w:tcPr>
            <w:tcW w:w="3213" w:type="dxa"/>
          </w:tcPr>
          <w:p>
            <w:pPr>
              <w:pStyle w:val="Celda"/>
            </w:pPr>
          </w:p>
        </w:tc>
        <w:tc>
          <w:tcPr>
            <w:tcW w:w="3213" w:type="dxa"/>
          </w:tcPr>
          <w:p>
            <w:pPr>
              <w:pStyle w:val="Celda"/>
            </w:pPr>
            <w:r>
              <w:t xml:space="preserve">Cómo se detiene el sistema (función, configuración, revocación de credenciales).</w:t>
            </w:r>
          </w:p>
        </w:tc>
      </w:tr>
      <w:tr>
        <w:tc>
          <w:tcPr>
            <w:tcW w:w="3213" w:type="dxa"/>
          </w:tcPr>
          <w:p>
            <w:pPr>
              <w:pStyle w:val="Celda"/>
            </w:pPr>
            <w:r>
              <w:t xml:space="preserve">Quién puede activarlo</w:t>
            </w:r>
          </w:p>
        </w:tc>
        <w:tc>
          <w:tcPr>
            <w:tcW w:w="3213" w:type="dxa"/>
          </w:tcPr>
          <w:p>
            <w:pPr>
              <w:pStyle w:val="Celda"/>
            </w:pPr>
          </w:p>
        </w:tc>
        <w:tc>
          <w:tcPr>
            <w:tcW w:w="3213" w:type="dxa"/>
          </w:tcPr>
          <w:p>
            <w:pPr>
              <w:pStyle w:val="Celda"/>
            </w:pPr>
            <w:r>
              <w:t xml:space="preserve">Roles, incluido al menos uno disponible fuera del horario laboral si el sistema opera continuamente.</w:t>
            </w:r>
          </w:p>
        </w:tc>
      </w:tr>
      <w:tr>
        <w:tc>
          <w:tcPr>
            <w:tcW w:w="3213" w:type="dxa"/>
          </w:tcPr>
          <w:p>
            <w:pPr>
              <w:pStyle w:val="Celda"/>
            </w:pPr>
            <w:r>
              <w:t xml:space="preserve">Qué detiene</w:t>
            </w:r>
          </w:p>
        </w:tc>
        <w:tc>
          <w:tcPr>
            <w:tcW w:w="3213" w:type="dxa"/>
          </w:tcPr>
          <w:p>
            <w:pPr>
              <w:pStyle w:val="Celda"/>
            </w:pPr>
          </w:p>
        </w:tc>
        <w:tc>
          <w:tcPr>
            <w:tcW w:w="3213" w:type="dxa"/>
          </w:tcPr>
          <w:p>
            <w:pPr>
              <w:pStyle w:val="Celda"/>
            </w:pPr>
            <w:r>
              <w:t xml:space="preserve">Nuevas acciones, acciones en curso, colas pendientes.</w:t>
            </w:r>
          </w:p>
        </w:tc>
      </w:tr>
      <w:tr>
        <w:tc>
          <w:tcPr>
            <w:tcW w:w="3213" w:type="dxa"/>
          </w:tcPr>
          <w:p>
            <w:pPr>
              <w:pStyle w:val="Celda"/>
            </w:pPr>
            <w:r>
              <w:t xml:space="preserve">Tiempo objetivo hasta la detención efectiva</w:t>
            </w:r>
          </w:p>
        </w:tc>
        <w:tc>
          <w:tcPr>
            <w:tcW w:w="3213" w:type="dxa"/>
          </w:tcPr>
          <w:p>
            <w:pPr>
              <w:pStyle w:val="Celda"/>
            </w:pPr>
          </w:p>
        </w:tc>
        <w:tc>
          <w:tcPr>
            <w:tcW w:w="3213" w:type="dxa"/>
          </w:tcPr>
          <w:p>
            <w:pPr>
              <w:pStyle w:val="Celda"/>
            </w:pPr>
            <w:r>
              <w:t xml:space="preserve">Medido en la prueba del bloque 11.</w:t>
            </w:r>
          </w:p>
        </w:tc>
      </w:tr>
      <w:tr>
        <w:tc>
          <w:tcPr>
            <w:tcW w:w="3213" w:type="dxa"/>
          </w:tcPr>
          <w:p>
            <w:pPr>
              <w:pStyle w:val="Celda"/>
            </w:pPr>
            <w:r>
              <w:t xml:space="preserve">Estado seguro tras la parada</w:t>
            </w:r>
          </w:p>
        </w:tc>
        <w:tc>
          <w:tcPr>
            <w:tcW w:w="3213" w:type="dxa"/>
          </w:tcPr>
          <w:p>
            <w:pPr>
              <w:pStyle w:val="Celda"/>
            </w:pPr>
          </w:p>
        </w:tc>
        <w:tc>
          <w:tcPr>
            <w:tcW w:w="3213" w:type="dxa"/>
          </w:tcPr>
          <w:p>
            <w:pPr>
              <w:pStyle w:val="Celda"/>
            </w:pPr>
            <w:r>
              <w:t xml:space="preserve">Proceso manual o modo degradado (P19).</w:t>
            </w:r>
          </w:p>
        </w:tc>
      </w:tr>
      <w:tr>
        <w:tc>
          <w:tcPr>
            <w:tcW w:w="3213" w:type="dxa"/>
          </w:tcPr>
          <w:p>
            <w:pPr>
              <w:pStyle w:val="Celda"/>
            </w:pPr>
            <w:r>
              <w:t xml:space="preserve">Autorización para reactivar</w:t>
            </w:r>
          </w:p>
        </w:tc>
        <w:tc>
          <w:tcPr>
            <w:tcW w:w="3213" w:type="dxa"/>
          </w:tcPr>
          <w:p>
            <w:pPr>
              <w:pStyle w:val="Celda"/>
            </w:pPr>
          </w:p>
        </w:tc>
        <w:tc>
          <w:tcPr>
            <w:tcW w:w="3213" w:type="dxa"/>
          </w:tcPr>
          <w:p>
            <w:pPr>
              <w:pStyle w:val="Celda"/>
            </w:pPr>
            <w:r>
              <w:t xml:space="preserve">Rol distinto del que operaba el sistema cuando se activó por incidente.</w:t>
            </w:r>
          </w:p>
        </w:tc>
      </w:tr>
    </w:tbl>
    <w:p>
      <w:pPr>
        <w:pStyle w:val="Espacio"/>
      </w:pPr>
    </w:p>
    <w:p>
      <w:pPr>
        <w:pStyle w:val="Separador"/>
      </w:pPr>
    </w:p>
    <w:p>
      <w:pPr>
        <w:pStyle w:val="Heading1"/>
      </w:pPr>
      <w:r>
        <w:t xml:space="preserve">10. Registro de acciones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Dato registrado</w:t>
            </w:r>
          </w:p>
        </w:tc>
        <w:tc>
          <w:tcPr>
            <w:tcW w:w="3213" w:type="dxa"/>
            <w:shd w:val="clear" w:color="auto" w:fill="F2DFCE"/>
          </w:tcPr>
          <w:p>
            <w:pPr>
              <w:pStyle w:val="Celda"/>
            </w:pPr>
            <w:r>
              <w:rPr>
                <w:b/>
              </w:rPr>
              <w:t xml:space="preserve">¿Se registra? (Sí · No)</w:t>
            </w:r>
          </w:p>
        </w:tc>
        <w:tc>
          <w:tcPr>
            <w:tcW w:w="3213" w:type="dxa"/>
            <w:shd w:val="clear" w:color="auto" w:fill="F2DFCE"/>
          </w:tcPr>
          <w:p>
            <w:pPr>
              <w:pStyle w:val="Celda"/>
            </w:pPr>
            <w:r>
              <w:rPr>
                <w:b/>
              </w:rPr>
              <w:t xml:space="preserve">Observaciones</w:t>
            </w:r>
          </w:p>
        </w:tc>
      </w:tr>
      <w:tr>
        <w:tc>
          <w:tcPr>
            <w:tcW w:w="3213" w:type="dxa"/>
          </w:tcPr>
          <w:p>
            <w:pPr>
              <w:pStyle w:val="Celda"/>
            </w:pPr>
            <w:r>
              <w:t xml:space="preserve">Fecha y hora</w:t>
            </w:r>
          </w:p>
        </w:tc>
        <w:tc>
          <w:tcPr>
            <w:tcW w:w="3213" w:type="dxa"/>
          </w:tcPr>
          <w:p>
            <w:pPr>
              <w:pStyle w:val="Celda"/>
            </w:pPr>
          </w:p>
        </w:tc>
        <w:tc>
          <w:tcPr>
            <w:tcW w:w="3213" w:type="dxa"/>
          </w:tcPr>
          <w:p>
            <w:pPr>
              <w:pStyle w:val="Celda"/>
            </w:pPr>
          </w:p>
        </w:tc>
      </w:tr>
      <w:tr>
        <w:tc>
          <w:tcPr>
            <w:tcW w:w="3213" w:type="dxa"/>
          </w:tcPr>
          <w:p>
            <w:pPr>
              <w:pStyle w:val="Celda"/>
            </w:pPr>
            <w:r>
              <w:t xml:space="preserve">Identidad del agente y versión de modelo e instrucciones</w:t>
            </w:r>
          </w:p>
        </w:tc>
        <w:tc>
          <w:tcPr>
            <w:tcW w:w="3213" w:type="dxa"/>
          </w:tcPr>
          <w:p>
            <w:pPr>
              <w:pStyle w:val="Celda"/>
            </w:pPr>
          </w:p>
        </w:tc>
        <w:tc>
          <w:tcPr>
            <w:tcW w:w="3213" w:type="dxa"/>
          </w:tcPr>
          <w:p>
            <w:pPr>
              <w:pStyle w:val="Celda"/>
            </w:pPr>
          </w:p>
        </w:tc>
      </w:tr>
      <w:tr>
        <w:tc>
          <w:tcPr>
            <w:tcW w:w="3213" w:type="dxa"/>
          </w:tcPr>
          <w:p>
            <w:pPr>
              <w:pStyle w:val="Celda"/>
            </w:pPr>
            <w:r>
              <w:t xml:space="preserve">Usuario o proceso por cuenta del cual actúa</w:t>
            </w:r>
          </w:p>
        </w:tc>
        <w:tc>
          <w:tcPr>
            <w:tcW w:w="3213" w:type="dxa"/>
          </w:tcPr>
          <w:p>
            <w:pPr>
              <w:pStyle w:val="Celda"/>
            </w:pPr>
          </w:p>
        </w:tc>
        <w:tc>
          <w:tcPr>
            <w:tcW w:w="3213" w:type="dxa"/>
          </w:tcPr>
          <w:p>
            <w:pPr>
              <w:pStyle w:val="Celda"/>
            </w:pPr>
          </w:p>
        </w:tc>
      </w:tr>
      <w:tr>
        <w:tc>
          <w:tcPr>
            <w:tcW w:w="3213" w:type="dxa"/>
          </w:tcPr>
          <w:p>
            <w:pPr>
              <w:pStyle w:val="Celda"/>
            </w:pPr>
            <w:r>
              <w:t xml:space="preserve">Intención o tarea de origen</w:t>
            </w:r>
          </w:p>
        </w:tc>
        <w:tc>
          <w:tcPr>
            <w:tcW w:w="3213" w:type="dxa"/>
          </w:tcPr>
          <w:p>
            <w:pPr>
              <w:pStyle w:val="Celda"/>
            </w:pPr>
          </w:p>
        </w:tc>
        <w:tc>
          <w:tcPr>
            <w:tcW w:w="3213" w:type="dxa"/>
          </w:tcPr>
          <w:p>
            <w:pPr>
              <w:pStyle w:val="Celda"/>
            </w:pPr>
          </w:p>
        </w:tc>
      </w:tr>
      <w:tr>
        <w:tc>
          <w:tcPr>
            <w:tcW w:w="3213" w:type="dxa"/>
          </w:tcPr>
          <w:p>
            <w:pPr>
              <w:pStyle w:val="Celda"/>
            </w:pPr>
            <w:r>
              <w:t xml:space="preserve">Herramienta, operación y parámetros</w:t>
            </w:r>
          </w:p>
        </w:tc>
        <w:tc>
          <w:tcPr>
            <w:tcW w:w="3213" w:type="dxa"/>
          </w:tcPr>
          <w:p>
            <w:pPr>
              <w:pStyle w:val="Celda"/>
            </w:pPr>
          </w:p>
        </w:tc>
        <w:tc>
          <w:tcPr>
            <w:tcW w:w="3213" w:type="dxa"/>
          </w:tcPr>
          <w:p>
            <w:pPr>
              <w:pStyle w:val="Celda"/>
            </w:pPr>
            <w:r>
              <w:t xml:space="preserve">Sin exponer datos sensibles innecesarios.</w:t>
            </w:r>
          </w:p>
        </w:tc>
      </w:tr>
      <w:tr>
        <w:tc>
          <w:tcPr>
            <w:tcW w:w="3213" w:type="dxa"/>
          </w:tcPr>
          <w:p>
            <w:pPr>
              <w:pStyle w:val="Celda"/>
            </w:pPr>
            <w:r>
              <w:t xml:space="preserve">Resultado de la acción</w:t>
            </w:r>
          </w:p>
        </w:tc>
        <w:tc>
          <w:tcPr>
            <w:tcW w:w="3213" w:type="dxa"/>
          </w:tcPr>
          <w:p>
            <w:pPr>
              <w:pStyle w:val="Celda"/>
            </w:pPr>
          </w:p>
        </w:tc>
        <w:tc>
          <w:tcPr>
            <w:tcW w:w="3213" w:type="dxa"/>
          </w:tcPr>
          <w:p>
            <w:pPr>
              <w:pStyle w:val="Celda"/>
            </w:pPr>
          </w:p>
        </w:tc>
      </w:tr>
      <w:tr>
        <w:tc>
          <w:tcPr>
            <w:tcW w:w="3213" w:type="dxa"/>
          </w:tcPr>
          <w:p>
            <w:pPr>
              <w:pStyle w:val="Celda"/>
            </w:pPr>
            <w:r>
              <w:t xml:space="preserve">Validación humana (quién, cuándo, sentido)</w:t>
            </w:r>
          </w:p>
        </w:tc>
        <w:tc>
          <w:tcPr>
            <w:tcW w:w="3213" w:type="dxa"/>
          </w:tcPr>
          <w:p>
            <w:pPr>
              <w:pStyle w:val="Celda"/>
            </w:pPr>
          </w:p>
        </w:tc>
        <w:tc>
          <w:tcPr>
            <w:tcW w:w="3213" w:type="dxa"/>
          </w:tcPr>
          <w:p>
            <w:pPr>
              <w:pStyle w:val="Celda"/>
            </w:pPr>
          </w:p>
        </w:tc>
      </w:tr>
      <w:tr>
        <w:tc>
          <w:tcPr>
            <w:tcW w:w="3213" w:type="dxa"/>
          </w:tcPr>
          <w:p>
            <w:pPr>
              <w:pStyle w:val="Celda"/>
            </w:pPr>
            <w:r>
              <w:t xml:space="preserve">Bloqueos por límites o por control de intención</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Plazo de conservación</w:t>
            </w:r>
          </w:p>
        </w:tc>
        <w:tc>
          <w:tcPr>
            <w:tcW w:w="3213" w:type="dxa"/>
          </w:tcPr>
          <w:p>
            <w:pPr>
              <w:pStyle w:val="Celda"/>
            </w:pPr>
          </w:p>
        </w:tc>
        <w:tc>
          <w:tcPr>
            <w:tcW w:w="3213" w:type="dxa"/>
          </w:tcPr>
          <w:p>
            <w:pPr>
              <w:pStyle w:val="Celda"/>
            </w:pPr>
            <w:r>
              <w:t xml:space="preserve">No inferior al que exija la regulación aplicable (documento 34).</w:t>
            </w:r>
          </w:p>
        </w:tc>
      </w:tr>
      <w:tr>
        <w:tc>
          <w:tcPr>
            <w:tcW w:w="3213" w:type="dxa"/>
          </w:tcPr>
          <w:p>
            <w:pPr>
              <w:pStyle w:val="Celda"/>
            </w:pPr>
            <w:r>
              <w:t xml:space="preserve">Protección frente a alteración </w:t>
            </w:r>
            <w:r>
              <w:rPr>
                <w:b/>
              </w:rPr>
              <w:t xml:space="preserve">(Enterprise)</w:t>
            </w:r>
          </w:p>
        </w:tc>
        <w:tc>
          <w:tcPr>
            <w:tcW w:w="3213" w:type="dxa"/>
          </w:tcPr>
          <w:p>
            <w:pPr>
              <w:pStyle w:val="Celda"/>
            </w:pPr>
          </w:p>
        </w:tc>
        <w:tc>
          <w:tcPr>
            <w:tcW w:w="3213" w:type="dxa"/>
          </w:tcPr>
          <w:p>
            <w:pPr>
              <w:pStyle w:val="Celda"/>
            </w:pPr>
            <w:r>
              <w:t xml:space="preserve">Cómo se garantiza la integridad del registro.</w:t>
            </w:r>
          </w:p>
        </w:tc>
      </w:tr>
      <w:tr>
        <w:tc>
          <w:tcPr>
            <w:tcW w:w="3213" w:type="dxa"/>
          </w:tcPr>
          <w:p>
            <w:pPr>
              <w:pStyle w:val="Celda"/>
            </w:pPr>
            <w:r>
              <w:t xml:space="preserve">Acceso al registro</w:t>
            </w:r>
          </w:p>
        </w:tc>
        <w:tc>
          <w:tcPr>
            <w:tcW w:w="3213" w:type="dxa"/>
          </w:tcPr>
          <w:p>
            <w:pPr>
              <w:pStyle w:val="Celda"/>
            </w:pPr>
          </w:p>
        </w:tc>
        <w:tc>
          <w:tcPr>
            <w:tcW w:w="3213" w:type="dxa"/>
          </w:tcPr>
          <w:p>
            <w:pPr>
              <w:pStyle w:val="Celda"/>
            </w:pPr>
            <w:r>
              <w:t xml:space="preserve">Quién puede consultarlo; el agente no puede modificarlo.</w:t>
            </w:r>
          </w:p>
        </w:tc>
      </w:tr>
    </w:tbl>
    <w:p>
      <w:pPr>
        <w:pStyle w:val="Espacio"/>
      </w:pPr>
    </w:p>
    <w:p>
      <w:pPr>
        <w:pStyle w:val="Separador"/>
      </w:pPr>
    </w:p>
    <w:p>
      <w:pPr>
        <w:pStyle w:val="Heading1"/>
      </w:pPr>
      <w:r>
        <w:t xml:space="preserve">11. Pruebas de seguridad, incluida la inyección de instrucciones</w:t>
      </w:r>
    </w:p>
    <w:p>
      <w:r>
        <w:rPr>
          <w:b/>
        </w:rPr>
        <w:t xml:space="preserve">Tipo:</w:t>
      </w:r>
      <w:r>
        <w:t xml:space="preserve"> Inyección directa · Inyección indirecta · Fuga de información · Escalada de permisos · Evasión de límites · Abuso de consumo · Prueba del interruptor de parada · Banco de pruebas corporativo (SEG-27) · Otra. </w:t>
      </w:r>
      <w:r>
        <w:rPr>
          <w:b/>
        </w:rPr>
        <w:t xml:space="preserve">Resultado:</w:t>
      </w:r>
      <w:r>
        <w:t xml:space="preserve"> Superada · Superada con observaciones · No superada · Pendiente.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Prueba</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Ejecutada por</w:t>
            </w:r>
          </w:p>
        </w:tc>
        <w:tc>
          <w:tcPr>
            <w:tcW w:w="1377" w:type="dxa"/>
            <w:shd w:val="clear" w:color="auto" w:fill="F2DFCE"/>
          </w:tcPr>
          <w:p>
            <w:pPr>
              <w:pStyle w:val="Celda"/>
            </w:pPr>
            <w:r>
              <w:rPr>
                <w:b/>
              </w:rPr>
              <w:t xml:space="preserve">Resultado</w:t>
            </w:r>
          </w:p>
        </w:tc>
        <w:tc>
          <w:tcPr>
            <w:tcW w:w="1377" w:type="dxa"/>
            <w:shd w:val="clear" w:color="auto" w:fill="F2DFCE"/>
          </w:tcPr>
          <w:p>
            <w:pPr>
              <w:pStyle w:val="Celda"/>
            </w:pPr>
            <w:r>
              <w:rPr>
                <w:b/>
              </w:rPr>
              <w:t xml:space="preserve">Hallazgos</w:t>
            </w:r>
          </w:p>
        </w:tc>
        <w:tc>
          <w:tcPr>
            <w:tcW w:w="1377" w:type="dxa"/>
            <w:shd w:val="clear" w:color="auto" w:fill="F2DFCE"/>
          </w:tcPr>
          <w:p>
            <w:pPr>
              <w:pStyle w:val="Celda"/>
            </w:pPr>
            <w:r>
              <w:rPr>
                <w:b/>
              </w:rPr>
              <w:t xml:space="preserve">Acción y responsable</w:t>
            </w:r>
          </w:p>
        </w:tc>
      </w:tr>
      <w:tr>
        <w:tc>
          <w:tcPr>
            <w:tcW w:w="1377" w:type="dxa"/>
          </w:tcPr>
          <w:p>
            <w:pPr>
              <w:pStyle w:val="Celda"/>
            </w:pPr>
            <w:r>
              <w:t xml:space="preserve">Documento con instrucciones ocultas que pide reenviar datos </w:t>
            </w:r>
            <w:r>
              <w:rPr>
                <w:i/>
              </w:rPr>
              <w:t xml:space="preserve">(ejemplo ilustrativo)</w:t>
            </w:r>
          </w:p>
        </w:tc>
        <w:tc>
          <w:tcPr>
            <w:tcW w:w="1377" w:type="dxa"/>
          </w:tcPr>
          <w:p>
            <w:pPr>
              <w:pStyle w:val="Celda"/>
            </w:pPr>
            <w:r>
              <w:t xml:space="preserve">Inyección indirecta</w:t>
            </w:r>
          </w:p>
        </w:tc>
        <w:tc>
          <w:tcPr>
            <w:tcW w:w="1377" w:type="dxa"/>
          </w:tcPr>
          <w:p>
            <w:pPr>
              <w:pStyle w:val="Celda"/>
            </w:pPr>
          </w:p>
        </w:tc>
        <w:tc>
          <w:tcPr>
            <w:tcW w:w="1377" w:type="dxa"/>
          </w:tcPr>
          <w:p>
            <w:pPr>
              <w:pStyle w:val="Celda"/>
            </w:pPr>
            <w:r>
              <w:t xml:space="preserve">Equipo de seguridad ajeno al proyecto</w:t>
            </w:r>
          </w:p>
        </w:tc>
        <w:tc>
          <w:tcPr>
            <w:tcW w:w="1377" w:type="dxa"/>
          </w:tcPr>
          <w:p>
            <w:pPr>
              <w:pStyle w:val="Celda"/>
            </w:pPr>
            <w:r>
              <w:t xml:space="preserve">Superada con observaciones</w:t>
            </w:r>
          </w:p>
        </w:tc>
        <w:tc>
          <w:tcPr>
            <w:tcW w:w="1377" w:type="dxa"/>
          </w:tcPr>
          <w:p>
            <w:pPr>
              <w:pStyle w:val="Celda"/>
            </w:pPr>
            <w:r>
              <w:t xml:space="preserve">El agente no reenvió, pero citó la instrucción en su respuesta</w:t>
            </w:r>
          </w:p>
        </w:tc>
        <w:tc>
          <w:tcPr>
            <w:tcW w:w="1377" w:type="dxa"/>
          </w:tcPr>
          <w:p>
            <w:pPr>
              <w:pStyle w:val="Celda"/>
            </w:pPr>
            <w:r>
              <w:t xml:space="preserve">Filtrar contenido citado · responsable técnico</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Las pruebas deberían ejecutarlas personas ajenas al equipo que construye. Una prueba </w:t>
      </w:r>
      <w:r>
        <w:rPr>
          <w:i/>
        </w:rPr>
        <w:t xml:space="preserve">No superada</w:t>
      </w:r>
      <w:r>
        <w:t xml:space="preserve"> sobre un control crítico impide la firma de seguridad en P23. El plan y el informe de las campañas de pruebas adversarias se documentan en P53.</w:t>
      </w:r>
    </w:p>
    <w:p>
      <w:pPr>
        <w:pStyle w:val="Separador"/>
      </w:pPr>
    </w:p>
    <w:p>
      <w:pPr>
        <w:pStyle w:val="Heading1"/>
      </w:pPr>
      <w:r>
        <w:t xml:space="preserve">12. Criterios de calidad</w:t>
      </w:r>
    </w:p>
    <w:p>
      <w:r>
        <w:t xml:space="preserve">Criterios formales de G4 y G5 en el documento 21; controles de agentes en los controles AG del documento 35.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Todas las amenazas aplicables tienen control y responsable.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El agente tiene identidad propia y revocable.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permisos se limitan a lo listado y están justificados.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Hay control de intención y límites con consecuencia definida.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acciones sensibles requieren validación humana y se cancelan sin ella.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interruptor de parada está probado y el tiempo medido cumple el objetivo.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registro de acciones permite reconstruir quién hizo qué, por qué y con qué resultado.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Las pruebas de inyección se han ejecutado antes de G5 y los hallazgos críticos están resueltos.</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w:t>
            </w:r>
          </w:p>
        </w:tc>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seguridad de la información y el verificador no forman parte del equipo que construye.</w:t>
      </w:r>
    </w:p>
    <w:p>
      <w:pPr>
        <w:pStyle w:val="Separador"/>
      </w:pPr>
    </w:p>
    <w:p>
      <w:pPr>
        <w:pStyle w:val="Heading1"/>
      </w:pPr>
      <w:r>
        <w:t xml:space="preserve">14.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Amenazas de envenenamiento de herramientas y conectores, tráfico fuera de la pasarela corporativa de IA y suplantación del cliente con IA (3); tipo de prueba «banco de pruebas corporativo» (11)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P18 · Diseño de seguridad (incluye agentes)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P18 · Diseño de seguridad (incluye agentes)</dc:title>
  <dc:creator>Fernando García Varela</dc:creator>
  <dc:language>es</dc:language>
  <dc:description>sha256:fcae41088f17baa5ab9b24bf1d86ab1a190061197a27439221f6c56d177ca6c3</dc:description>
  <cp:keywords>SEVEN-G</cp:keywords>
</cp:coreProperties>
</file>