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Ficha de inventario del sistema de IA</w:t>
      </w:r>
    </w:p>
    <w:p>
      <w:r>
        <w:rPr>
          <w:b/>
        </w:rPr>
        <w:t xml:space="preserve">Da de alta y mantiene actualizado cada sistema de IA en el inventario de la compañía, con su tipo de uso, su clasificación, su rol regulatorio y sus responsables.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P05 · Ficha de inventario del sistema de IA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la fase 0 se da de alta el sistema previsto. Se completa en las fases 3 a 5, se actualiza en cada R6 y en cada cambio relevante, y se cierra con la retirada. También se usa en C1 para inventariar sistemas existentes, uso corporativo de IA de propósito general y usos no autorizados detectados.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 producto de IA (o el responsable del área usuaria en uso corporativo). La oficina de IA mantiene el inventario.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oficina de IA. Enterprise: auditor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No es una decisión: es un registro. El alta es evidencia obligatoria de G0.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Gate en que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G0 (alta), G3 (clasificación completa), G5 (datos de producción), R6 (vigencia) y G7 (retirada).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T02 · Inventario de sistemas de IA (módulo de T01). Estructura de detalle en el documento 32.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 Las etiquetas de la taxonomía controlada son obligatorias en ambas.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</w:t>
      </w:r>
      <w:r>
        <w:rPr>
          <w:b/>
        </w:rPr>
        <w:t xml:space="preserve">Una ficha por sistema de IA.</w:t>
      </w:r>
      <w:r>
        <w:t xml:space="preserve"> Una iniciativa puede tener varios sistemas y un sistema puede servir a varias iniciativas.</w:t>
      </w:r>
    </w:p>
    <w:p>
      <w:pPr>
        <w:pStyle w:val="Lista"/>
      </w:pPr>
      <w:r>
        <w:t xml:space="preserve">• Los campos de clasificación usan </w:t>
      </w:r>
      <w:r>
        <w:rPr>
          <w:b/>
        </w:rPr>
        <w:t xml:space="preserve">literalmente</w:t>
      </w:r>
      <w:r>
        <w:t xml:space="preserve"> la taxonomía controlada de 03 §3.3.</w:t>
      </w:r>
    </w:p>
    <w:p>
      <w:pPr>
        <w:pStyle w:val="Lista"/>
      </w:pPr>
      <w:r>
        <w:t xml:space="preserve">• "Sin dato" no es cero: lo que todavía no se conoce se marca "sin dato" con la fase en que se completará.</w:t>
      </w:r>
    </w:p>
    <w:p>
      <w:pPr>
        <w:pStyle w:val="Separador"/>
      </w:pPr>
    </w:p>
    <w:p>
      <w:pPr>
        <w:pStyle w:val="Heading1"/>
      </w:pPr>
      <w:r>
        <w:t xml:space="preserve">2. Identificación de la ficha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del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Código persistente asignado por el inventario según el documento 32.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Nombre del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funcional, no el nombre comercial del producto.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Iniciativas asociadas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Códigos IA-AAAA-NNN. Vacío solo en uso corporativo o uso no autorizado.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 la ficha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alta en el inventario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última actualización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 de la última actualización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y rol.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Descripción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Descripción comprensible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hace y para qué se usa, en lenguaje para no especialistas (regla 10).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Finalidad prevista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Uso concreto para el que se diseña o se adquiere el sistema, con sus límites. Es la base de la clasificación regulatoria.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Usos no previstos o excluidos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Usos que no deben hacerse con el sistema.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Área usuaria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Usuarios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Perfiles y número aproximado.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Situación del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Previsto · En construcción o integración · En piloto · En producción · Suspendido · Retirado. Lista propuesta, a confirmar en el documento 32.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Fase y estado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Fase 0–7 y estado (03 §3.2): Registrada · En fase · Pendiente de gate · En espera · En producción · Pendiente de G7 · Parada · Retirada.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puesta en producción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Tipo de uso y clasificación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 de uso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Iniciativa de IA · IA de terceros integrada en procesos · Uso corporativo de IA de propósito general · Uso no autorizado (01 §1.2).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Esfera principal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01 Cliente · 02 Producto y servicio · 03 Personas · 04 Operaciones · 05 Datos · 06 Conocimiento · 07 Decisión · 08 Regulación, ética y responsabilidad · 09 Gobierno de la IA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Esfera secundaria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Misma lista o "ninguna".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ambición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Optimizar · Aumentar · Transformar.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 (P04).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Tecnología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ML predictivo · IA generativa · Agente · Procesamiento de lenguaje y documentos · Visión · Optimización · IA de terceros embebida · Reglas (no es IA). Puede marcarse más de una.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Exposición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Interna · Empleados · Clientes de forma indirecta · Clientes o personas externas de forma directa.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autonomía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A0 Asistencia · A1 Recomendación · A2 Actuación supervisada · A3 Actuación autónoma.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Clasificación regulatoria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Prohibido · Alto riesgo · Obligaciones de transparencia · Riesgo mínimo · Fuera de ámbito · Pendiente de clasificar (P11).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 de valor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Eficiencia · Retorno · Riesgo evitado · Cumplimiento.</w:t>
            </w:r>
          </w:p>
        </w:tc>
      </w:tr>
    </w:tbl>
    <w:p>
      <w:pPr>
        <w:pStyle w:val="Espacio"/>
      </w:pPr>
    </w:p>
    <w:p>
      <w:r>
        <w:t xml:space="preserve">Si la tecnología es "Reglas (no es IA)", se documenta el motivo y se valora si debe mantenerse en el inventario.</w:t>
      </w:r>
    </w:p>
    <w:p>
      <w:pPr>
        <w:pStyle w:val="Separador"/>
      </w:pPr>
    </w:p>
    <w:p>
      <w:pPr>
        <w:pStyle w:val="Heading1"/>
      </w:pPr>
      <w:r>
        <w:t xml:space="preserve">5. Rol de la compañía según el Reglamento Europeo de IA</w:t>
      </w:r>
    </w:p>
    <w:p>
      <w:r>
        <w:t xml:space="preserve">Marque todos los roles que correspondan. La determinación final se valida en P11 con criterio jurídico. </w:t>
      </w:r>
      <w:r>
        <w:rPr>
          <w:i/>
        </w:rPr>
        <w:t xml:space="preserve">Este documento no constituye asesoramiento jurídico.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¿Aplica?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Justificación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Proveedor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Desarrolla el sistema, o lo hace desarrollar, y lo introduce en el mercado o lo pone en servicio con su nombre o marca, incluido para uso propio.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Responsable del despliegue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Utiliza bajo su autoridad un sistema de IA en una actividad profesional.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Importador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Introduce en el mercado de la Unión un sistema con nombre o marca de una persona establecida fuera de la Unión.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Distribuidor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Comercializa el sistema sin ser proveedor ni importador.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Representante autorizado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Mandato de un proveedor establecido fuera de la Unión.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Fabricante del producto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Integra el sistema en un producto propio sujeto a legislación de armonización.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Posible cambio de rol a proveedor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 Revisar si la compañía pone su nombre o marca, modifica sustancialmente el sistema o cambia su finalidad prevista.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Modelo de IA de uso general subyacente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 Si sí, proveedor, modelo y versión.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Registro en la base de datos de la UE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 · No aplica. Solo para los sistemas y roles que lo exijan según P11.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Datos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Fuentes de datos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Sistemas o proveedores de origen.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Datos personales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 Categorías de interesados.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Categorías especiales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 Cuáles.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Información confidencial crítica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Referencia al registro de actividades de tratamiento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Tratamiento en el que se integra.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Ubicación del tratamiento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País o región de alojamiento y de proceso.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Transferencias internacionales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 Destino y garantía.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Uso de datos por el proveedor para entrenamiento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Prohibido por contrato · Permitido con condiciones · Sin dato.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Conservación de registros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entradas, salidas y registros se conservan y durante cuánto tiempo.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Proveedores y componentes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Proveedor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Servicio o componente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de exigencia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Contrato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Evaluación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N1 Estándar · N2 Reforzado · N3 Crítico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Referencia y vencimiento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P14 y fecha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Proveedor X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Modelo de lenguaje por API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N2 Reforzado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CT-0000, vence 30-06-2028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P14 de 10-11-2026, Conforme con observaciones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Responsables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Persona y cargo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Propietario de negocio del sistema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En uso corporativo de IA de propósito general se indica, como mínimo, el responsable del servicio y el responsable de riesgos.</w:t>
      </w:r>
    </w:p>
    <w:p>
      <w:pPr>
        <w:pStyle w:val="Separador"/>
      </w:pPr>
    </w:p>
    <w:p>
      <w:pPr>
        <w:pStyle w:val="Heading1"/>
      </w:pPr>
      <w:r>
        <w:t xml:space="preserve">9. Cumplimiento y control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Clasificación regulatoria validada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 de P11 y persona con criterio jurídico que la valida.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Evaluación de impacto en protección de datos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Realizada (fecha) · No requerida (motivo) · Pendiente.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Evaluación de impacto en derechos fundamentales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Realizada (fecha) · No requerida (motivo) · Pendiente.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Obligaciones de transparencia implantadas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se informa y dónde.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Supervisión humana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Resumen y referencia a P17.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riesgo residual principal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Bajo · Medio · Alto · Crítico (P12).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 conformidades abiertas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Códigos NC-AAAA-NNN.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Incidentes en los últimos 12 meses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Códigos INC-AAAA-NNN y severidad S1–S4.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Última revisión de continuidad y próxima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Fechas de R6.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Uso no autorizado</w:t>
      </w:r>
    </w:p>
    <w:p>
      <w:r>
        <w:t xml:space="preserve">Rellenar solo si el tipo de uso es "Uso no autorizado".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y medio de detección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Controles técnicos, auditoría, comunicación interna.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Herramienta y usuarios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Herramienta usada, áreas y número aproximado de usuarios.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Datos que pudieron exponerse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Tipo de datos introducidos.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 conformidad asociada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NC-AAAA-NNN.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Decisión de regularización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Autorización · Sustitución · Bloqueo.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cierre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Retirada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retirada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Motivo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Sin valor plausible · Hipótesis refutada · Datos insuficientes · Inviable técnicamente · Coste superior al valor · Riesgo inaceptable · Regulación · Sin adopción · Sustituida por otra solución · Cambio de prioridad estratégica.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Sustituto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Sistema o proceso que lo sustituye.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Tratamiento de datos y modelos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Eliminación, conservación o transferencia. Referencia a P30.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Criterios de calidad</w:t>
      </w:r>
    </w:p>
    <w:p>
      <w:r>
        <w:t xml:space="preserve">Los criterios formales están en el documento 21 (ver criterios G0.xx y R6.xx) y el detalle del inventario en el documento 32.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Existe una ficha por cada sistema de la iniciativa.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etiquetas usan literalmente la taxonomía controlada.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finalidad prevista es concreta y tiene límites.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rol regulatorio está justificado y es coherente con P11.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Datos personales, categorías especiales y transferencias están identificados.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Proveedores con nivel de exigencia y evaluación enlazada.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Responsables asignados coherentes con P03.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fecha de última actualización es posterior al último cambio relevante.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13.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Elabora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Registra en el inventario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si la oficina de IA ha elaborado la ficha, verifica el auditor de IA o el responsable de riesgos.</w:t>
      </w:r>
    </w:p>
    <w:p>
      <w:pPr>
        <w:pStyle w:val="Separador"/>
      </w:pPr>
    </w:p>
    <w:p>
      <w:pPr>
        <w:pStyle w:val="Heading1"/>
      </w:pPr>
      <w:r>
        <w:t xml:space="preserve">14.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Campos coherentes con 03 §3.3 y §4, los cuatro tipos de uso de 01 §1.2 y los roles del Reglamento Europeo de IA.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P05 · Ficha de inventario del sistema de IA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P05 · Ficha de inventario del sistema de IA</dc:title>
  <dc:creator>Fernando García · SEACHAD</dc:creator>
  <dc:language>es</dc:language>
  <dc:description>sha256:c554fc4e6dc4611f0eeb25733cffe36d764bf9cc328ac66981649d08ffdbf53b</dc:description>
  <cp:keywords>SEVEN-G</cp:keywords>
</cp:coreProperties>
</file>