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Solicitud y registro de excepciones</w:t>
      </w:r>
    </w:p>
    <w:p>
      <w:r>
        <w:rPr>
          <w:b/>
        </w:rPr>
        <w:t xml:space="preserve">Tramita cada excepción temporal a la política o al marco con su justificación, riesgo, medidas compensatorias, órgano que aprueba, condiciones y caducidad, y mantiene el registro de excepciones de la compañía.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c>
          <w:tcPr>
            <w:tcW w:w="4819" w:type="dxa"/>
          </w:tcPr>
          <w:p>
            <w:pPr>
              <w:pStyle w:val="Celda"/>
            </w:pPr>
            <w:r>
              <w:t xml:space="preserve">Documento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Plantilla P40 · Solicitud y registro de excepciones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Versión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0.1 (borrador de trabajo)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Fecha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19-09-2026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Autor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Fernando García · SEACHAD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Estado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Borrador para revisión.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Cita"/>
      </w:pPr>
      <w:r>
        <w:rPr>
          <w:b/>
        </w:rPr>
        <w:t xml:space="preserve">Aviso legal y exención de responsabilidad.</w:t>
      </w:r>
      <w:r>
        <w:t xml:space="preserve"> SEVEN-G es un marco metodológico de referencia que se ofrece «tal cual» y con fines exclusivamente informativos. No constituye asesoramiento jurídico, regulatorio, financiero ni profesional, ni garantiza el cumplimiento de ninguna norma. Las referencias a regulación general (como el Reglamento Europeo de IA, el RGPD, DORA o NIS2), a normas técnicas y a regulación específica de cada sector o jurisdicción pueden ser incompletas, no aplicar a un caso concreto o quedar desactualizadas por cambios normativos, interpretaciones o criterios de las autoridades posteriores a su fecha de consulta. </w:t>
      </w:r>
      <w:r>
        <w:rPr>
          <w:b/>
        </w:rPr>
        <w:t xml:space="preserve">Cada organización que use SEVEN-G es la única responsable de identificar la normativa que le aplica, verificar su vigencia y certificar su propio cumplimiento regulatorio</w:t>
      </w:r>
      <w:r>
        <w:t xml:space="preserve">, con el asesoramiento cualificado que corresponda. El autor y SEACHAD no asumen responsabilidad alguna por el uso que se haga de este contenido ni por las decisiones que se adopten con él. Los datos, cifras, compañías y casos de los ejemplos son ficticios o ilustrativos.</w:t>
      </w:r>
    </w:p>
    <w:p>
      <w:pPr>
        <w:pStyle w:val="Cita"/>
      </w:pPr>
      <w:r>
        <w:rPr>
          <w:b/>
        </w:rPr>
        <w:t xml:space="preserve">Por qué importa.</w:t>
      </w:r>
      <w:r>
        <w:t xml:space="preserve"> Una excepción es una decisión consciente de no cumplir un requisito durante un tiempo, con el riesgo a la vista y un responsable. Sin solicitud ni registro, las excepciones se convierten en incumplimientos tolerados que nadie aprueba ni vigila, y la comisión delegada no puede recibir cada trimestre las vigentes, como exige 30 §7.4. Una excepción vencida sin cierre es no conformidad mayor (31 §3.8).</w:t>
      </w:r>
    </w:p>
    <w:p>
      <w:pPr>
        <w:pStyle w:val="Heading1"/>
      </w:pPr>
      <w:r>
        <w:t xml:space="preserve">1. Instrucciones de uso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Aspecto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Indicación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Cuándo se usa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Antes de dejar de cumplir cualquier requisito de la política corporativa, de la política de uso aceptable o del marco que admita excepción. Nunca a posteriori.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rellena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Quien propone según el tipo (sección 5): responsable de producto de IA, área solicitante, patrocinador de IA o comité de IA. La oficina de IA asigna el código y mantiene el registro.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la verifica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La oficina de IA comprueba la admisibilidad y la completitud; la segunda línea valora el riesgo y emite conformidad cuando se exige.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Quién decide o aprueba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El órgano de la matriz de delegación de 30 §7.4, según el tipo. Quien propone no aprueba (30, I-9).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Etapa, </w:t>
            </w:r>
            <w:r>
              <w:rPr>
                <w:b/>
                <w:i/>
              </w:rPr>
              <w:t xml:space="preserve">gate</w:t>
            </w:r>
            <w:r>
              <w:rPr>
                <w:b/>
              </w:rPr>
              <w:t xml:space="preserve"> o momento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En cualquier momento; se revisan las vigentes en cada sesión mensual del comité de IA y se informan trimestralmente a la comisión delegada (C4).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Herramienta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T01 · Registro de iniciativas (excepciones vinculadas a iniciativas y decisiones, 30 §13).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rPr>
                <w:b/>
              </w:rPr>
              <w:t xml:space="preserve">Documento de referencia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30 §7.4 y §8.3; 31 §3.7, §3.8 y §4; 37 §3.</w:t>
            </w:r>
          </w:p>
        </w:tc>
      </w:tr>
    </w:tbl>
    <w:p>
      <w:pPr>
        <w:pStyle w:val="Espacio"/>
      </w:pPr>
    </w:p>
    <w:p>
      <w:r>
        <w:t xml:space="preserve">Reglas de cumplimentación:</w:t>
      </w:r>
    </w:p>
    <w:p>
      <w:pPr>
        <w:pStyle w:val="Lista"/>
      </w:pPr>
      <w:r>
        <w:t xml:space="preserve">• Las excepciones </w:t>
      </w:r>
      <w:r>
        <w:rPr>
          <w:b/>
        </w:rPr>
        <w:t xml:space="preserve">nunca</w:t>
      </w:r>
      <w:r>
        <w:t xml:space="preserve"> se admiten sobre prácticas prohibidas, obligaciones legales, separación de funciones en ningún </w:t>
      </w:r>
      <w:r>
        <w:rPr>
          <w:i/>
        </w:rPr>
        <w:t xml:space="preserve">gate</w:t>
      </w:r>
      <w:r>
        <w:t xml:space="preserve">, firma multinivel Enterprise ni existencia de un mecanismo de parada (30 §7.4), ni sobre las líneas rojas de la política corporativa (31 §3.7).</w:t>
      </w:r>
    </w:p>
    <w:p>
      <w:pPr>
        <w:pStyle w:val="Lista"/>
      </w:pPr>
      <w:r>
        <w:t xml:space="preserve">• Una excepción no sustituye a un «Continuar con condiciones» de un </w:t>
      </w:r>
      <w:r>
        <w:rPr>
          <w:i/>
        </w:rPr>
        <w:t xml:space="preserve">gate</w:t>
      </w:r>
      <w:r>
        <w:t xml:space="preserve">: si el asunto se decide en un </w:t>
      </w:r>
      <w:r>
        <w:rPr>
          <w:i/>
        </w:rPr>
        <w:t xml:space="preserve">gate</w:t>
      </w:r>
      <w:r>
        <w:t xml:space="preserve">, se trata en P29.</w:t>
      </w:r>
    </w:p>
    <w:p>
      <w:pPr>
        <w:pStyle w:val="Lista"/>
      </w:pPr>
      <w:r>
        <w:t xml:space="preserve">• Código propuesto: </w:t>
      </w:r>
      <w:r>
        <w:rPr>
          <w:b/>
        </w:rPr>
        <w:t xml:space="preserve">EXC-AAAA-NNN</w:t>
      </w:r>
      <w:r>
        <w:t xml:space="preserve">, con año de solicitud y número correlativo que no se reutiliza, también si la solicitud se deniega.</w:t>
      </w:r>
    </w:p>
    <w:p>
      <w:pPr>
        <w:pStyle w:val="Lista"/>
      </w:pPr>
      <w:r>
        <w:t xml:space="preserve">• La prórroga se tramita como una </w:t>
      </w:r>
      <w:r>
        <w:rPr>
          <w:b/>
        </w:rPr>
        <w:t xml:space="preserve">nueva solicitud</w:t>
      </w:r>
      <w:r>
        <w:t xml:space="preserve"> enlazada a la anterior, aprobada por el mismo órgano (regla propuesta por esta plantilla).</w:t>
      </w:r>
    </w:p>
    <w:p>
      <w:pPr>
        <w:pStyle w:val="Separador"/>
      </w:pPr>
    </w:p>
    <w:p>
      <w:pPr>
        <w:pStyle w:val="Heading1"/>
      </w:pPr>
      <w:r>
        <w:t xml:space="preserve">2. Identificación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Código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EXC-AAAA-NNN.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solicitud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DD-MM-AAAA.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Solicitante y área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Tipo de excepción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Metodológica menor · De política de uso · De requisito del ciclo de vida · De umbral corporativo (30 §7.4).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Ámbito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Iniciativa (IA-AAAA-NNN), sistema (SIA-AAAA-NNN), herramienta, área o compañía.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Excepción anterior enlazada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es una prórroga.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3. Comprobación de admisibilidad</w:t>
      </w:r>
    </w:p>
    <w:p>
      <w:r>
        <w:t xml:space="preserve">Si alguna respuesta es Sí, la solicitud es inadmisible y se archiva con motivo.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¿La excepción afecta a…?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Sí · No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Una práctica prohibida por el artículo 5 del Reglamento (UE) 2024/1689 o cualquier otra línea roja de la política corporativa.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Una obligación legal o regulatoria.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separación de funciones en cualquier </w:t>
            </w:r>
            <w:r>
              <w:rPr>
                <w:i/>
              </w:rPr>
              <w:t xml:space="preserve">gate</w:t>
            </w:r>
            <w:r>
              <w:t xml:space="preserve"> (quien construye verifica o decide).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firma multinivel de puesta en producción Enterprise.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existencia de un mecanismo de parada (interruptor de parada o proceso alternativo).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4819"/>
        <w:gridCol w:w="4819"/>
      </w:tblGrid>
      <w:tr>
        <w:trPr>
          <w:tblHeader/>
        </w:trPr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4819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Resultado</w:t>
            </w:r>
          </w:p>
        </w:tc>
        <w:tc>
          <w:tcPr>
            <w:tcW w:w="4819" w:type="dxa"/>
          </w:tcPr>
          <w:p>
            <w:pPr>
              <w:pStyle w:val="Celda"/>
            </w:pPr>
            <w:r>
              <w:t xml:space="preserve">Admisible · Inadmisible</w:t>
            </w:r>
          </w:p>
        </w:tc>
      </w:tr>
      <w:tr>
        <w:tc>
          <w:tcPr>
            <w:tcW w:w="4819" w:type="dxa"/>
          </w:tcPr>
          <w:p>
            <w:pPr>
              <w:pStyle w:val="Celda"/>
            </w:pPr>
            <w:r>
              <w:t xml:space="preserve">Comprobado por (oficina de IA) y fecha</w:t>
            </w:r>
          </w:p>
        </w:tc>
        <w:tc>
          <w:tcPr>
            <w:tcW w:w="4819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4. Solicitud</w:t>
      </w:r>
    </w:p>
    <w:p>
      <w:r>
        <w:t xml:space="preserve">Campos mínimos de 31 §3.8.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Requisito afectado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Documento, sección y texto; criterio de </w:t>
            </w:r>
            <w:r>
              <w:rPr>
                <w:i/>
              </w:rPr>
              <w:t xml:space="preserve">gate</w:t>
            </w:r>
            <w:r>
              <w:t xml:space="preserve"> del documento 21 o control SEG-NN o AG-NN si aplica.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Justificación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Por qué no puede cumplirse ahora y qué se perdería sin la excepción.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Riesgo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puede pasar mientras dure (sección 6).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Medidas compensatorias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Controles temporales que reducen el riesgo.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Plazo solicitado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Dentro del máximo del tipo (sección 5).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Responsable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Persona que responde de las medidas y del cierre.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Plan de cierre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Qué se hará para cumplir el requisito al vencer.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Requisito afectado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Política de uso aceptable 31 §4.2: solo herramientas del catálogo autorizado.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Piloto de cuatro semanas de una herramienta de resumen no catalogada, solo con datos ficticios.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5. Órgano que aprueba</w:t>
      </w:r>
    </w:p>
    <w:p>
      <w:r>
        <w:t xml:space="preserve">Matriz de 30 §7.4. La compañía puede endurecerla en C2, no rebajarla.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Ejemplo ilustrativo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Propone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Aprueba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Plazo máximo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Metodológica menor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Usar una plantilla propia equivalente.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Responsable de producto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Hasta el siguiente </w:t>
            </w:r>
            <w:r>
              <w:rPr>
                <w:i/>
              </w:rPr>
              <w:t xml:space="preserve">gate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De política de uso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Herramienta no catalogada en un piloto con datos ficticios.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Área solicitante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 con conformidad de seguridad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90 días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De requisito del ciclo de vida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Aplazar una evidencia no crítica fuera de un «Continuar con condiciones».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Patrocinador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Comité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6 meses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rPr>
                <w:b/>
              </w:rPr>
              <w:t xml:space="preserve">De umbral corporativo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Superar el límite de inversión por etapa o el horizonte de retorno de C2.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Comité de IA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Consejo o comisión delegada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Según acuerdo</w:t>
            </w:r>
          </w:p>
        </w:tc>
      </w:tr>
    </w:tbl>
    <w:p>
      <w:pPr>
        <w:pStyle w:val="Espacio"/>
      </w:pPr>
    </w:p>
    <w:p>
      <w:r>
        <w:t xml:space="preserve">En el comité de IA, las excepciones requieren la presencia y la conformidad de la segunda línea (30 §3.3 y §8.3). Si la segunda línea deniega su conformidad, el comité no puede aprobarla y puede elevar el desacuerdo a la comisión delegada (E-13).</w:t>
      </w:r>
    </w:p>
    <w:p>
      <w:pPr>
        <w:pStyle w:val="Separador"/>
      </w:pPr>
    </w:p>
    <w:p>
      <w:pPr>
        <w:pStyle w:val="Heading1"/>
      </w:pPr>
      <w:r>
        <w:t xml:space="preserve">6. Evaluación de riesgo</w:t>
      </w:r>
    </w:p>
    <w:p>
      <w:r>
        <w:t xml:space="preserve">Escalas de la especificación común §5.1 y del documento 33.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Riesgo durante la excepción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Causa, evento y consecuencia.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Probabilidad e impacto sin medidas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1–5 × 1–5; impacto: el mayor de los cinco ejes.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sin medidas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Bajo 1–4 · Medio 5–9 · Alto 10–15 · Crítico 16–25.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Eficacia de las medidas compensatorias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Existentes y probadas; las previstas no reducen el nivel.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Nivel con medidas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Conformidad de la segunda línea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Obligatoria en las excepciones que decide el comité de IA y en las de política de uso (seguridad).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Coherencia con la aceptación de riesgo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Si el nivel con medidas es Alto, solo lo acepta el comité de IA; si es Crítico, la excepción no se aprueba salvo decisión expresa del consejo o su comisión dentro del apetito (30 §7.2).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7. Resolución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Resultado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Aprobada · Aprobada con condiciones · Denegada.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Órgano y referencia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Acta (P39) o registro de la oficina de 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Condiciones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Cada una con responsable y plazo.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inicio de la vigencia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caducidad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Nunca posterior al máximo del tipo. En umbral corporativo, la del acuerdo.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Motivo de la denegación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Obligatorio si se deniega.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Comunicación al solicitante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8. Seguimiento y cierre</w:t>
      </w:r>
    </w:p>
    <w:p>
      <w:r>
        <w:rPr>
          <w:b/>
        </w:rPr>
        <w:t xml:space="preserve">Estados propuestos:</w:t>
      </w:r>
      <w:r>
        <w:t xml:space="preserve"> Solicitada · Inadmitida · En evaluación · Denegada · Vigente · Cerrada · Vencida. Una excepción vigente cuya fecha de caducidad pasa sin cierre queda </w:t>
      </w:r>
      <w:r>
        <w:rPr>
          <w:b/>
        </w:rPr>
        <w:t xml:space="preserve">Vencida</w:t>
      </w:r>
      <w:r>
        <w:t xml:space="preserve"> y se registra una no conformidad mayor (31 §3.8; documento 37).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Campo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Contenido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Guía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Revisiones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Fecha y resultado de cada revisión mensual del comité de IA.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Fecha de cierre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Cuando se cumple el requisito o cesa la actividad exceptuada.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Evidencia del cierre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Enlace.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No conformidad abierta por vencimiento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NC-AAAA-NNN, si procede.</w:t>
            </w: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9. Registro de excepciones de la compañía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  <w:gridCol w:w="876"/>
      </w:tblGrid>
      <w:tr>
        <w:trPr>
          <w:tblHeader/>
        </w:trPr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Código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Tipo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Ámbito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Requisito afectado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Nivel de riesgo con medidas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Aprobada por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Referencia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Inicio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Caducidad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Responsable</w:t>
            </w:r>
          </w:p>
        </w:tc>
        <w:tc>
          <w:tcPr>
            <w:tcW w:w="876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876" w:type="dxa"/>
          </w:tcPr>
          <w:p>
            <w:pPr>
              <w:pStyle w:val="Celda"/>
            </w:pPr>
            <w:r>
              <w:t xml:space="preserve">EXC-AAAA-NNN</w:t>
            </w: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Bajo · Medio · Alto</w:t>
            </w: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  <w:tc>
          <w:tcPr>
            <w:tcW w:w="876" w:type="dxa"/>
          </w:tcPr>
          <w:p>
            <w:pPr>
              <w:pStyle w:val="Celda"/>
            </w:pPr>
          </w:p>
        </w:tc>
      </w:tr>
      <w:tr>
        <w:tc>
          <w:tcPr>
            <w:tcW w:w="876" w:type="dxa"/>
          </w:tcPr>
          <w:p>
            <w:pPr>
              <w:pStyle w:val="Celda"/>
            </w:pPr>
            <w:r>
              <w:rPr>
                <w:i/>
              </w:rPr>
              <w:t xml:space="preserve">(ejemplo ilustrativo)</w:t>
            </w:r>
            <w:r>
              <w:t xml:space="preserve"> EXC-2026-003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De política de uso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Área de marketing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31 §4.2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Bajo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Oficina de IA con conformidad de seguridad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Registro de la oficina 2026-11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02-11-2026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30-11-2026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Persona G</w:t>
            </w:r>
          </w:p>
        </w:tc>
        <w:tc>
          <w:tcPr>
            <w:tcW w:w="876" w:type="dxa"/>
          </w:tcPr>
          <w:p>
            <w:pPr>
              <w:pStyle w:val="Celda"/>
            </w:pPr>
            <w:r>
              <w:t xml:space="preserve">Vigente</w:t>
            </w:r>
          </w:p>
        </w:tc>
      </w:tr>
    </w:tbl>
    <w:p>
      <w:pPr>
        <w:pStyle w:val="Espacio"/>
      </w:pPr>
    </w:p>
    <w:p>
      <w:r>
        <w:rPr>
          <w:b/>
        </w:rPr>
        <w:t xml:space="preserve">Resumen trimestral para la comisión delegada</w:t>
      </w:r>
      <w:r>
        <w:t xml:space="preserve"> (se incorpora a P42):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tblHeader/>
        </w:trPr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Periodo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Vigentes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Aprobadas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Denegadas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Cerradas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Vencidas</w:t>
            </w:r>
          </w:p>
        </w:tc>
        <w:tc>
          <w:tcPr>
            <w:tcW w:w="1377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Con riesgo Alto</w:t>
            </w:r>
          </w:p>
        </w:tc>
      </w:tr>
      <w:tr>
        <w:tc>
          <w:tcPr>
            <w:tcW w:w="1377" w:type="dxa"/>
          </w:tcPr>
          <w:p>
            <w:pPr>
              <w:pStyle w:val="Celda"/>
            </w:pPr>
            <w:r>
              <w:t xml:space="preserve">AAAA-Tn</w:t>
            </w: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  <w:tc>
          <w:tcPr>
            <w:tcW w:w="1377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10. Criterios de calidad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#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Comprobación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Estado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solicitud es anterior a la actividad exceptuada.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Cumple · No cumple · No aplica · Pendiente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2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comprobación de admisibilidad se ha hecho y ninguna respuesta es Sí.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3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Constan los seis campos mínimos de 31 §3.8.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4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Aprueba el órgano de 30 §7.4 y no es quien propone (I-9).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5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Consta la conformidad de la segunda línea cuando se exige.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 caducidad no supera el plazo máximo del tipo.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7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Las vigentes se han informado a la comisión delegada en el trimestre.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8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Ninguna excepción vencida sigue sin no conformidad registrada.</w:t>
            </w:r>
          </w:p>
        </w:tc>
        <w:tc>
          <w:tcPr>
            <w:tcW w:w="3213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pPr>
        <w:pStyle w:val="Separador"/>
      </w:pPr>
    </w:p>
    <w:p>
      <w:pPr>
        <w:pStyle w:val="Heading1"/>
      </w:pPr>
      <w:r>
        <w:t xml:space="preserve">11. Aprobación y verificación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1928"/>
        <w:gridCol w:w="1928"/>
        <w:gridCol w:w="1928"/>
        <w:gridCol w:w="1928"/>
        <w:gridCol w:w="1928"/>
      </w:tblGrid>
      <w:tr>
        <w:trPr>
          <w:tblHeader/>
        </w:trPr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Función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Rol en SEVEN-G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Nombre y cargo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1928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Firma o referencia</w:t>
            </w: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Propone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Según el tipo (sección 5)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Comprueba admisibilidad y registra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Oficina de IA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Valora el riesgo y da conformidad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Segunda línea (seguridad, riesgos o cumplimiento)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  <w:tr>
        <w:tc>
          <w:tcPr>
            <w:tcW w:w="1928" w:type="dxa"/>
          </w:tcPr>
          <w:p>
            <w:pPr>
              <w:pStyle w:val="Celda"/>
            </w:pPr>
            <w:r>
              <w:t xml:space="preserve">Aprueba</w:t>
            </w:r>
          </w:p>
        </w:tc>
        <w:tc>
          <w:tcPr>
            <w:tcW w:w="1928" w:type="dxa"/>
          </w:tcPr>
          <w:p>
            <w:pPr>
              <w:pStyle w:val="Celda"/>
            </w:pPr>
            <w:r>
              <w:t xml:space="preserve">Órgano de 30 §7.4</w:t>
            </w: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  <w:tc>
          <w:tcPr>
            <w:tcW w:w="1928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t xml:space="preserve">Separación de funciones: quien propone no aprueba; si la oficina de IA propone una excepción, la aprueba el comité de IA.</w:t>
      </w:r>
    </w:p>
    <w:p>
      <w:pPr>
        <w:pStyle w:val="Separador"/>
      </w:pPr>
    </w:p>
    <w:p>
      <w:pPr>
        <w:pStyle w:val="Heading1"/>
      </w:pPr>
      <w:r>
        <w:t xml:space="preserve">12. Control de versiones</w:t>
      </w:r>
    </w:p>
    <w:p>
      <w:r>
        <w:rPr>
          <w:b/>
        </w:rPr>
        <w:t xml:space="preserve">Documento cumplimentado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2410"/>
        <w:gridCol w:w="2410"/>
        <w:gridCol w:w="2410"/>
        <w:gridCol w:w="2410"/>
      </w:tblGrid>
      <w:tr>
        <w:trPr>
          <w:tblHeader/>
        </w:trPr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Autor</w:t>
            </w:r>
          </w:p>
        </w:tc>
        <w:tc>
          <w:tcPr>
            <w:tcW w:w="2410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  <w:tc>
          <w:tcPr>
            <w:tcW w:w="2410" w:type="dxa"/>
          </w:tcPr>
          <w:p>
            <w:pPr>
              <w:pStyle w:val="Celda"/>
            </w:pPr>
          </w:p>
        </w:tc>
      </w:tr>
    </w:tbl>
    <w:p>
      <w:pPr>
        <w:pStyle w:val="Espacio"/>
      </w:pPr>
    </w:p>
    <w:p>
      <w:r>
        <w:rPr>
          <w:b/>
        </w:rPr>
        <w:t xml:space="preserve">Plantilla</w:t>
      </w:r>
    </w:p>
    <w:tbl>
      <w:tblPr>
        <w:tblStyle w:val="TablaSG"/>
        <w:tblW w:w="5000" w:type="pct"/>
        <w:tblLayout w:type="autofit"/>
        <w:tblLook w:val="04A0" w:firstRow="1" w:lastRow="0" w:firstColumn="0" w:lastColumn="0" w:noHBand="1" w:noVBand="1"/>
      </w:tblPr>
      <w:tblGrid>
        <w:gridCol w:w="3213"/>
        <w:gridCol w:w="3213"/>
        <w:gridCol w:w="3213"/>
      </w:tblGrid>
      <w:tr>
        <w:trPr>
          <w:tblHeader/>
        </w:trPr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Versión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Fecha</w:t>
            </w:r>
          </w:p>
        </w:tc>
        <w:tc>
          <w:tcPr>
            <w:tcW w:w="3213" w:type="dxa"/>
            <w:shd w:val="clear" w:color="auto" w:fill="F2DFCE"/>
          </w:tcPr>
          <w:p>
            <w:pPr>
              <w:pStyle w:val="Celda"/>
            </w:pPr>
            <w:r>
              <w:rPr>
                <w:b/>
              </w:rPr>
              <w:t xml:space="preserve">Cambios</w:t>
            </w:r>
          </w:p>
        </w:tc>
      </w:tr>
      <w:tr>
        <w:tc>
          <w:tcPr>
            <w:tcW w:w="3213" w:type="dxa"/>
          </w:tcPr>
          <w:p>
            <w:pPr>
              <w:pStyle w:val="Celda"/>
            </w:pPr>
            <w:r>
              <w:t xml:space="preserve">0.1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19-09-2026</w:t>
            </w:r>
          </w:p>
        </w:tc>
        <w:tc>
          <w:tcPr>
            <w:tcW w:w="3213" w:type="dxa"/>
          </w:tcPr>
          <w:p>
            <w:pPr>
              <w:pStyle w:val="Celda"/>
            </w:pPr>
            <w:r>
              <w:t xml:space="preserve">Primera versión. Aplica 30 §7.4 y 31 §3.8; propone el código EXC-AAAA-NNN, los estados y la regla de prórroga como nueva solicitud.</w:t>
            </w:r>
          </w:p>
        </w:tc>
      </w:tr>
    </w:tbl>
    <w:p>
      <w:pPr>
        <w:pStyle w:val="Espacio"/>
      </w:pPr>
    </w:p>
    <w:sectPr>
      <w:footerReference w:type="default" r:id="rId2"/>
      <w:pgSz w:w="11906" w:h="16838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Style w:val="Pie"/>
    </w:pPr>
    <w:r>
      <w:t xml:space="preserve">SEVEN-G · Plantilla P40 · Solicitud y registro de excepciones · CC BY 4.0 · Fernando García · SEACHAD · Generada desde la fuente Markdown: no edite la plantilla, rellene una copia.</w:t>
    </w:r>
    <w:r>
      <w:rPr>
        <w:color w:val="66605C"/>
        <w:sz w:val="15"/>
      </w:rPr>
      <w:t xml:space="preserve"> · </w:t>
    </w:r>
    <w:r>
      <w:rPr>
        <w:sz w:val="15"/>
      </w:rPr>
      <w:fldChar w:fldCharType="begin"/>
    </w:r>
    <w:r>
      <w:rPr>
        <w:sz w:val="15"/>
      </w:rPr>
      <w:instrText xml:space="preserve"> PAGE </w:instrText>
    </w:r>
    <w:r>
      <w:rPr>
        <w:sz w:val="15"/>
      </w:rPr>
      <w:fldChar w:fldCharType="separate"/>
    </w:r>
    <w:r>
      <w:rPr>
        <w:sz w:val="15"/>
      </w:rPr>
      <w:t>1</w:t>
    </w:r>
    <w:r>
      <w:rPr>
        <w:sz w:val="15"/>
      </w:rPr>
      <w:fldChar w:fldCharType="end"/>
    </w:r>
  </w:p>
</w:ftr>
</file>

<file path=word/styles.xml><?xml version="1.0" encoding="utf-8"?>
<w:styles xmlns:w="http://schemas.openxmlformats.org/wordprocessingml/2006/main">
  <w:docDefaults>
    <w:rPrDefault>
      <w:rPr>
        <w:rFonts w:ascii="Georgia" w:hAnsi="Georgia" w:eastAsia="Georgia" w:cs="Georgia"/>
        <w:color w:val="1A1817"/>
        <w:sz w:val="20"/>
        <w:szCs w:val="20"/>
        <w:lang w:val="es-ES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next w:val="Normal"/>
    <w:qFormat/>
    <w:pPr>
      <w:spacing w:after="160"/>
    </w:pPr>
    <w:rPr>
      <w:b/>
      <w:color w:val="1A1817"/>
      <w:sz w:val="40"/>
    </w:rPr>
  </w:style>
  <w:style w:type="paragraph" w:styleId="Heading1">
    <w:name w:val="heading 1"/>
    <w:basedOn w:val="Normal"/>
    <w:next w:val="Normal"/>
    <w:qFormat/>
    <w:pPr>
      <w:keepNext/>
      <w:pBdr>
        <w:top w:val="single" w:sz="12" w:space="4" w:color="990F3D"/>
      </w:pBdr>
      <w:spacing w:before="360" w:after="120"/>
      <w:outlineLvl w:val="0"/>
    </w:pPr>
    <w:rPr>
      <w:b/>
      <w:color w:val="990F3D"/>
      <w:sz w:val="28"/>
    </w:rPr>
  </w:style>
  <w:style w:type="paragraph" w:styleId="Heading2">
    <w:name w:val="heading 2"/>
    <w:basedOn w:val="Normal"/>
    <w:next w:val="Normal"/>
    <w:qFormat/>
    <w:pPr>
      <w:keepNext/>
      <w:spacing w:before="240" w:after="80"/>
      <w:outlineLvl w:val="1"/>
    </w:pPr>
    <w:rPr>
      <w:b/>
      <w:color w:val="0D7680"/>
      <w:sz w:val="24"/>
    </w:rPr>
  </w:style>
  <w:style w:type="paragraph" w:styleId="Heading3">
    <w:name w:val="heading 3"/>
    <w:basedOn w:val="Normal"/>
    <w:next w:val="Normal"/>
    <w:qFormat/>
    <w:pPr>
      <w:keepNext/>
      <w:spacing w:before="200" w:after="60"/>
      <w:outlineLvl w:val="2"/>
    </w:pPr>
    <w:rPr>
      <w:b/>
      <w:sz w:val="21"/>
    </w:rPr>
  </w:style>
  <w:style w:type="paragraph" w:styleId="Cita">
    <w:name w:val="Cita SEVEN-G"/>
    <w:basedOn w:val="Normal"/>
    <w:pPr>
      <w:pBdr>
        <w:left w:val="single" w:sz="18" w:space="8" w:color="990F3D"/>
      </w:pBdr>
      <w:shd w:val="clear" w:color="auto" w:fill="FFF1E5"/>
      <w:ind w:left="240" w:right="120"/>
      <w:spacing w:before="120" w:after="160"/>
    </w:pPr>
    <w:rPr>
      <w:sz w:val="17"/>
    </w:rPr>
  </w:style>
  <w:style w:type="paragraph" w:styleId="Celda">
    <w:name w:val="Celda"/>
    <w:basedOn w:val="Normal"/>
    <w:pPr>
      <w:spacing w:before="20" w:after="20" w:line="240" w:lineRule="auto"/>
    </w:pPr>
    <w:rPr>
      <w:sz w:val="17"/>
    </w:rPr>
  </w:style>
  <w:style w:type="paragraph" w:styleId="Lista">
    <w:name w:val="Lista SEVEN-G"/>
    <w:basedOn w:val="Normal"/>
    <w:pPr>
      <w:ind w:left="360" w:hanging="240"/>
      <w:spacing w:after="60"/>
    </w:pPr>
  </w:style>
  <w:style w:type="paragraph" w:styleId="Lista2">
    <w:name w:val="Lista SEVEN-G 2"/>
    <w:basedOn w:val="Lista"/>
    <w:pPr>
      <w:ind w:left="720" w:hanging="240"/>
    </w:pPr>
  </w:style>
  <w:style w:type="paragraph" w:styleId="Separador">
    <w:name w:val="Separador"/>
    <w:basedOn w:val="Normal"/>
    <w:pPr>
      <w:pBdr>
        <w:bottom w:val="single" w:sz="4" w:space="1" w:color="CCC1B7"/>
      </w:pBdr>
      <w:spacing w:after="120"/>
    </w:pPr>
  </w:style>
  <w:style w:type="paragraph" w:styleId="Espacio">
    <w:name w:val="Espacio"/>
    <w:basedOn w:val="Normal"/>
    <w:pPr>
      <w:spacing w:after="60" w:line="120" w:lineRule="exact"/>
    </w:pPr>
  </w:style>
  <w:style w:type="paragraph" w:styleId="Pie">
    <w:name w:val="footer"/>
    <w:basedOn w:val="Normal"/>
    <w:rPr>
      <w:color w:val="66605C"/>
      <w:sz w:val="15"/>
    </w:rPr>
  </w:style>
  <w:style w:type="table" w:styleId="TablaSG">
    <w:name w:val="Tabla SEVEN-G"/>
    <w:tblPr>
      <w:tblBorders>
        <w:top w:val="single" w:sz="4" w:space="0" w:color="CCC1B7"/>
        <w:left w:val="single" w:sz="4" w:space="0" w:color="CCC1B7"/>
        <w:bottom w:val="single" w:sz="4" w:space="0" w:color="CCC1B7"/>
        <w:right w:val="single" w:sz="4" w:space="0" w:color="CCC1B7"/>
        <w:insideH w:val="single" w:sz="4" w:space="0" w:color="CCC1B7"/>
        <w:insideV w:val="single" w:sz="4" w:space="0" w:color="CCC1B7"/>
      </w:tblBorders>
      <w:tblCellMar>
        <w:top w:w="40" w:type="dxa"/>
        <w:left w:w="80" w:type="dxa"/>
        <w:bottom w:w="40" w:type="dxa"/>
        <w:right w:w="8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SEVEN-G docx.ps1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P40 · Solicitud y registro de excepciones</dc:title>
  <dc:creator>Fernando García · SEACHAD</dc:creator>
  <dc:language>es</dc:language>
  <dc:description>sha256:934b101b5d99f5cec8aa6c84469e081c49bb5cc71ada9bbefe02a2f8810e3cae</dc:description>
  <cp:keywords>SEVEN-G</cp:keywords>
</cp:coreProperties>
</file>