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Notificaciones y comunicaciones de incidentes</w:t>
      </w:r>
    </w:p>
    <w:p>
      <w:r>
        <w:rPr>
          <w:b/>
        </w:rPr>
        <w:t xml:space="preserve">Documenta la decisión de notificar o no cada régimen aplicable a un incidente de IA, prepara el contenido común de las notificaciones y las comunicaciones a afectados, empleados y clientes, y sigue sus plazos.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P51 · Notificaciones y comunicaciones de incidentes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19-09-2026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Cita"/>
      </w:pPr>
      <w:r>
        <w:rPr>
          <w:b/>
        </w:rPr>
        <w:t xml:space="preserve">Por qué importa.</w:t>
      </w:r>
      <w:r>
        <w:t xml:space="preserve"> Un mismo incidente de IA puede activar a la vez el Reglamento de IA, el RGPD, DORA y NIS2, cada uno con su reloj, que empieza cuando se tiene constancia y no cuando termina el análisis. Omitir o retrasar una notificación obligatoria es una no conformidad crítica (01 §12), y no notificar sin dejar constancia del porqué es indefendible ante un supervisor. Esta plantilla obliga a valorar todos los regímenes en paralelo, a motivar por escrito la decisión de no notificar y a tener preparados los mensajes a personas afectadas, empleados y clientes antes de necesitarlos.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Los modelos de las secciones 5 a 9 se adaptan al sistema en la fase 5, junto con el plan de respuesta (P26), antes de G5. En cada incidente, la sección 3 se abre en el triaje y el registro de la sección 10 se mantiene hasta el informe final de cada régimen.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responsable de riesgos de IA y cumplimiento valora los regímenes; el delegado de protección de datos, las brechas de datos personales; el coordinador del incidente aporta los hechos; comunicación corporativa redacta los mensajes.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Asesoría jurídica valida toda notificación y toda comunicación externa, y la decisión motivada de no notificar. En Enterprise, el auditor de IA revisa el registro en R6.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 o aprueba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Notifica quien la norma designa (proveedor, responsable del tratamiento, entidad financiera, entidad esencial o importante). Internamente firma la persona que el plan P26 designa; en S1, con conocimiento del patrocinador de IA y de la comisión delegada (37 §4.3).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Etapa, </w:t>
            </w:r>
            <w:r>
              <w:rPr>
                <w:b/>
                <w:i/>
              </w:rPr>
              <w:t xml:space="preserve">gate</w:t>
            </w:r>
            <w:r>
              <w:rPr>
                <w:b/>
              </w:rPr>
              <w:t xml:space="preserve"> o momento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Preparación antes de G5 (G5.17). Uso en la fase 6 durante cada incidente. Revisión en R6 (R6.06), en el simulacro anual de S1 (37 §5) y en C4.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T08 · Registro de no conformidades e incidentes: relojes de notificación y alertas. Esta plantilla recoge el contenido que T08 no redacta.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Documento de referencia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Documento 37 §4.5 (fases 5 y 6) y §5 (regímenes, plazos y reglas); documento 34 (régimen aplicable a cada sistema); documento 36 (notificaciones de proveedores).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La valoración de todos los regímenes y la decisión motivada de no notificar son obligatorias en ambas. Lite puede omitir los campos marcados </w:t>
            </w:r>
            <w:r>
              <w:rPr>
                <w:b/>
              </w:rPr>
              <w:t xml:space="preserve">(Enterprise)</w:t>
            </w:r>
            <w:r>
              <w:t xml:space="preserve">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</w:t>
      </w:r>
      <w:r>
        <w:rPr>
          <w:b/>
        </w:rPr>
        <w:t xml:space="preserve">Los formularios oficiales prevalecen.</w:t>
      </w:r>
      <w:r>
        <w:t xml:space="preserve"> Cuando una autoridad publica un formulario, una plantilla o un canal propio, se usa ese y esta plantilla solo sirve para preparar el contenido. Para el art. 73 del Reglamento de IA existe el Proyecto de orientaciones y plantilla sobre notificación de incidentes graves de la Comisión (34 §3.3); DORA tiene formularios en su normativa de desarrollo, y las autoridades de control y los CSIRT tienen sus propios canales. Esta plantilla no reproduce ni sustituye ninguno.</w:t>
      </w:r>
    </w:p>
    <w:p>
      <w:pPr>
        <w:pStyle w:val="Lista"/>
      </w:pPr>
      <w:r>
        <w:t xml:space="preserve">• Los plazos se toman del documento 37 §5 y se confirman con asesoría jurídica en el momento del incidente; esta plantilla no fija plazos propios.</w:t>
      </w:r>
    </w:p>
    <w:p>
      <w:pPr>
        <w:pStyle w:val="Lista"/>
      </w:pPr>
      <w:r>
        <w:t xml:space="preserve">• El reloj de cada régimen empieza en la fecha y hora de detección registrada en T08 o en el momento que la norma indique; nunca al terminar el análisis.</w:t>
      </w:r>
    </w:p>
    <w:p>
      <w:pPr>
        <w:pStyle w:val="Lista"/>
      </w:pPr>
      <w:r>
        <w:t xml:space="preserve">• Si la norma lo prevé, es preferible una notificación inicial incompleta en plazo a una completa fuera de plazo.</w:t>
      </w:r>
    </w:p>
    <w:p>
      <w:pPr>
        <w:pStyle w:val="Lista"/>
      </w:pPr>
      <w:r>
        <w:t xml:space="preserve">• Toda comunicación externa distingue hechos confirmados de valoraciones en curso y no especula sobre causas.</w:t>
      </w:r>
    </w:p>
    <w:p>
      <w:pPr>
        <w:pStyle w:val="Lista"/>
      </w:pPr>
      <w:r>
        <w:t xml:space="preserve">• Un incidente de IA que es también una brecha o un incidente de seguridad se gestiona </w:t>
      </w:r>
      <w:r>
        <w:rPr>
          <w:b/>
        </w:rPr>
        <w:t xml:space="preserve">una sola vez</w:t>
      </w:r>
      <w:r>
        <w:t xml:space="preserve">, con un único coordinador (37 §1).</w:t>
      </w:r>
    </w:p>
    <w:p>
      <w:r>
        <w:t xml:space="preserve">Esta plantilla no constituye asesoramiento jurídico (fecha de consulta de referencia del marco: septiembre de 2026).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Incidente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INC-AAAA-NNN (P27, T08).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Sistema e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SIA-AAAA-NNN · IA-AAAA-NNN.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Severidad actual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S1 · S2 · S3 · S4 (37 §4.2).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y hora de detección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Inicio de los relojes.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Papel de la compañía respecto al sistema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Proveedor · Responsable del despliegue · Ambos (P11, documento 34).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Papel respecto a los datos personales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Responsable del tratamiento · Encargado · No aplica.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Sujeta a DORA · a NIS2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 · Por determinar (P26 §2).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Coordinador del incidente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Responsable de la valoración regulatoria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Responsable de riesgos de IA y cumplimiento.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Decisión de notificar o no</w:t>
      </w:r>
    </w:p>
    <w:p>
      <w:r>
        <w:t xml:space="preserve">Una fila por régimen. Se valora </w:t>
      </w:r>
      <w:r>
        <w:rPr>
          <w:b/>
        </w:rPr>
        <w:t xml:space="preserve">en paralelo a la contención</w:t>
      </w:r>
      <w:r>
        <w:t xml:space="preserve">. Cuando la respuesta es No, la motivación es obligatoria.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Régimen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¿Aplica? (Sí · No · Por determinar)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Criterio valorado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Decisión (Notificar · No notificar · Pendiente)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Motivación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Decide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Valida jurídico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y hora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Reglamento de IA, art. 73 (incidente grave de sistema de alto riesgo)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¿Incidente grave según el art. 3.49? ¿Sistema de alto riesgo? ¿Papel de la compañía?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Reglamento de IA, art. 26.5 (información del responsable del despliegue al proveedor)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¿La compañía despliega un sistema de alto riesgo de un tercero?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RGPD, art. 33 (autoridad de control)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¿Brecha de datos personales? ¿Es improbable que suponga un riesgo para los derechos y libertades?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RGPD, art. 34 (interesados)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¿Es probable un alto riesgo para las personas?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DORA, art. 19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¿Incidente grave relacionado con las TIC según sus criterios de clasificación?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NIS2, art. 23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¿Incidente significativo según la transposición nacional?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Regulación sectorial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Supervisor sectorial o esquema de seguridad del sector público (P02).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Obligaciones contractuales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Contratos con clientes o proveedores.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RGPD, art. 33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Datos de contacto de 40 clientes visibles para otro cliente durante 20 minutos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Notificar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Riesgo no improbable: datos identificativos expuestos a un tercero no autorizado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Delegado de protección de datos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12-11-2026 18:30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3.1 Decisión motivada de no notificar</w:t>
      </w:r>
    </w:p>
    <w:p>
      <w:r>
        <w:t xml:space="preserve">Una por cada régimen valorado como No notificar. Se conserva aunque el incidente se cierre sin consecuencias.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Régimen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Hechos considerados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se sabía en el momento de decidir, con fecha y hora.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Criterio normativo aplicado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Por qué no se cumple el umbral (por ejemplo, no es un sistema de alto riesgo; es improbable que la brecha suponga un riesgo; no se alcanzan los criterios de clasificación).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Incertidumbres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no se sabe todavía y qué haría cambiar la decisión.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Revisión prevista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Cuándo se revisa la decisión si aparecen hechos nuevos.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Decide · valida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Rol, nombre, fecha; validación de asesoría jurídica y, en brechas, del delegado de protección de datos.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Contenido común de las notificaciones</w:t>
      </w:r>
    </w:p>
    <w:p>
      <w:r>
        <w:t xml:space="preserve">Base para rellenar cualquier formulario oficial. Cada régimen pide un subconjunto y su propio formato.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Entidad notificante y contacto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Razón social, persona de contacto, delegado de protección de datos si aplica.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Referencia interna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INC-AAAA-NNN.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Fechas y horas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Inicio estimado, detección, clasificación, contención.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Sistema afectado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Nombre, versión, proveedor, finalidad, papel de la compañía.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Descripción del incidente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ha ocurrido, en lenguaje claro.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Personas y datos afectados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Número y categorías, aproximados si no se conocen con exactitud. </w:t>
            </w:r>
            <w:r>
              <w:rPr>
                <w:i/>
              </w:rPr>
              <w:t xml:space="preserve">Sin dato</w:t>
            </w:r>
            <w:r>
              <w:t xml:space="preserve"> si se desconoce.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Consecuencias probables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Por eje de impacto (33 §4.2).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Vínculo causal con el sistema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Establecido · Probabilidad razonable · En análisis (relevante para el art. 73).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Medidas adoptadas y previstas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Contención, mitigación para las personas, corrección.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Efecto transfronterizo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Estados miembros afectados.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Evidencias conservadas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Registros, versiones y configuraciones preservados antes de modificar el sistema (37 §4.5; art. 73.6 para proveedores de alto riesgo).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Naturaleza del informe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Inicial · Intermedio · Final · Complemento de un informe incompleto.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Notificación de incidente grave (Reglamento de IA)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¿Quién notifica?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Proveedor del sistema de alto riesgo. Si la compañía es responsable del despliegue, informa </w:t>
            </w:r>
            <w:r>
              <w:rPr>
                <w:b/>
              </w:rPr>
              <w:t xml:space="preserve">inmediatamente</w:t>
            </w:r>
            <w:r>
              <w:t xml:space="preserve"> primero al proveedor y después al importador o distribuidor y a las autoridades de vigilancia del mercado (art. 26.5).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Destinatario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Autoridad de vigilancia del mercado del Estado miembro donde se produjo; la Oficina Europea de IA para los sistemas de su competencia (37 §5).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Supuesto de plazo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General: no más de 15 días · Infracción generalizada o alteración grave e irreversible de infraestructuras críticas: 2 días · Fallecimiento: 10 días. Desde que se tiene conocimiento.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y hora en que se tiene conocimiento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límite calculada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Confirmada por asesoría jurídica.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Informe inicial incompleto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No. Qué falta y cuándo se completará.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Régimen limitado por notificación sectorial equivalente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No, con justificación (art. 73.9 y 73.10).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Formulario usado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Plantilla oficial vigente o canal de la autoridad; versión y fecha.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Aplicabilidad temporal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obligaciones de los sistemas de alto riesgo del anexo III se aplican desde el 2 de diciembre de 2027; hasta entonces, el criterio de incidente grave es el umbral interno de S1 y la valoración se documenta (37 §5).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Notificación de violación de la seguridad de los datos personales (RGPD)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Autoridad de control competente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En España, la Agencia Española de Protección de Datos, salvo tratamientos transfronterizos con otra autoridad principal.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y hora en que se tiene constancia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límite de 72 horas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se notifica después, motivos del retraso.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Contenido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Naturaleza de la violación; categorías y número aproximado de interesados y de registros; contacto del delegado de protección de datos; consecuencias probables; medidas adoptadas o propuestas, incluidas las de mitigación. Si no se dispone de toda la información, se facilita por fases.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Encargado del tratamiento implicado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Fecha en que notificó a la compañía.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Documentación interna de la brecha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Todas las brechas se documentan, se notifiquen o no.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Notificaciones DORA y NIS2</w:t>
      </w:r>
    </w:p>
    <w:p>
      <w:r>
        <w:t xml:space="preserve">Solo por remisión: se usan los formularios y canales oficiales. Esta tabla sigue las fases y los plazos de 37 §5.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Régimen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Fase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Plazo de referencia (37 §5)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límite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Enviada (fecha y hora)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Referencia de la autoridad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DORA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Notificación inicial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4 horas desde la clasificación como grave y no más de 24 horas desde que se tiene conocimiento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DORA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Informe intermedio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72 horas desde la notificación inicial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DORA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Informe final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Un mes después del último informe intermedio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DORA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Información a clientes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Cuando el incidente afecta a sus intereses financieros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NIS2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Alerta temprana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24 horas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NIS2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Notificación del incidente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72 horas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NIS2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Informe final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Un mes después de la notificación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Para las entidades financieras, DORA actúa como norma sectorial respecto de NIS2 en la notificación de incidentes; el régimen se confirma en el documento 34.</w:t>
      </w:r>
    </w:p>
    <w:p>
      <w:pPr>
        <w:pStyle w:val="Separador"/>
      </w:pPr>
    </w:p>
    <w:p>
      <w:pPr>
        <w:pStyle w:val="Heading1"/>
      </w:pPr>
      <w:r>
        <w:t xml:space="preserve">8. Comunicación a personas afectadas</w:t>
      </w:r>
    </w:p>
    <w:p>
      <w:r>
        <w:t xml:space="preserve">Obligatoria cuando el RGPD la exige (probable alto riesgo para las personas) y recomendable cuando el incidente afecta a sus decisiones o intereses aunque ninguna norma la exija </w:t>
      </w:r>
      <w:r>
        <w:rPr>
          <w:b/>
        </w:rPr>
        <w:t xml:space="preserve">(Enterprise)</w:t>
      </w:r>
      <w:r>
        <w:t xml:space="preserve">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Elemento del mensaje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Qué ha ocurrido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Lenguaje claro y sencillo, sin tecnicismos.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Qué datos o decisiones les afectan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Consecuencias posibles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Sin minimizar ni alarmar.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Qué ha hecho la compañía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Contención y corrección.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Qué pueden hacer ellos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Medidas de protección recomendadas; revisión humana de decisiones afectadas.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Contacto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Delegado de protección de datos o punto de contacto específico.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Canal y fecha de envío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i/>
        </w:rPr>
        <w:t xml:space="preserve">(ejemplo ilustrativo)</w:t>
      </w:r>
      <w:r>
        <w:t xml:space="preserve"> «El 12 de noviembre, durante unos 20 minutos, un error en nuestro asistente de consultas mostró su nombre y su teléfono a otro cliente. Hemos corregido el fallo y el asistente funciona con controles adicionales. No se vieron datos bancarios ni contraseñas. Si recibe llamadas inesperadas en nombre de la compañía, no facilite datos y contacte con nuestro delegado de protección de datos en el canal habitual.»</w:t>
      </w:r>
    </w:p>
    <w:p>
      <w:pPr>
        <w:pStyle w:val="Separador"/>
      </w:pPr>
    </w:p>
    <w:p>
      <w:pPr>
        <w:pStyle w:val="Heading1"/>
      </w:pPr>
      <w:r>
        <w:t xml:space="preserve">9. Comunicación interna y a clientes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Destinatario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Momento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 mínimo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Valida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Enviada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Comité de IA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S1: 4 horas · S2: 24 horas (37 §4.3)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Qué ha ocurrido, a quién afecta, qué se ha contenido, notificaciones hechas o en plazo, decisiones que pueden requerirse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Coordinador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Responsable de riesgos de IA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Comisión delegada del consejo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S1: 24 horas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Igual que el anterior, con hechos confirmados separados de valoraciones (37 §9)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Patrocinador de IA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Comité de IA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Empleados que usan o supervisan el sistema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Al contener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Qué cambia en su trabajo, proceso alternativo, a quién consultar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Responsable de producto de IA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Comunicación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Clientes afectados (no personas físicas)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Según contrato o cuando proceda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Hechos, efecto en el servicio, medidas, contacto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Comunicación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Jurídico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Proveedores implicados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Al triaje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Hechos, solicitud de información y de conservación de evidencias (36 §6)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Responsable técnico de IA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Jurídico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Comunicación pública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Solo si procede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Mensaje único coordinado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Comunicación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Jurídico y patrocinador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Registro de notificaciones y comunicaciones</w:t>
      </w:r>
    </w:p>
    <w:p>
      <w:r>
        <w:t xml:space="preserve">Una fila por envío. Las filas se identifican con el código del incidente y un número de orden (INC-AAAA-NNN · N*nn*).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rPr>
          <w:tblHeader/>
        </w:trPr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Nº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Régimen o destinatario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 (inicial · intermedio · final · comunicación)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Reloj desde (fecha y hora)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límite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Enviada (fecha y hora)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¿En plazo?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Referencia de acuse</w:t>
            </w:r>
          </w:p>
        </w:tc>
        <w:tc>
          <w:tcPr>
            <w:tcW w:w="1071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</w:tr>
      <w:tr>
        <w:tc>
          <w:tcPr>
            <w:tcW w:w="1071" w:type="dxa"/>
          </w:tcPr>
          <w:p>
            <w:pPr>
              <w:pStyle w:val="Celda"/>
            </w:pPr>
            <w:r>
              <w:t xml:space="preserve">N01</w:t>
            </w: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</w:tr>
      <w:tr>
        <w:tc>
          <w:tcPr>
            <w:tcW w:w="1071" w:type="dxa"/>
          </w:tcPr>
          <w:p>
            <w:pPr>
              <w:pStyle w:val="Celda"/>
            </w:pPr>
            <w:r>
              <w:t xml:space="preserve">N02</w:t>
            </w: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  <w:tc>
          <w:tcPr>
            <w:tcW w:w="1071" w:type="dxa"/>
          </w:tcPr>
          <w:p>
            <w:pPr>
              <w:pStyle w:val="Celda"/>
            </w:pPr>
          </w:p>
        </w:tc>
      </w:tr>
      <w:tr>
        <w:tc>
          <w:tcPr>
            <w:tcW w:w="1071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INC-2026-021 · N01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RGPD · autoridad de control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Inicial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12-11-2026 17:10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15-11-2026 17:10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13-11-2026 11:40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Sí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Acuse de la sede electrónica</w:t>
            </w:r>
          </w:p>
        </w:tc>
        <w:tc>
          <w:tcPr>
            <w:tcW w:w="1071" w:type="dxa"/>
          </w:tcPr>
          <w:p>
            <w:pPr>
              <w:pStyle w:val="Celda"/>
            </w:pPr>
            <w:r>
              <w:t xml:space="preserve">Delegado de protección de datos</w:t>
            </w:r>
          </w:p>
        </w:tc>
      </w:tr>
    </w:tbl>
    <w:p>
      <w:pPr>
        <w:pStyle w:val="Espacio"/>
      </w:pPr>
    </w:p>
    <w:p>
      <w:r>
        <w:t xml:space="preserve">Una notificación fuera de plazo o omitida abre una no conformidad crítica en P50, además de las que revele el incidente (37 §6).</w:t>
      </w:r>
    </w:p>
    <w:p>
      <w:pPr>
        <w:pStyle w:val="Separador"/>
      </w:pPr>
    </w:p>
    <w:p>
      <w:pPr>
        <w:pStyle w:val="Heading1"/>
      </w:pPr>
      <w:r>
        <w:t xml:space="preserve">11. Criterios de calidad</w:t>
      </w:r>
    </w:p>
    <w:p>
      <w:r>
        <w:t xml:space="preserve">Criterios formales en el documento 21 (G5.17 y R6.06) y proceso en el documento 37.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 han valorado todos los regímenes en paralelo a la contención, con fecha y hora.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decisión de no notificar está motivada, fechada y validada por asesoría jurídica.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plazos se calculan desde el momento de conocimiento y están confirmados por asesoría jurídica.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 han usado los formularios o canales oficiales vigentes cuando existen.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comunicaciones distinguen hechos confirmados de valoraciones en curso y han sido validadas.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registro permite demostrar para cada envío que se hizo en plazo.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incumplimientos de plazo tienen no conformidad abierta en P50.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12.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Valora los regímenes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riesgos de IA y cumplimiento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Valora las brechas y comunica a interesados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Delegado de protección de datos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Aporta los hechos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Coordinador del incidente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Redacta las comunicaciones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Comunicación corporativa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Valida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Asesoría jurídica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Revisa el registro en R6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 (Lite) · Auditor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quien decide no notificar no valida su propia decisión; la validación la hace asesoría jurídica.</w:t>
      </w:r>
    </w:p>
    <w:p>
      <w:pPr>
        <w:pStyle w:val="Separador"/>
      </w:pPr>
    </w:p>
    <w:p>
      <w:pPr>
        <w:pStyle w:val="Heading1"/>
      </w:pPr>
      <w:r>
        <w:t xml:space="preserve">13.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19-09-2026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Decisión de notificar con decisión motivada de no notificar, contenido común, notificaciones del Reglamento de IA y del RGPD, remisión a DORA y NIS2, comunicaciones a afectados, internas y a clientes, y registro de plazos según 37 §5.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P51 · Notificaciones y comunicaciones de incidentes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P51 · Notificaciones y comunicaciones de incidentes</dc:title>
  <dc:creator>Fernando García · SEACHAD</dc:creator>
  <dc:language>es</dc:language>
  <dc:description>sha256:7f937a79d68b1346f51b301858370c4746fa5857907addfc6246b3336f506ea8</dc:description>
  <cp:keywords>SEVEN-G</cp:keywords>
</cp:coreProperties>
</file>