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Registro de proveedores y plan de salida</w:t>
      </w:r>
    </w:p>
    <w:p>
      <w:r>
        <w:rPr>
          <w:b/>
        </w:rPr>
        <w:t xml:space="preserve">Mantiene el registro de proveedores de IA de la compañía, documenta sus revisiones periódicas y prepara, prueba y cierra la salida de cada proveedor con portabilidad verificada y borrado certificado.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P57 · Registro de proveedores y plan de salida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La dependencia de un proveedor se mide en todos los sistemas, no en uno (36 §2, principio 6), y la salida se diseña al entrar, no al terminar (principio 3). Sin un registro único, nadie sabe cuántos sistemas y cuánto valor dependen de un mismo proveedor, qué revisiones han vencido ni qué contratos carecen de cláusulas clave; y sin un plan de salida probado, cambiar de proveedor en una función crítica se vuelve inviable en plazo o coste (RT-TER-01, RT-TER-05, RT-TER-07).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Registro vivo de compañía. Cada relación proveedor–servicio se da de alta en la etapa 1 del ciclo del proveedor (36 §5) y se actualiza en cada etapa. Las actas de revisión siguen la periodicidad del nivel; el plan de salida se documenta en la integración (fases 4–5), se prueba según el nivel y se activa en la etapa 6 (fase 7). La vista de concentración se revisa en C3 y se informa en C4.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Compras mantiene el registro (36 §11); el gestor de la relación y el responsable de operación de IA, las revisiones; el responsable técnico de IA, el plan de salida y la prueba de portabilidad; la asesoría jurídica, el cierre contractual y el certificado de borrado.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oficina de IA comprueba que el registro está completo y las revisiones al día; el auditor de IA verifica en G3, G5 y G7 que la evaluación, el contrato y la salida corresponden al nivel (36 §11).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Aprobación del proveedor según el nivel (36 §4.2). Límites de concentración y aceptación de riesgos Altos de terceros: comité de IA (36 §7.2). Información trimestral al consejo o su comisión delegada (36 §10).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C3 y C4 (concentración) · G3 (G3.20) · G5 (G5.20: proveedor en el registro) · R6 (R6.12) · G7 (G7.12: borrado certificado y baja de accesos).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T09 · Registro de proveedores de IA, módulo de T01 sobre la entidad </w:t>
            </w:r>
            <w:r>
              <w:rPr>
                <w:i/>
              </w:rPr>
              <w:t xml:space="preserve">Proveedor</w:t>
            </w:r>
            <w:r>
              <w:t xml:space="preserve"> del modelo de datos común (03 §4). Esta plantilla es su formato de trabajo y usa los mismos campos (36 §9).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36 §4.2 (requisitos por nivel), §5 (ciclo del proveedor), §6.2 (DORA), §7 (dependencia, portabilidad y concentración), §9 (campos) y §10 (indicadores).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registro es único para la compañía. La profundidad de la revisión y de la salida depende del nivel N1–N3; los campos marcados </w:t>
            </w:r>
            <w:r>
              <w:rPr>
                <w:b/>
              </w:rPr>
              <w:t xml:space="preserve">(Enterprise)</w:t>
            </w:r>
            <w:r>
              <w:t xml:space="preserve"> pueden omitirse para proveedores N1.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Cada relación proveedor–servicio es un registro</w:t>
      </w:r>
      <w:r>
        <w:t xml:space="preserve">, con código PRV-AAAA-NNN. Un mismo proveedor puede tener niveles distintos para servicios distintos (36 §4.1).</w:t>
      </w:r>
    </w:p>
    <w:p>
      <w:pPr>
        <w:pStyle w:val="Lista"/>
      </w:pPr>
      <w:r>
        <w:t xml:space="preserve">• Salida por nivel (36 §4.2): N1, exportación de datos garantizada; N2, plan de salida documentado; N3, plan de salida con alternativa identificada y ensayo o prueba documentada, y prueba de portabilidad al menos una vez al año o antes de renovar (36 §7.1).</w:t>
      </w:r>
    </w:p>
    <w:p>
      <w:pPr>
        <w:pStyle w:val="Lista"/>
      </w:pPr>
      <w:r>
        <w:t xml:space="preserve">• Revisión por nivel (36 §4.2): N1 anual; N2 semestral con indicadores de servicio; N3 trimestral, con indicadores mensuales y reunión de gobierno de la relación.</w:t>
      </w:r>
    </w:p>
    <w:p>
      <w:pPr>
        <w:pStyle w:val="Lista"/>
      </w:pPr>
      <w:r>
        <w:t xml:space="preserve">• Si la compañía está sujeta a DORA, T09 alimenta el registro de información del art. 28.3 (36 §6.2).</w:t>
      </w:r>
    </w:p>
    <w:p>
      <w:pPr>
        <w:pStyle w:val="Lista"/>
      </w:pPr>
      <w:r>
        <w:t xml:space="preserve">• </w:t>
      </w:r>
      <w:r>
        <w:rPr>
          <w:i/>
        </w:rPr>
        <w:t xml:space="preserve">Este documento no constituye asesoramiento jurídico.</w:t>
      </w:r>
    </w:p>
    <w:p>
      <w:pPr>
        <w:pStyle w:val="Separador"/>
      </w:pPr>
    </w:p>
    <w:p>
      <w:pPr>
        <w:pStyle w:val="Heading1"/>
      </w:pPr>
      <w:r>
        <w:t xml:space="preserve">2. Identificación del registro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Compañía o perímetro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Entidad o grupo al que se aplica.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del registro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Compras, con la oficina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corte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Límites de concentración aplicables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Aprobados en C2 (documento 13).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Sujeta a DORA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Registro de proveedores (T09)</w:t>
      </w:r>
    </w:p>
    <w:p>
      <w:pPr>
        <w:pStyle w:val="Heading2"/>
      </w:pPr>
      <w:r>
        <w:t xml:space="preserve">3.1 Identificación y servicio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Razón social · grupo · país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tercero (36 §1.1)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Servicio (descripción comprensible)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Modelos y versiones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contratación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Sistemas e iniciativas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Gestor de la relación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PRV-AAAA-NNN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Construir sobre · Comprar · Adaptar · Aliarse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SIA-AAAA-NNN · IA-AAAA-NNN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PRV-2026-003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Proveedor Alfa, S.A. (ficticio) · Grupo Alfa · Irlanda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Proveedor de modelos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Modelo de lenguaje por interfaz de programación para el asistente de consultas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Modelo general, versión fijada 2026-06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Construir sobre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SIA-2026-007 · IA-2026-012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Responsable técnico del área de clientes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3.2 Clasificación y datos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</w:tblGrid>
      <w:tr>
        <w:trPr>
          <w:tblHeader/>
        </w:trPr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Criticidad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Datos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Autonomía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Sustituibilidad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 crítica o importante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regulatorio (proveedor · compañía)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Datos personales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Ubicación y garantía de transferencias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Retención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Uso para entrenamiento</w:t>
            </w:r>
          </w:p>
        </w:tc>
      </w:tr>
      <w:tr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N1 · N2 · N3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N1 · N2 · N3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N1 · N2 · N3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N1 · N2 · N3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El más alto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Excluido · Autorizado · Sin verificar</w:t>
            </w:r>
          </w:p>
        </w:tc>
      </w:tr>
      <w:tr>
        <w:tc>
          <w:tcPr>
            <w:tcW w:w="803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PRV-2026-003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N1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Proveedor de modelo de propósito general · responsable del despliegue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UE; sin transferencias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30 días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Excluido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3.3 Contrato y evaluación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/>
        </w:trPr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del contrato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Inicio · renovación · fin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Preaviso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de las 16 cláusulas (P56 §3)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Diligencia debida (P55 · P14): fecha y resultado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Certificaciones e informes y vigencia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Evaluación de seguridad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Condiciones impuestas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Registro de información DORA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Presentes · parciales · ausentes (números)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Sí · No · No aplica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PRV-2026-003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Contrato 2026/044 (ficticio)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01-11-2026 · 01-11-2027 · —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90 días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14 presentes; parcial: 8; ausente: 11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10-10-2026 · Conforme con observaciones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ISO/IEC 27001 hasta 03-2028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Documental, conforme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Captura de configuración antes de G5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No aplica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3.4 Riesgo, seguimiento, dependencia y estado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</w:tblGrid>
      <w:tr>
        <w:trPr>
          <w:tblHeader/>
        </w:trPr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Riesgos vinculados (T06)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 principal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Indicadores de servicio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Incidentes imputables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 de modelo notificados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Última · próxima revisión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Sustituibilidad estimada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Alternativa identificada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Plan de salida (fecha de prueba)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de cartera dependiente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RT-TER-NN · IA-AAAA-NNN · Rnn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Bajo · Medio · Alto · Crítico</w:t>
            </w: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INC-AAAA-NNN</w:t>
            </w: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En evaluación · Aprobado · Aprobado con condiciones · Rechazado · En salida · Finalizado</w:t>
            </w:r>
          </w:p>
        </w:tc>
      </w:tr>
      <w:tr>
        <w:tc>
          <w:tcPr>
            <w:tcW w:w="803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PRV-2026-003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RT-TER-01, RT-TER-03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Medio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Disponibilidad 99,8 %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Ninguno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1 (evaluado antes de su efecto)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15-01-2027 · 15-07-2027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6 meses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Proveedor Beta (ficticio)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Sí (sin prueba; N2)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8 % del valor validado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Aprobado con condiciones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3.5 Subencargados </w:t>
      </w:r>
      <w:r>
        <w:rPr>
          <w:b/>
        </w:rPr>
        <w:t xml:space="preserve">(Enterprise)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PRV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Subencargado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Ubicación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¿Subcontrata una función crítica?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¿Común a otros proveedores N2 o N3?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3.6 Historial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PRV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Evento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Alta · Cambio de nivel · Revisión · Disparador · Incidente · Cambio de estado · Salida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Concentración y dependencia de cartera</w:t>
      </w:r>
    </w:p>
    <w:p>
      <w:r>
        <w:t xml:space="preserve">Indicadores de 36 §7.2, medidos en cartera (33 §10). Cuando se supera un límite, el comité de IA decide entre diversificar, reforzar la salida o aceptar el riesgo (33 §7).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por proveedor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Límite aprobado (C2)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Situación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 del comité de 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Sistemas en producción por proveedor de modelos y de plataforma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Dentro · Superado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Valor dependiente (proporción del valor validado)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Funciones críticas o importantes dependientes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Proveedores N3 sin salida probada (número y antigüedad)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Subencargados comunes a varios proveedores N2 o N3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Información trimestral al consejo o su comisión delegada (36 §10): concentración, proveedores N3 sin salida probada, incidentes S1 y S2 imputables a terceros y aceptaciones de riesgos de terceros de nivel Alto.</w:t>
      </w:r>
    </w:p>
    <w:p>
      <w:pPr>
        <w:pStyle w:val="Separador"/>
      </w:pPr>
    </w:p>
    <w:p>
      <w:pPr>
        <w:pStyle w:val="Heading1"/>
      </w:pPr>
      <w:r>
        <w:t xml:space="preserve">5. Acta de revisión periódica del proveedor</w:t>
      </w:r>
    </w:p>
    <w:p>
      <w:r>
        <w:t xml:space="preserve">Una por revisión y por relación (36 §5, etapa 5). Periodicidad según el nivel (sección 1).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PRV y proveedor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tipo de revisión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Periódica · Por disparador · Previa a la renovación.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Asistentes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Gestor de la relación, responsable de operación de IA y, en N3, representantes del proveedor (reunión de gobierno de la relación).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Indicadores de servicio del periodo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Frente a los niveles de la cláusula 9.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Incidentes imputables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INC-AAAA-NNN y severidad.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Cambios de modelo, versiones y retiradas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¿Se notificaron y evaluaron antes de su efecto?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Cambios de subencargados o ubicación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Cumplimiento del contrato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Cláusulas incumplidas o parciales.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Funciones de IA nuevas (IA embebida)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Revisión de actualizaciones y configuración (36 §8.1, paso 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Disparadores de reevaluación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Cambio de modelo o versión principal · cambio de subencargados o ubicación · incidente S1 o S2 · cambio de propiedad · cambio de uso o de autonomía · nueva obligación regulatoria · deterioro de indicadores · aviso de retirada de un modelo (36 §5).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Reevaluación del nivel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mantiene · Cambia a N*n* (actualizar P14 y, si procede, P55).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Continuar · Continuar con condiciones · Activar el plan de salida.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Acuerdo o acción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Abierta · Cumplida · Vencida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Evaluar la nueva versión anunciada con el conjunto de evaluación propio antes de su efecto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30-06-2027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Abierta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Plan de salida</w:t>
      </w:r>
    </w:p>
    <w:p>
      <w:r>
        <w:t xml:space="preserve">Uno por relación N2 o N3 (36 §4.2). Se documenta en la integración y se revisa en cada revisión periódica.</w:t>
      </w:r>
    </w:p>
    <w:p>
      <w:pPr>
        <w:pStyle w:val="Heading2"/>
      </w:pPr>
      <w:r>
        <w:t xml:space="preserve">6.1 Planteamiento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PRV y servicio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Causas de activación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Terminación, incumplimiento grave, cambio regulatorio, disparador no resuelto, decisión de retirar en G7 (P30).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Alternativa identificada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Proveedor, modelo o solución interna. Obligatoria en N3.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 objetivo de sustitución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Coherente con la sustituibilidad del nivel (36 §4.1).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de salida estimado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Categorías del documento 42; se incluye en el coste total de P10.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Continuidad durante la transición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Periodo de transición contractual (cláusula 15) y medidas del servicio.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6.2 Qué se recupera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Elemento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Formato de exportación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Comprobado (fecha)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Datos de la compañía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Configuraciones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Instrucciones y flujos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Registros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Índices, memorias y bases de conocimiento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Conjunto de evaluación propio y resultados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Documentación y conocimiento del integrador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6.3 Pasos de la salida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Paso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Notificación al proveedor y activación de la transición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Asesoría jurídica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Exportación y comprobación de integridad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Puesta en marcha de la alternativa y validación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P22 si hay cambio relevante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Revocación de accesos, identidades y credenciales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Borrado por el proveedor y sus subencargados; certificado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Asesoría jurídica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Sección 8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Cierre de la relación y lecciones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Gestor de la relación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Sección 9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Prueba de portabilidad</w:t>
      </w:r>
    </w:p>
    <w:p>
      <w:r>
        <w:t xml:space="preserve">Obligatoria para servicios N3 al menos una vez al año o antes de renovar (36 §7.1); en N2, </w:t>
      </w:r>
      <w:r>
        <w:rPr>
          <w:b/>
        </w:rPr>
        <w:t xml:space="preserve">debería</w:t>
      </w:r>
      <w:r>
        <w:t xml:space="preserve"> hacerse antes de renovar.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PRV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prueba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Conjunto de evaluación propio usado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Versión y tamaño.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Alternativa probada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Modelo o proveedor.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Diferencia de resultados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Métricas de calidad frente al proveedor actual.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Diferencia de coste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Coste por uso o total anual.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Esfuerzo de migración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Personas, plazo y cambios necesarios.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Salida viable · Viable con condiciones · No viable (se informa al comité de IA).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Próxima prueba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  <w:i/>
              </w:rPr>
              <w:t xml:space="preserve">(ejemplo ilustrativo)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Calidad del modelo alternativo 3 puntos inferior en el conjunto de evaluación; coste un 10 % menor; migración estimada en seis semanas. Salida viable con condiciones: ajustar instrucciones.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Certificado de borrado (modelo)</w:t>
      </w:r>
    </w:p>
    <w:p>
      <w:r>
        <w:t xml:space="preserve">Texto de partida que firma el proveedor al terminar (cláusula 15 de P56). Debe revisarlo la asesoría jurídica.</w:t>
      </w:r>
    </w:p>
    <w:p>
      <w:r>
        <w:rPr>
          <w:b/>
        </w:rPr>
        <w:t xml:space="preserve">[El Proveedor]</w:t>
      </w:r>
      <w:r>
        <w:t xml:space="preserve">, representado por </w:t>
      </w:r>
      <w:r>
        <w:rPr>
          <w:b/>
        </w:rPr>
        <w:t xml:space="preserve">[nombre y cargo]</w:t>
      </w:r>
      <w:r>
        <w:t xml:space="preserve">, certifica que el </w:t>
      </w:r>
      <w:r>
        <w:rPr>
          <w:b/>
        </w:rPr>
        <w:t xml:space="preserve">[fecha]</w:t>
      </w:r>
      <w:r>
        <w:t xml:space="preserve"> ha borrado de forma irreversible los Datos de la Compañía relacionados con el contrato </w:t>
      </w:r>
      <w:r>
        <w:rPr>
          <w:b/>
        </w:rPr>
        <w:t xml:space="preserve">[referencia]</w:t>
      </w:r>
      <w:r>
        <w:t xml:space="preserve">, incluidas Entradas, Resultados, registros, índices, memorias y copias de seguridad, en sus sistemas y en los de sus Subencargados </w:t>
      </w:r>
      <w:r>
        <w:rPr>
          <w:b/>
        </w:rPr>
        <w:t xml:space="preserve">[relación]</w:t>
      </w:r>
      <w:r>
        <w:t xml:space="preserve">, mediante </w:t>
      </w:r>
      <w:r>
        <w:rPr>
          <w:b/>
        </w:rPr>
        <w:t xml:space="preserve">[método]</w:t>
      </w:r>
      <w:r>
        <w:t xml:space="preserve">, salvo los datos que deba conservar por obligación legal, que se detallan en </w:t>
      </w:r>
      <w:r>
        <w:rPr>
          <w:b/>
        </w:rPr>
        <w:t xml:space="preserve">[apéndice]</w:t>
      </w:r>
      <w:r>
        <w:t xml:space="preserve"> con su fundamento y plazo. Todos los accesos de la Compañía han sido revocados.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Verificación por la compañía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Certificado recibido (fecha)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Cubre subencargados y copias de seguridad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Sí · No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Datos conservados por obligación legal justificados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Sí · No · No aplica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Accesos revocados comprobados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Sí · No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Verificado por (protección de datos)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Acta de cierre de la relación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PRV y fecha de cierre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 de la salida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Transición completada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No; incidencias.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Certificado de borrado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(sección 8).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Accesos revocados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real de salida frente al estimado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Lecciones aprendidas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También en P30 si la salida acompaña a una retirada.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final en T09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Finalizado.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proveedor en uso tiene un registro por servicio con nivel justificado por los cuatro factores (G3.20).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 proveedor de un sistema en producción está en el registro con contrato firmado (G5.20).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Ninguna revisión periódica está vencida; los cambios del proveedor se han revisado (R6.12).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proveedores N2 tienen plan de salida documentado y los N3 alternativa y prueba documentada.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indicadores de concentración se comparan con los límites de C2 y las superaciones tienen decisión del comité de IA.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cada retirada consta el borrado certificado y la baja de accesos (G7.12).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aplica DORA, el registro de información está al día.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proveedores se evalúan con los niveles N1–N3 (D6.08 del documento 11).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Mantiene el registro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Compras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la relación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Gestor de la relación · 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 el plan de salida y la prueba de portabilidad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· Auditor de IA (G3, G5 y G7)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 sobre concentración y riesgos Altos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gestiona la relación con el proveedor no verifica sus revisiones ni la prueba de portabilidad; el borrado lo certifica el proveedor y lo verifica protección de datos.</w:t>
      </w:r>
    </w:p>
    <w:p>
      <w:pPr>
        <w:pStyle w:val="Separador"/>
      </w:pPr>
    </w:p>
    <w:p>
      <w:pPr>
        <w:pStyle w:val="Heading1"/>
      </w:pPr>
      <w:r>
        <w:t xml:space="preserve">12.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Campos del registro de 36 §9, concentración de 36 §7.2, acta de revisión periódica (36 §5), plan de salida, prueba de portabilidad (36 §7.1), certificado de borrado y acta de cierre. Formato de trabajo de T09.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P57 · Registro de proveedores y plan de salida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P57 · Registro de proveedores y plan de salida</dc:title>
  <dc:creator>Fernando García · SEACHAD</dc:creator>
  <dc:language>es</dc:language>
  <dc:description>sha256:0b03aeb0533ba2f4f99d44371aa230eba3cf53023e0c07a56b852f430293fc97</dc:description>
  <cp:keywords>SEVEN-G</cp:keywords>
</cp:coreProperties>
</file>