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Declaración de contexto y restricciones</w:t>
      </w:r>
    </w:p>
    <w:p>
      <w:r>
        <w:rPr>
          <w:b/>
        </w:rPr>
        <w:t xml:space="preserve">Deja por escrito, antes de invertir, el marco estratégico, regulatorio, ético, de datos, económico y organizativo dentro del cual debe desarrollarse la iniciativa.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P02 · Declaración de contexto y restricciones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0, junto con la carta de la iniciativa (P01). Se revisa en G3 y cuando cambie una restricción relevante (norma, presupuesto, proveedor, datos).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IA. Consulta al responsable de riesgos, a protección de datos, a seguridad de la información y a asesoría jurídica.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aprueba con G0: patrocinador (Lite) · comité de IA (Enterprise).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G0 · Autorización; se vuelve a comprobar en G3 · Viabilidad.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 (enlace como evidencia de G0).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En Lite, las restricciones que no apliquen se marcan "No aplica" con una línea de motivo.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Una restricción es algo que la iniciativa </w:t>
      </w:r>
      <w:r>
        <w:rPr>
          <w:b/>
        </w:rPr>
        <w:t xml:space="preserve">no puede cambiar</w:t>
      </w:r>
      <w:r>
        <w:t xml:space="preserve">. Si puede negociarse, es un supuesto y va a la sección 10.</w:t>
      </w:r>
    </w:p>
    <w:p>
      <w:pPr>
        <w:pStyle w:val="Lista"/>
      </w:pPr>
      <w:r>
        <w:t xml:space="preserve">• Esta declaración no sustituye la clasificación regulatoria (P11) ni la matriz de riesgos (P12): identifica lo que se sabe en la fase 0 para que no se descubra tarde.</w:t>
      </w:r>
    </w:p>
    <w:p>
      <w:pPr>
        <w:pStyle w:val="Lista"/>
      </w:pPr>
      <w:r>
        <w:t xml:space="preserve">• </w:t>
      </w:r>
      <w:r>
        <w:rPr>
          <w:i/>
        </w:rPr>
        <w:t xml:space="preserve">Este documento no constituye asesoramiento jurídico.</w:t>
      </w:r>
      <w:r>
        <w:t xml:space="preserve"> La aplicabilidad de cada norma debe confirmarla quien tenga competencia jurídica en la compañía. Referencias normativas consultadas en septiembre de 2026; debe verificarse su vigencia.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Igual que en P01.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consultadas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Funciones de segunda línea y asesoría jurídica consultadas, con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(P04).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Contexto estratégico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Tesis de IA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Extracto o referencia de la tesis aprobada en C2 que ampara la iniciativa.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Ambición aprobada para la esfera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Nivel de ambición que el consejo fijó en C2 para la esfera principal.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Apetito de riesgo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Límites de C2 que afectan a esta iniciativa: nivel de riesgo residual aceptable, autonomía máxima, exposición a clientes, umbrales económicos.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Situación actual del proceso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hace hoy, con qué medios y con qué problemas conocidos.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Iniciativas o sistemas existentes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Otros sistemas de IA del inventario que ya cubren parte del proceso.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Horizonte de retorno fijado en C2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 en el que el neto esperado debe ser positivo para Optimizar y Aumentar.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Restricciones regulatorias</w:t>
      </w:r>
    </w:p>
    <w:p>
      <w:r>
        <w:t xml:space="preserve">Indique para cada referencia si aplica. "Por determinar" obliga a resolverla antes de G3.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Implicación para la iniciativa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lo confirma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Reglamento Europeo de IA (Reglamento (UE) 2024/1689)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 · No · Por determinar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Clasificación y obligaciones según el rol de la compañía (P11).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RGPD (Reglamento (UE) 2016/679) y normativa nacional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Base jurídica, minimización, evaluación de impacto en protección de datos, decisiones automatizadas.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DORA (Reglamento (UE) 2022/2554)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Solo entidades financieras incluidas en su ámbito.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Riesgo de proveedores TIC, incidentes, funciones críticas o importantes.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NIS2 (Directiva (UE) 2022/2555) y su transposición nacional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Entidades esenciales o importantes.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Gestión de riesgos de ciberseguridad y notificación de incidentes.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Regulación sectorial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Supervisores y normas del sector.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Legislación laboral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Si el sistema afecta a condiciones de trabajo, acceso al empleo o evaluación de personas trabajadoras.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Información a la representación legal de las personas trabajadoras (en España, artículo 64.4.d del Estatuto de los Trabajadores).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Consumo, publicidad y contratación a distancia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Si hay interacción con clientes.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Información precontractual, prácticas comerciales, reclamaciones.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Propiedad intelectual y secretos empresariales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Uso de contenidos de terceros o generación de contenidos.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Licencias de datos y de resultados.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Accesibilidad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Productos o servicios incluidos en la normativa europea de accesibilidad.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Normas internas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Política corporativa de IA y uso aceptable (documento 31), seguridad, protección de datos, compras.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Restricciones éticas y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Principios corporativos aplicables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Principios de la política corporativa de IA que condicionan el diseño.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Usos no admitidos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Usos expresamente prohibidos por la compañía, además de las prácticas prohibidas por la regulación.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o colectivos vulnerables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Menores, personas mayores, personas con discapacidad, situaciones de dificultad económica.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Supervisión humana mínima exigida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decisiones deben quedar siempre en manos de una persona.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Autonomía máxima permitida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Asistencia · A1 Recomendación · A2 Actuación supervisada · A3 Actuación autónoma (documento 35).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Líneas rojas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 que la iniciativa no hará en ningún caso. </w:t>
            </w:r>
            <w:r>
              <w:rPr>
                <w:i/>
              </w:rPr>
              <w:t xml:space="preserve">Ejemplo ilustrativo: el asistente no modificará pedidos ni emitirá reembolsos.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Restricciones de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Fuentes de datos previstas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Sistemas, ficheros o proveedores.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personales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sí, categorías de interesados.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Categorías especiales o datos especialmente protegidos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Por determinar. Si sí, activa el criterio Enterprise 5 de P04.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confidencial crítica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Secretos empresariales, información privilegiada, datos de clientes sujetos a secreto.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Base jurídica y finalidad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al registro de actividades de tratamiento. Uso compatible con la finalidad original.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Ubicación y transferencias internacionales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Dónde se tratarán los datos y si salen del Espacio Económico Europeo.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 datos por proveedores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el proveedor puede usar datos o instrucciones para entrenar o mejorar sus modelos. Debe quedar prohibido o regulado por contrato.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Calidad conocida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Problemas de calidad, completitud o sesgo ya conocidos.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Retención y eliminación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Plazos de conservación de entradas, salidas y registros.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Restricciones presupuestarias y de plazo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Presupuesto máximo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Tope autorizado y punto de revisión (coherente con P01).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Restricciones de coste recurrente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Coste anual máximo admisible en operación.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Fechas límite externas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Fechas regulatorias, contractuales o de negocio que no pueden moverse.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Ventanas de cambio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Periodos en los que no se pueden hacer despliegues (cierres, campañas).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Restricciones tecnológicas y de terceros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Arquitectura y plataformas corporativas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Plataformas obligatorias o excluidas.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Proveedores homologados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compañía exige proveedores ya homologados o un proceso de compra concreto.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Requisitos de seguridad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Clasificación de la información, requisitos de identidad y acceso, entornos permitidos.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Dependencia y sustituibilidad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Límites a la concentración en un proveedor; exigencia de plan de salida.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Funciones críticas o importantes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el sistema soportará una función crítica, con los requisitos de resiliencia que correspondan.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Restricciones organizativas y de personas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disponible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Personas y dedicación que el área puede aportar.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previsto sobre el trabajo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Tareas, roles o puestos que podrían cambiar.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Formación y alfabetización en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Nivel de conocimientos requerido para usuarios y supervisores.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Relaciones laborales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Obligaciones de información o consulta a la representación de las personas trabajadoras.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Idiomas, canales y accesibilidad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Requisitos de uso para usuarios internos o externos.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Supuestos y cuestiones abiertas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Supuesto o cuestión abierta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Efecto si resulta falso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límite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Abierta · Resuelta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El proveedor de la plataforma de atención permite desactivar el uso de conversaciones para entrenamiento.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Habría que cambiar de proveedor o anonimizar antes del envío.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Antes de G3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Abierta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Los criterios formales de G0 y G3 están en el documento 21 (ver criterios G0.xx y G3.xx).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referencias regulatorias tienen respuesta; las "Por determinar" tienen responsable y fecha anterior a G3.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restricciones de datos identifican datos personales, categorías especiales y transferencias.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declara la autonomía máxima permitida y las decisiones que no se delegan.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líneas rojas son concretas y verificables.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límites económicos son coherentes con P01.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Constan las funciones de segunda línea consultadas y la fecha.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supuestos están separados de las restricciones.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documento tiene autor, fecha y versión, y existía antes de solicitar el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Consultado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 · protección de datos · seguridad · asesoría jurídica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(Lite) · Comité de IA (Enterprise), con G0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la consulta a segunda línea no equivale a verificación. Quien verifica no ha elaborado el documento.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Estructura alineada con 01 §6.2 y §13.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P02 · Declaración de contexto y restricciones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P02 · Declaración de contexto y restricciones</dc:title>
  <dc:creator>Fernando García · SEACHAD</dc:creator>
  <dc:language>es</dc:language>
  <dc:description>sha256:eff9a95cf94a857db4ae35c6fb8c797bfb88f7957548804b407133bc8f204b07</dc:description>
  <cp:keywords>SEVEN-G</cp:keywords>
</cp:coreProperties>
</file>