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Tesis de IA y apetito de riesgo</w:t>
      </w:r>
    </w:p>
    <w:p>
      <w:r>
        <w:rPr>
          <w:b/>
        </w:rPr>
        <w:t xml:space="preserve">Documento de decisión del consejo en C2: tesis de IA, ambición por esfera, apetito de riesgo, umbrales, horizontes, bandas de cartera, plazos, líneas rojas, presupuesto marco, selección de indicadores y registro de versiones de umbrales.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P35 · Tesis de IA y apetito de riesgo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Todo el marco decide con los parámetros que el consejo aprueba aquí: qué iniciativa encaja con la tesis en G0, cuándo una iniciativa es Enterprise, qué riesgo residual se puede aceptar, qué retorno se exige en cada </w:t>
      </w:r>
      <w:r>
        <w:rPr>
          <w:i/>
        </w:rPr>
        <w:t xml:space="preserve">gate</w:t>
      </w:r>
      <w:r>
        <w:t xml:space="preserve"> y cuánto se invierte en cada carril. Si no están aprobados y versionados, cada órgano los interpreta a su manera, los umbrales se cambian para mejorar un resultado y la cartera no ejecuta ninguna dirección. Es la herramienta T19 y la evidencia de las preguntas D1.05 y D1.06 del documento 11.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C2: en la primera implantación, dentro de los 90 días (90 §4.3 y §4.4); después, anualmente tras C5 y de forma extraordinaria ante un desencadenante (13 §13).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alta dirección, con la oficina de IA, riesgos, cumplimiento, control de gestión y personas.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de IA o la auditoría interna, con los criterios de la sección 15, antes de la aprobación.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consejo de administración, o la comisión con facultades delegadas.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del ciclo corporativo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C2 · Dirección. Entrada: informe de diagnóstico C1 (P33). Salida: parámetros de C3 (P36) y de las herramientas.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T19 · Plantilla de tesis de IA y apetito de riesgo. Tras la aprobación se actualizan T01, T04, T06, T14, T16 y T17 (13 §13) y la decisión se registra en T18.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13, que contiene el método, las reglas y los valores orientativos. Esta plantilla extrae su anexo (13 §15) y no lo modifica. La selección de indicadores sigue el documento 41 (§1, §5, §19 y §20).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Los campos marcados </w:t>
            </w:r>
            <w:r>
              <w:rPr>
                <w:b/>
              </w:rPr>
              <w:t xml:space="preserve">(Enterprise)</w:t>
            </w:r>
            <w:r>
              <w:t xml:space="preserve"> pueden omitirse en organizaciones que solo aplican la intensidad Lite, justificándolo.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Donde se indica «valor orientativo», se parte del valor del documento 13 y se sustituye por el aprobado.</w:t>
      </w:r>
    </w:p>
    <w:p>
      <w:pPr>
        <w:pStyle w:val="Lista"/>
      </w:pPr>
      <w:r>
        <w:t xml:space="preserve">• Las escalas de probabilidad, impacto y nivel de riesgo y las respuestas son las del documento 33: esta decisión fija dónde se sitúa la compañía, no las modifica.</w:t>
      </w:r>
    </w:p>
    <w:p>
      <w:pPr>
        <w:pStyle w:val="Lista"/>
      </w:pPr>
      <w:r>
        <w:t xml:space="preserve">• El grado de apetito de una categoría puede </w:t>
      </w:r>
      <w:r>
        <w:rPr>
          <w:b/>
        </w:rPr>
        <w:t xml:space="preserve">endurecer</w:t>
      </w:r>
      <w:r>
        <w:t xml:space="preserve"> la regla general de aceptación del riesgo residual, </w:t>
      </w:r>
      <w:r>
        <w:rPr>
          <w:b/>
        </w:rPr>
        <w:t xml:space="preserve">nunca relajarla</w:t>
      </w:r>
      <w:r>
        <w:t xml:space="preserve"> (13 §5.2).</w:t>
      </w:r>
    </w:p>
    <w:p>
      <w:pPr>
        <w:pStyle w:val="Lista"/>
      </w:pPr>
      <w:r>
        <w:t xml:space="preserve">• Los plazos aprobados no pueden superar los que establezca la regulación aplicable.</w:t>
      </w:r>
    </w:p>
    <w:p>
      <w:pPr>
        <w:pStyle w:val="Lista"/>
      </w:pPr>
      <w:r>
        <w:t xml:space="preserve">• Cada versión se identifica con número y fecha; se conserva la anterior (13 §13).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o grupo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Perímetro societario al que aplica la decisión.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que aprueba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Consejo de administración o comisión con facultades delegadas.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1.0 en la primera aprobación; se incrementa en cada revisión.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Identificador en el registro de decisiones (T18)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DEC-AAAA-NNN (documento 62).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Preparado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cargo.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Verificado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Auditor de IA o auditoría interna; distinto de quien prepara.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Informe de C1 de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Código, fecha y versión de P33.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Acuerdos propuestos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 la tesis de IA de la sección 4.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 acuerdo por componente, en forma «Se aprueba…».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 la ambición por esfera de la sección 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 el apetito de riesgo por categoría y sus métricas de tolerancia de la sección 6.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aprueban los umbrales de las secciones 7 y 8.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aprueban los plazos de la sección 9.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aprueban las líneas rojas de la sección 10.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 el presupuesto marco de la sección 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aprueban los objetivos de seguimiento y la vigencia de la sección 12.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 la selección de indicadores de la sección 13.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aprueba la versión de umbrales de la sección 14.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Tesis de IA</w:t>
      </w:r>
    </w:p>
    <w:p>
      <w:r>
        <w:t xml:space="preserve">Estructura y criterios de calidad en 13 §3. De dos a cuatro páginas; debe poder usarse para decir que no a una iniciativa.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Contexto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cambia la IA las reglas del sector. ¿Por qué ahora?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Papel de la IA en la estrategia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Peso relativo de eficiencia, crecimiento y modelo operativo.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Dónde jugamos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Remite a la sección 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no haremos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menos tres renuncias concretas.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Posición sobre las personas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Sustituir, aumentar o reorganizar, por ámbito, con compromisos.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habilitantes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Datos, conocimiento, capacidades, plataforma, proveedores.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Principios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Remite a la política corporativa (documento 31).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Cómo sabremos que funciona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Perfil objetivo, madurez objetivo, valor validado y valor neto, con horizonte.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Ambición por esfera</w:t>
      </w:r>
    </w:p>
    <w:p>
      <w:r>
        <w:t xml:space="preserve">Reglas en 13 §4.2. Como mucho tres esferas de prioridad alta; toda esfera con Transformar tiene sobre y candidata.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Esfera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Prioridad (Alta · Media · Baja · No prioritaria)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alcanzado (C1)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Ambición objetivo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Horizonte (meses)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 principal (actual → objetivo)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01 · Cliente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02 · Producto y servicio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03 · Personas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04 · Operaciones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05 · Datos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06 · Conocimiento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07 · Decisión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04 · Operaciones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Alta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12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IE04.06 Ahorro materializado validado: 1,80 M€ → 2,50 M€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Director de operaciones</w:t>
            </w:r>
          </w:p>
        </w:tc>
      </w:tr>
    </w:tbl>
    <w:p>
      <w:pPr>
        <w:pStyle w:val="Espacio"/>
      </w:pPr>
    </w:p>
    <w:p>
      <w:r>
        <w:t xml:space="preserve">Para las esferas 08 y 09 se fija un grado, nunca un nivel de ambición.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Esfera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Dimensión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Grado actual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Grado objetivo (Ausente · Básico · Sistemático · Avanzado)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Horizonte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Cumplimiento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Anticipación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Liderazgo ético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Estructura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Velocidad y control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Ecosistema de proveedores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Apetito de riesgo</w:t>
      </w:r>
    </w:p>
    <w:p>
      <w:pPr>
        <w:pStyle w:val="Heading2"/>
      </w:pPr>
      <w:r>
        <w:t xml:space="preserve">6.1 Grado y declaración por categoría</w:t>
      </w:r>
    </w:p>
    <w:p>
      <w:r>
        <w:t xml:space="preserve">Grados de 13 §5.2: </w:t>
      </w:r>
      <w:r>
        <w:rPr>
          <w:b/>
        </w:rPr>
        <w:t xml:space="preserve">Averso · Cauteloso · Moderado · Abierto</w:t>
      </w:r>
      <w:r>
        <w:t xml:space="preserve">. Grados de partida recomendados en 13 §5.3. La aceptación excepcional de un riesgo Crítico que permite el grado Abierto no se admite en LEG ni en SEG (13 §5.2).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Grado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Declaración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EST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Estratégico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TEC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Técnico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DAT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ECO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Económico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LEG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Legal y cumplimiento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ORG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Organizativo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REP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Reputacional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GEN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IA generativa y agentes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SEG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Seguridad e IA ofensiva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TER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Terceros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6.2 Métricas de tolerancia</w:t>
      </w:r>
    </w:p>
    <w:p>
      <w:r>
        <w:t xml:space="preserve">Al menos una métrica por categoría, con fórmula, tolerancia (ámbar) y límite (rojo). Catálogo de partida en 13 §5.3; escalado en 13 §5.5. «—» en ámbar indica tolerancia cero.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Tolerancia (ámbar)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Límite (rojo)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TER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Concentración de proveedor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Gasto en el proveedor principal de modelos ÷ gasto total en modelos × 100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&gt; 60 %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&gt; 80 %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T09, T13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Trimestral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Umbrales económicos</w:t>
      </w:r>
    </w:p>
    <w:p>
      <w:pPr>
        <w:pStyle w:val="Heading2"/>
      </w:pPr>
      <w:r>
        <w:t xml:space="preserve">7.1 Umbrales de impacto económico</w:t>
      </w:r>
    </w:p>
    <w:p>
      <w:r>
        <w:t xml:space="preserve">Proporcionados al tamaño sobre una magnitud de referencia estable (13 §5.4). Los usa la matriz de riesgos (P12, T06).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Magnitud de referencia y 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EBITDA, ingresos, recursos propios o presupuesto; ejercicio de referencia.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Impacto 1 · Insignificante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Proporción y euros.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Impacto 2 · Menor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Impacto 3 · Moderado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Impacto 4 · Grave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Impacto 5 · Crítico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7.2 Umbrales de inversión y materialidad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 de inversión Enterprise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Coste total a tres años; valor orientativo 0,5 % del EBITDA (13 §6). Fragmentar para quedar por debajo es no conformidad mayor.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Materialidad para información individual al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orientativo 2 % del EBITDA.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 de aprobación del consejo por importe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Opcional, según reglas de delegación.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Escala mínima en producción (B3)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orientativo 5.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Horizonte de retorno y equilibrio de cartera</w:t>
      </w:r>
    </w:p>
    <w:p>
      <w:pPr>
        <w:pStyle w:val="Heading2"/>
      </w:pPr>
      <w:r>
        <w:t xml:space="preserve">8.1 Horizonte de retorno</w:t>
      </w:r>
    </w:p>
    <w:p>
      <w:r>
        <w:t xml:space="preserve">Valores orientativos y definiciones en 13 §7 y documento 40. En G3 el único criterio económico de viabilidad es VAN ≥ 0 con el horizonte y la tasa aquí fijados.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en G3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en G7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Valores orientativos de 13 §7.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Límite de la primera etapa y frecuencia de hitos.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Horizonte y tasa para el VAN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40.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8.2 Equilibrio objetivo de cartera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Postura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Prudente, Equilibrada, Ambiciosa o propia (13 §8).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Banda de Optimizar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Porcentaje mínimo y máximo.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Banda de Aumentar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Banda de Transformar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puede empezar en 0 % si hay Transformar en la tesis (salvo el primer año).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Plazos</w:t>
      </w:r>
    </w:p>
    <w:p>
      <w:pPr>
        <w:pStyle w:val="Heading2"/>
      </w:pPr>
      <w:r>
        <w:t xml:space="preserve">9.1 Plazos de referencia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Lite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Enterprise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0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Valores orientativos de 03 §3.6.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3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4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Fase 7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Decisión de </w:t>
            </w:r>
            <w:r>
              <w:rPr>
                <w:i/>
              </w:rPr>
              <w:t xml:space="preserve">gate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Días hábiles.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Periodicidad de R6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 más larga que semestral (Lite) o trimestral (Enterprise).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Regularización de iniciativas anteriores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Meses.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Clasificación regulatoria pendiente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Días.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Plazo máximo de una condición de </w:t>
            </w:r>
            <w:r>
              <w:rPr>
                <w:i/>
              </w:rPr>
              <w:t xml:space="preserve">gate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Hasta el siguiente </w:t>
            </w:r>
            <w:r>
              <w:rPr>
                <w:i/>
              </w:rPr>
              <w:t xml:space="preserve">gate</w:t>
            </w:r>
            <w:r>
              <w:t xml:space="preserve">; en R6, valor orientativo 90 días (13 §9).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9.2 Plazos de no conformidades e incidentes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 de acción o comunicación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Informa 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No conformidad crítica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Referencia: 48 horas y 10 días.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No conformidad mayor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Referencia: 10 y 30 días.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No conformidad menor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Antes del siguiente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Incidente S1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Sin perjuicio de los plazos regulatorios, que prevalecen (13 §10.2).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Incidente S2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Incidente S3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Líneas rojas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Confirmación del mínimo SEVEN-G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Prácticas prohibidas y tabla de 13 §11.2. La compañía puede ampliarlo, no reducirlo.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Ampliaciones de la tabla de decisiones no delegables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Decisión, autonomía máxima (A0–A3) y motivo.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Líneas rojas propias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Ejemplos en 13 §11.3. Solo el consejo puede modificarlas.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Presupuesto marco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Sobre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% del total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Dentro de la banda de la sección 8.2.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Transformar por etapas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Etapas aprobadas y pendientes de liberar.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Habilitación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Incluye esferas 08 y 09.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Coste recurrente comprometido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 presupuesta completo.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Adopción y formación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Explícito, no residual.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Contingencia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Total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100 %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Reglas de reasignación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Límites del comité y del consejo (13 §12).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Objetivos de seguimiento, revisión y vigencia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actual (C1)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Horizonte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Perfil del índice de transformación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Documento 12.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Nivel global de madurez y dimensiones prioritarias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Documento 11; referencias de 11 §8.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Condición B2.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 neto anual de la cartera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Documento 40.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Hasta la aprobación de la siguiente versión.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prevista de revisión anual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Tras C5 (P37).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Desencadenantes adicionales de revisión extraordinaria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Además de los de 13 §13.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Selección de indicadores aprobada</w:t>
      </w:r>
    </w:p>
    <w:p>
      <w:r>
        <w:t xml:space="preserve">Ninguna compañía necesita todos los indicadores del catálogo: se seleccionan en C2 según la tesis, la cartera y la intensidad, y la selección se registra (41 §1). Punto de partida: el conjunto mínimo recomendado para Lite (41 §19) y la selección para el panel del consejo (41 §20). Los umbrales marcados «a fijar» en el catálogo se aprueban aquí.</w:t>
      </w:r>
    </w:p>
    <w:p>
      <w:pPr>
        <w:pStyle w:val="Heading2"/>
      </w:pPr>
      <w:r>
        <w:t xml:space="preserve">13.1 Indicadores del catálogo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(IND-FAM-NN)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o lectura de semáforo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Periodicidad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 el panel del consejo (Sí · No)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IND-VAL-05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Proporción validada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60 % en 24 meses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Ámbar &lt; 50 % · Rojo &lt; 30 % (métrica ECO de la sección 6.2)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Trimestral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T12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IND-RIE-02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Sistemas en producción sin </w:t>
            </w:r>
            <w:r>
              <w:rPr>
                <w:i/>
              </w:rPr>
              <w:t xml:space="preserve">gate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 (no conformidad crítica)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Mensual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T02 · T03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 de la selección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 · No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Incluye el conjunto mínimo de 41 §19, o justifica cada exclusión.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Incluye, para el panel del consejo, los bloques de 41 §20 que aplican.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Cada indicador de velocidad o automatización tiene su indicador de contraste de calidad o riesgo (41 §2, regla 7).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Los indicadores de valor muestran su proporción validada (41 §2, regla 4).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13.2 Indicadores propios</w:t>
      </w:r>
    </w:p>
    <w:p>
      <w:r>
        <w:t xml:space="preserve">Cada indicador propio se documenta con la ficha de 41 §5 y se aprueba por la oficina de IA con conformidad de control de gestión (41 §2, regla 8). Aquí se registra su selección.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definición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Unidad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Meta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Periodicidad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 de contraste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Ficha de 41 §5 completada (Sí · No)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Registro de versiones de umbrales</w:t>
      </w:r>
    </w:p>
    <w:p>
      <w:r>
        <w:t xml:space="preserve">Los umbrales </w:t>
      </w:r>
      <w:r>
        <w:rPr>
          <w:b/>
        </w:rPr>
        <w:t xml:space="preserve">no se cambian dentro del ciclo anual</w:t>
      </w:r>
      <w:r>
        <w:t xml:space="preserve">; se recalibran en C5 con datos propios y los aprueba el consejo (12 §8; 13 §13). Cada cálculo del índice, del mapa de calor o del semáforo registra la versión de umbrales que usó. La versión 0.1 es la de los valores orientativos del marco.</w:t>
      </w:r>
    </w:p>
    <w:p>
      <w:r>
        <w:rPr>
          <w:b/>
        </w:rPr>
        <w:t xml:space="preserve">Parámetros versionados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Parámetro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Documento de origen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 vigente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Desviación respecto al valor del marco (Sí · No)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Umbrales de las señales y condiciones del índice de transformación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12 §4.3 y §4.5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Umbrales de color y marcas del mapa de calor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10 §8.1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Semáforo de programas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14 §12.1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Pesos de las dimensiones de madurez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11 §2.3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Umbrales de impacto económico, inversión y materialidad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Secciones 7.1 y 7.2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Plazos de referencia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Sección 9.1; 03 §3.6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Métricas de tolerancia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Sección 6.2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Historial de cambios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Parámetro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anterior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nuevo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 con datos propios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Recalculado el periodo anterior (Sí · No)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 de auditoría interna: no se propone para mejorar el resultado del año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Aprobado por y fecha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0.2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Señal 6 · Ingresos habilitados por IA, umbral del nivel 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0,5 %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0,3 %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Sector con márgenes bajos; distribución de cuatro cálculos trimestrales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Conforme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Consejo, 15-12-2027</w:t>
            </w:r>
          </w:p>
        </w:tc>
      </w:tr>
    </w:tbl>
    <w:p>
      <w:pPr>
        <w:pStyle w:val="Espacio"/>
      </w:pPr>
    </w:p>
    <w:p>
      <w:r>
        <w:t xml:space="preserve">Una compañía que declare aplicar SEVEN-G indica las desviaciones respecto a los umbrales del marco (12 §8).</w:t>
      </w:r>
    </w:p>
    <w:p>
      <w:pPr>
        <w:pStyle w:val="Separador"/>
      </w:pPr>
    </w:p>
    <w:p>
      <w:pPr>
        <w:pStyle w:val="Heading1"/>
      </w:pPr>
      <w:r>
        <w:t xml:space="preserve">15. Criterios de calidad</w:t>
      </w:r>
    </w:p>
    <w:p>
      <w:r>
        <w:t xml:space="preserve">Criterios de 13 §14, que el auditor de IA o la auditoría interna comprueban antes de la aprobación.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Base diagnóstica: cada componente cita los resultados de C1 en que se apoya, con «sin dato» explícito.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Completitud: están los doce componentes de 13 §2, o se justifica la ausencia.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Renuncias: la tesis incluye qué no se hará y hay esferas no prioritarias o de prioridad baja.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Coherencia ambición–presupuesto: toda esfera con Transformar tiene sobre y candidata; las bandas son compatibles con la tesis.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mezcla de niveles: las esferas 08 y 09 tienen grados, no niveles de ambición.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Apetito medible: cada categoría tiene grado, declaración y al menos una métrica con fórmula, tolerancia y límite.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Proporcionalidad: los umbrales económicos están expresados sobre una magnitud de referencia y en euros.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Límites regulatorios: los plazos no superan los regulatorios; las líneas rojas incluyen el mínimo de 13 §11.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Responsables: cada esfera y cada categoría tiene responsable de la alta dirección.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Revisión: hay fecha de revisión anual, desencadenantes de revisión extraordinaria y versión de umbrales registrada.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Indicadores: la selección incluye el conjunto mínimo de 41 §19 o justifica las exclusiones, cada indicador tiene meta, umbral, periodicidad, responsable y fuente, y los propios tienen ficha de 41 §5.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16.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Prepara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Alta dirección, con la 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Aporta conformidad sobre el apetito de riesgo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Segunda línea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 o auditoría interna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Resultado: Conforme · Conforme con observaciones · No conforme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 o comisión con facultades delegadas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Referencia del acta · DEC-AAAA-NNN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Registra y comunica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T18; parámetros actualizados en las herramientas</w:t>
            </w:r>
          </w:p>
        </w:tc>
      </w:tr>
    </w:tbl>
    <w:p>
      <w:pPr>
        <w:pStyle w:val="Espacio"/>
      </w:pPr>
    </w:p>
    <w:p>
      <w:r>
        <w:t xml:space="preserve">Separación de funciones: quien prepara el documento no lo verifica; la aprobación de la tesis, el apetito de riesgo, el presupuesto marco y las líneas rojas no se delega en ningún sistema de IA (13 §11.2).</w:t>
      </w:r>
    </w:p>
    <w:p>
      <w:pPr>
        <w:pStyle w:val="Separador"/>
      </w:pPr>
    </w:p>
    <w:p>
      <w:pPr>
        <w:pStyle w:val="Heading1"/>
      </w:pPr>
      <w:r>
        <w:t xml:space="preserve">17.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Extrae como plantilla rellenable el anexo de 13 §15 (herramienta T19), incorpora los criterios de calidad de 13 §14 y añade la selección de indicadores aprobada (41 §1, §5, §19 y §20) y el registro de versiones de umbrales de 12 §8 y 13 §13.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P35 · Tesis de IA y apetito de riesgo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P35 · Tesis de IA y apetito de riesgo</dc:title>
  <dc:creator>Fernando García · SEACHAD</dc:creator>
  <dc:language>es</dc:language>
  <dc:description>sha256:b357992d61137940691ba15cf11b081e69ae620fcb828ed794e3fde51f9e919e</dc:description>
  <cp:keywords>SEVEN-G</cp:keywords>
</cp:coreProperties>
</file>