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SEVEN-G implementation mandate</w:t>
      </w:r>
    </w:p>
    <w:p>
      <w:r>
        <w:rPr>
          <w:b/>
        </w:rPr>
        <w:t xml:space="preserve">Formalises management's decision to adopt SEVEN-G: objective, scope, adoption model, sponsorship, lead, resources, 90-day calendar, bodies to be set up and the indicators by which the implementation will be measured.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P32 · SEVEN-G implementation mandate</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Without a signed mandate, implementation depends on the goodwill of the business areas: the inventory remains incomplete, nobody reserves the board session and the ninety days stretch out with no end date. The mandate establishes who is accountable, with what resources, how far it reaches and how it will be known that it has been fulfilled. It is the first prerequisite in document 90 (§3) and the first evidence that senior management takes responsibility for AI (question D1.01 in document 11).</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week 1 of the first implementation (90 §4.2), before any other activity. It is reviewed if the perimeter, the scope or the calendar change, and at each annual review (C5) while the implementation has not been completed.</w:t>
            </w:r>
          </w:p>
        </w:tc>
      </w:tr>
      <w:tr>
        <w:tc>
          <w:tcPr>
            <w:tcW w:w="4819" w:type="dxa"/>
          </w:tcPr>
          <w:p>
            <w:pPr>
              <w:pStyle w:val="Celda"/>
            </w:pPr>
            <w:r>
              <w:rPr>
                <w:b/>
              </w:rPr>
              <w:t xml:space="preserve">Who completes it</w:t>
            </w:r>
          </w:p>
        </w:tc>
        <w:tc>
          <w:tcPr>
            <w:tcW w:w="4819" w:type="dxa"/>
          </w:tcPr>
          <w:p>
            <w:pPr>
              <w:pStyle w:val="Celda"/>
            </w:pPr>
            <w:r>
              <w:t xml:space="preserve">The implementation lead, with the implementation sponsor.</w:t>
            </w:r>
          </w:p>
        </w:tc>
      </w:tr>
      <w:tr>
        <w:tc>
          <w:tcPr>
            <w:tcW w:w="4819" w:type="dxa"/>
          </w:tcPr>
          <w:p>
            <w:pPr>
              <w:pStyle w:val="Celda"/>
            </w:pPr>
            <w:r>
              <w:rPr>
                <w:b/>
              </w:rPr>
              <w:t xml:space="preserve">Who verifies it</w:t>
            </w:r>
          </w:p>
        </w:tc>
        <w:tc>
          <w:tcPr>
            <w:tcW w:w="4819" w:type="dxa"/>
          </w:tcPr>
          <w:p>
            <w:pPr>
              <w:pStyle w:val="Celda"/>
            </w:pPr>
            <w:r>
              <w:t xml:space="preserve">The AI Office being set up or, if it does not yet exist, the secretariat of the board or of the management committee checks that the mandate is complete. The third line receives a copy (90 §3).</w:t>
            </w:r>
          </w:p>
        </w:tc>
      </w:tr>
      <w:tr>
        <w:tc>
          <w:tcPr>
            <w:tcW w:w="4819" w:type="dxa"/>
          </w:tcPr>
          <w:p>
            <w:pPr>
              <w:pStyle w:val="Celda"/>
            </w:pPr>
            <w:r>
              <w:rPr>
                <w:b/>
              </w:rPr>
              <w:t xml:space="preserve">Who decides or approves</w:t>
            </w:r>
          </w:p>
        </w:tc>
        <w:tc>
          <w:tcPr>
            <w:tcW w:w="4819" w:type="dxa"/>
          </w:tcPr>
          <w:p>
            <w:pPr>
              <w:pStyle w:val="Celda"/>
            </w:pPr>
            <w:r>
              <w:t xml:space="preserve">The executive chair or the chief executive officer signs the mandate. The board or its board committee takes note and reserves the session for approving C2 in weeks 12–13.</w:t>
            </w:r>
          </w:p>
        </w:tc>
      </w:tr>
      <w:tr>
        <w:tc>
          <w:tcPr>
            <w:tcW w:w="4819" w:type="dxa"/>
          </w:tcPr>
          <w:p>
            <w:pPr>
              <w:pStyle w:val="Celda"/>
            </w:pPr>
            <w:r>
              <w:rPr>
                <w:b/>
              </w:rPr>
              <w:t xml:space="preserve">Corporate cycle stage</w:t>
            </w:r>
          </w:p>
        </w:tc>
        <w:tc>
          <w:tcPr>
            <w:tcW w:w="4819" w:type="dxa"/>
          </w:tcPr>
          <w:p>
            <w:pPr>
              <w:pStyle w:val="Celda"/>
            </w:pPr>
            <w:r>
              <w:t xml:space="preserve">Prior to C1; covers C1, C2 and C3 of the first implementation (01 §5.3).</w:t>
            </w:r>
          </w:p>
        </w:tc>
      </w:tr>
      <w:tr>
        <w:tc>
          <w:tcPr>
            <w:tcW w:w="4819" w:type="dxa"/>
          </w:tcPr>
          <w:p>
            <w:pPr>
              <w:pStyle w:val="Celda"/>
            </w:pPr>
            <w:r>
              <w:rPr>
                <w:b/>
              </w:rPr>
              <w:t xml:space="preserve">Tool</w:t>
            </w:r>
          </w:p>
        </w:tc>
        <w:tc>
          <w:tcPr>
            <w:tcW w:w="4819" w:type="dxa"/>
          </w:tcPr>
          <w:p>
            <w:pPr>
              <w:pStyle w:val="Celda"/>
            </w:pPr>
            <w:r>
              <w:t xml:space="preserve">T01 and its inventory T02 (or a spreadsheet with the data model in 03 §4) for the completeness annex.</w:t>
            </w:r>
          </w:p>
        </w:tc>
      </w:tr>
      <w:tr>
        <w:tc>
          <w:tcPr>
            <w:tcW w:w="4819" w:type="dxa"/>
          </w:tcPr>
          <w:p>
            <w:pPr>
              <w:pStyle w:val="Celda"/>
            </w:pPr>
            <w:r>
              <w:rPr>
                <w:b/>
              </w:rPr>
              <w:t xml:space="preserve">Reference document</w:t>
            </w:r>
          </w:p>
        </w:tc>
        <w:tc>
          <w:tcPr>
            <w:tcW w:w="4819" w:type="dxa"/>
          </w:tcPr>
          <w:p>
            <w:pPr>
              <w:pStyle w:val="Celda"/>
            </w:pPr>
            <w:r>
              <w:t xml:space="preserve">Document 90 (§2 to §5 and §9); 01 §1.2, §5 and §14; document 30 (bodies and mandates).</w:t>
            </w:r>
          </w:p>
        </w:tc>
      </w:tr>
      <w:tr>
        <w:tc>
          <w:tcPr>
            <w:tcW w:w="4819" w:type="dxa"/>
          </w:tcPr>
          <w:p>
            <w:pPr>
              <w:pStyle w:val="Celda"/>
            </w:pPr>
            <w:r>
              <w:rPr>
                <w:b/>
              </w:rPr>
              <w:t xml:space="preserve">Lite versus Enterprise scope</w:t>
            </w:r>
          </w:p>
        </w:tc>
        <w:tc>
          <w:tcPr>
            <w:tcW w:w="4819" w:type="dxa"/>
          </w:tcPr>
          <w:p>
            <w:pPr>
              <w:pStyle w:val="Celda"/>
            </w:pPr>
            <w:r>
              <w:t xml:space="preserve">Both scopes use this template. Fields marked </w:t>
            </w:r>
            <w:r>
              <w:rPr>
                <w:b/>
              </w:rPr>
              <w:t xml:space="preserve">(Enterprise)</w:t>
            </w:r>
            <w:r>
              <w:t xml:space="preserve"> may be omitted in a Lite scope, with justification.</w:t>
            </w:r>
          </w:p>
        </w:tc>
      </w:tr>
    </w:tbl>
    <w:p>
      <w:pPr>
        <w:pStyle w:val="Espacio"/>
      </w:pPr>
    </w:p>
    <w:p>
      <w:r>
        <w:t xml:space="preserve">Completion rules:</w:t>
      </w:r>
    </w:p>
    <w:p>
      <w:pPr>
        <w:pStyle w:val="Lista"/>
      </w:pPr>
      <w:r>
        <w:t xml:space="preserve">• The mandate </w:t>
      </w:r>
      <w:r>
        <w:rPr>
          <w:b/>
        </w:rPr>
        <w:t xml:space="preserve">does not replace</w:t>
      </w:r>
      <w:r>
        <w:t xml:space="preserve"> the C2 decision: it authorises the preparation of the diagnosis and of the proposal that the board will subsequently approve (document 13).</w:t>
      </w:r>
    </w:p>
    <w:p>
      <w:pPr>
        <w:pStyle w:val="Lista"/>
      </w:pPr>
      <w:r>
        <w:t xml:space="preserve">• The implementation scope is chosen using the criteria in 90 §2.2 and </w:t>
      </w:r>
      <w:r>
        <w:rPr>
          <w:b/>
        </w:rPr>
        <w:t xml:space="preserve">does not replace</w:t>
      </w:r>
      <w:r>
        <w:t xml:space="preserve"> the intensity of each initiative.</w:t>
      </w:r>
    </w:p>
    <w:p>
      <w:pPr>
        <w:pStyle w:val="Lista"/>
      </w:pPr>
      <w:r>
        <w:t xml:space="preserve">• The inventory covers </w:t>
      </w:r>
      <w:r>
        <w:rPr>
          <w:b/>
        </w:rPr>
        <w:t xml:space="preserve">the whole company</w:t>
      </w:r>
      <w:r>
        <w:t xml:space="preserve"> even if the implementation perimeter is smaller (90 §2.3).</w:t>
      </w:r>
    </w:p>
    <w:p>
      <w:pPr>
        <w:pStyle w:val="Lista"/>
      </w:pPr>
      <w:r>
        <w:t xml:space="preserve">• No general AI moratorium is declared: only what the diagnosis identifies as unacceptable risk is stopped.</w:t>
      </w:r>
    </w:p>
    <w:p>
      <w:pPr>
        <w:pStyle w:val="Lista"/>
      </w:pPr>
      <w:r>
        <w:t xml:space="preserve">• Dates are written in DD-MM-YYYY format.</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Document code</w:t>
            </w:r>
          </w:p>
        </w:tc>
        <w:tc>
          <w:tcPr>
            <w:tcW w:w="3213" w:type="dxa"/>
          </w:tcPr>
          <w:p>
            <w:pPr>
              <w:pStyle w:val="Celda"/>
            </w:pPr>
          </w:p>
        </w:tc>
        <w:tc>
          <w:tcPr>
            <w:tcW w:w="3213" w:type="dxa"/>
          </w:tcPr>
          <w:p>
            <w:pPr>
              <w:pStyle w:val="Celda"/>
            </w:pPr>
            <w:r>
              <w:t xml:space="preserve">Identifier in the company's document repository.</w:t>
            </w:r>
          </w:p>
        </w:tc>
      </w:tr>
      <w:tr>
        <w:tc>
          <w:tcPr>
            <w:tcW w:w="3213" w:type="dxa"/>
          </w:tcPr>
          <w:p>
            <w:pPr>
              <w:pStyle w:val="Celda"/>
            </w:pPr>
            <w:r>
              <w:t xml:space="preserve">Company or group</w:t>
            </w:r>
          </w:p>
        </w:tc>
        <w:tc>
          <w:tcPr>
            <w:tcW w:w="3213" w:type="dxa"/>
          </w:tcPr>
          <w:p>
            <w:pPr>
              <w:pStyle w:val="Celda"/>
            </w:pPr>
          </w:p>
        </w:tc>
        <w:tc>
          <w:tcPr>
            <w:tcW w:w="3213" w:type="dxa"/>
          </w:tcPr>
          <w:p>
            <w:pPr>
              <w:pStyle w:val="Celda"/>
            </w:pPr>
            <w:r>
              <w:t xml:space="preserve">Company name. In the examples, always fictitious.</w:t>
            </w:r>
          </w:p>
        </w:tc>
      </w:tr>
      <w:tr>
        <w:tc>
          <w:tcPr>
            <w:tcW w:w="3213" w:type="dxa"/>
          </w:tcPr>
          <w:p>
            <w:pPr>
              <w:pStyle w:val="Celda"/>
            </w:pPr>
            <w:r>
              <w:t xml:space="preserve">Implementation period</w:t>
            </w:r>
          </w:p>
        </w:tc>
        <w:tc>
          <w:tcPr>
            <w:tcW w:w="3213" w:type="dxa"/>
          </w:tcPr>
          <w:p>
            <w:pPr>
              <w:pStyle w:val="Celda"/>
            </w:pPr>
          </w:p>
        </w:tc>
        <w:tc>
          <w:tcPr>
            <w:tcW w:w="3213" w:type="dxa"/>
          </w:tcPr>
          <w:p>
            <w:pPr>
              <w:pStyle w:val="Celda"/>
            </w:pPr>
            <w:r>
              <w:t xml:space="preserve">Start date and planned date of milestone 3 (week 13).</w:t>
            </w:r>
          </w:p>
        </w:tc>
      </w:tr>
      <w:tr>
        <w:tc>
          <w:tcPr>
            <w:tcW w:w="3213" w:type="dxa"/>
          </w:tcPr>
          <w:p>
            <w:pPr>
              <w:pStyle w:val="Celda"/>
            </w:pPr>
            <w:r>
              <w:t xml:space="preserve">Mandate version</w:t>
            </w:r>
          </w:p>
        </w:tc>
        <w:tc>
          <w:tcPr>
            <w:tcW w:w="3213" w:type="dxa"/>
          </w:tcPr>
          <w:p>
            <w:pPr>
              <w:pStyle w:val="Celda"/>
            </w:pPr>
          </w:p>
        </w:tc>
        <w:tc>
          <w:tcPr>
            <w:tcW w:w="3213" w:type="dxa"/>
          </w:tcPr>
          <w:p>
            <w:pPr>
              <w:pStyle w:val="Celda"/>
            </w:pPr>
            <w:r>
              <w:t xml:space="preserve">1.0 when signed; incremented at each amendment.</w:t>
            </w:r>
          </w:p>
        </w:tc>
      </w:tr>
      <w:tr>
        <w:tc>
          <w:tcPr>
            <w:tcW w:w="3213" w:type="dxa"/>
          </w:tcPr>
          <w:p>
            <w:pPr>
              <w:pStyle w:val="Celda"/>
            </w:pPr>
            <w:r>
              <w:t xml:space="preserve">Signature 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Date on which the board took note</w:t>
            </w:r>
          </w:p>
        </w:tc>
        <w:tc>
          <w:tcPr>
            <w:tcW w:w="3213" w:type="dxa"/>
          </w:tcPr>
          <w:p>
            <w:pPr>
              <w:pStyle w:val="Celda"/>
            </w:pPr>
          </w:p>
        </w:tc>
        <w:tc>
          <w:tcPr>
            <w:tcW w:w="3213" w:type="dxa"/>
          </w:tcPr>
          <w:p>
            <w:pPr>
              <w:pStyle w:val="Celda"/>
            </w:pPr>
            <w:r>
              <w:t xml:space="preserve">Reference to the minutes or to the decisions register (DEC-AAAA-NNN, document 62), if any.</w:t>
            </w:r>
          </w:p>
        </w:tc>
      </w:tr>
      <w:tr>
        <w:tc>
          <w:tcPr>
            <w:tcW w:w="3213" w:type="dxa"/>
          </w:tcPr>
          <w:p>
            <w:pPr>
              <w:pStyle w:val="Celda"/>
            </w:pPr>
            <w:r>
              <w:t xml:space="preserve">Diagnosis cut-off date</w:t>
            </w:r>
          </w:p>
        </w:tc>
        <w:tc>
          <w:tcPr>
            <w:tcW w:w="3213" w:type="dxa"/>
          </w:tcPr>
          <w:p>
            <w:pPr>
              <w:pStyle w:val="Celda"/>
            </w:pPr>
          </w:p>
        </w:tc>
        <w:tc>
          <w:tcPr>
            <w:tcW w:w="3213" w:type="dxa"/>
          </w:tcPr>
          <w:p>
            <w:pPr>
              <w:pStyle w:val="Celda"/>
            </w:pPr>
            <w:r>
              <w:t xml:space="preserve">Date that delimits admissible evidence in C1 (11 §4.3).</w:t>
            </w:r>
          </w:p>
        </w:tc>
      </w:tr>
    </w:tbl>
    <w:p>
      <w:pPr>
        <w:pStyle w:val="Espacio"/>
      </w:pPr>
    </w:p>
    <w:p>
      <w:pPr>
        <w:pStyle w:val="Separador"/>
      </w:pPr>
    </w:p>
    <w:p>
      <w:pPr>
        <w:pStyle w:val="Heading1"/>
      </w:pPr>
      <w:r>
        <w:t xml:space="preserve">3. Purpose, scope and adoption model</w:t>
      </w:r>
    </w:p>
    <w:p>
      <w:pPr>
        <w:pStyle w:val="Heading2"/>
      </w:pPr>
      <w:r>
        <w:t xml:space="preserve">3.1 Purpose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Objective of the implementation</w:t>
            </w:r>
          </w:p>
        </w:tc>
        <w:tc>
          <w:tcPr>
            <w:tcW w:w="3213" w:type="dxa"/>
          </w:tcPr>
          <w:p>
            <w:pPr>
              <w:pStyle w:val="Celda"/>
            </w:pPr>
          </w:p>
        </w:tc>
        <w:tc>
          <w:tcPr>
            <w:tcW w:w="3213" w:type="dxa"/>
          </w:tcPr>
          <w:p>
            <w:pPr>
              <w:pStyle w:val="Celda"/>
            </w:pPr>
            <w:r>
              <w:t xml:space="preserve">What the company wants to achieve, in two or three sentences, linked to decision, risk or value.</w:t>
            </w:r>
          </w:p>
        </w:tc>
      </w:tr>
      <w:tr>
        <w:tc>
          <w:tcPr>
            <w:tcW w:w="3213" w:type="dxa"/>
          </w:tcPr>
          <w:p>
            <w:pPr>
              <w:pStyle w:val="Celda"/>
            </w:pPr>
            <w:r>
              <w:t xml:space="preserve">Expected result at 90 days</w:t>
            </w:r>
          </w:p>
        </w:tc>
        <w:tc>
          <w:tcPr>
            <w:tcW w:w="3213" w:type="dxa"/>
          </w:tcPr>
          <w:p>
            <w:pPr>
              <w:pStyle w:val="Celda"/>
            </w:pPr>
          </w:p>
        </w:tc>
        <w:tc>
          <w:tcPr>
            <w:tcW w:w="3213" w:type="dxa"/>
          </w:tcPr>
          <w:p>
            <w:pPr>
              <w:pStyle w:val="Celda"/>
            </w:pPr>
            <w:r>
              <w:t xml:space="preserve">Those in 90 §1.1: C1 with evidence, C2 proposed or approved, first portfolio (C3), bodies, roles, </w:t>
            </w:r>
            <w:r>
              <w:rPr>
                <w:i/>
              </w:rPr>
              <w:t xml:space="preserve">gates</w:t>
            </w:r>
            <w:r>
              <w:t xml:space="preserve">, metrics and reporting rhythm in place.</w:t>
            </w:r>
          </w:p>
        </w:tc>
      </w:tr>
      <w:tr>
        <w:tc>
          <w:tcPr>
            <w:tcW w:w="3213" w:type="dxa"/>
          </w:tcPr>
          <w:p>
            <w:pPr>
              <w:pStyle w:val="Celda"/>
            </w:pPr>
            <w:r>
              <w:t xml:space="preserve">Horizon up to the declaration of application</w:t>
            </w:r>
          </w:p>
        </w:tc>
        <w:tc>
          <w:tcPr>
            <w:tcW w:w="3213" w:type="dxa"/>
          </w:tcPr>
          <w:p>
            <w:pPr>
              <w:pStyle w:val="Celda"/>
            </w:pPr>
          </w:p>
        </w:tc>
        <w:tc>
          <w:tcPr>
            <w:tcW w:w="3213" w:type="dxa"/>
          </w:tcPr>
          <w:p>
            <w:pPr>
              <w:pStyle w:val="Celda"/>
            </w:pPr>
            <w:r>
              <w:t xml:space="preserve">Indicative: 6–12 months (Lite) · 12–18 months (Enterprise), according to 90 §2.1.</w:t>
            </w:r>
          </w:p>
        </w:tc>
      </w:tr>
    </w:tbl>
    <w:p>
      <w:pPr>
        <w:pStyle w:val="Espacio"/>
      </w:pPr>
    </w:p>
    <w:p>
      <w:r>
        <w:rPr>
          <w:i/>
        </w:rPr>
        <w:t xml:space="preserve">(illustrative example)</w:t>
      </w:r>
      <w:r>
        <w:t xml:space="preserve"> Example Company, S.A. (fictitious) adopts SEVEN-G to find out what AI it uses, what validated value it obtains and what risks it takes on, and so that the board approves its AI thesis and risk appetite in the fourth quarter of 2026.</w:t>
      </w:r>
    </w:p>
    <w:p>
      <w:pPr>
        <w:pStyle w:val="Heading2"/>
      </w:pPr>
      <w:r>
        <w:t xml:space="preserve">3.2 Implementation scope</w:t>
      </w:r>
    </w:p>
    <w:p>
      <w:r>
        <w:rPr>
          <w:b/>
        </w:rPr>
        <w:t xml:space="preserve">Enterprise</w:t>
      </w:r>
      <w:r>
        <w:t xml:space="preserve"> is chosen if at least one criterion is met (90 §2.2); otherwise, </w:t>
      </w:r>
      <w:r>
        <w:rPr>
          <w:b/>
        </w:rPr>
        <w:t xml:space="preserve">Lite</w:t>
      </w:r>
      <w:r>
        <w:t xml:space="preserv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Criterion</w:t>
            </w:r>
          </w:p>
        </w:tc>
        <w:tc>
          <w:tcPr>
            <w:tcW w:w="2410" w:type="dxa"/>
            <w:shd w:val="clear" w:color="auto" w:fill="F2DFCE"/>
          </w:tcPr>
          <w:p>
            <w:pPr>
              <w:pStyle w:val="Celda"/>
            </w:pPr>
            <w:r>
              <w:rPr>
                <w:b/>
              </w:rPr>
              <w:t xml:space="preserve">Met? (Yes · No)</w:t>
            </w:r>
          </w:p>
        </w:tc>
        <w:tc>
          <w:tcPr>
            <w:tcW w:w="2410" w:type="dxa"/>
            <w:shd w:val="clear" w:color="auto" w:fill="F2DFCE"/>
          </w:tcPr>
          <w:p>
            <w:pPr>
              <w:pStyle w:val="Celda"/>
            </w:pPr>
            <w:r>
              <w:rPr>
                <w:b/>
              </w:rPr>
              <w:t xml:space="preserve">Justification</w:t>
            </w:r>
          </w:p>
        </w:tc>
      </w:tr>
      <w:tr>
        <w:tc>
          <w:tcPr>
            <w:tcW w:w="2410" w:type="dxa"/>
          </w:tcPr>
          <w:p>
            <w:pPr>
              <w:pStyle w:val="Celda"/>
            </w:pPr>
            <w:r>
              <w:t xml:space="preserve">1</w:t>
            </w:r>
          </w:p>
        </w:tc>
        <w:tc>
          <w:tcPr>
            <w:tcW w:w="2410" w:type="dxa"/>
          </w:tcPr>
          <w:p>
            <w:pPr>
              <w:pStyle w:val="Celda"/>
            </w:pPr>
            <w:r>
              <w:t xml:space="preserve">Prudential or sector-specific supervision that requires formal governance of technology or model risk (for example, DORA).</w:t>
            </w:r>
          </w:p>
        </w:tc>
        <w:tc>
          <w:tcPr>
            <w:tcW w:w="2410" w:type="dxa"/>
          </w:tcPr>
          <w:p>
            <w:pPr>
              <w:pStyle w:val="Celda"/>
            </w:pP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High-risk AI systems under the EU AI Act, existing or planned.</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Agents with A2 or A3 autonomy over customers, money, personal data or production systems, existing or planned.</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Group with several companies or countries that must follow a common framework.</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Several simultaneous Transform bets (indicatively, three or more).</w:t>
            </w: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r>
              <w:rPr>
                <w:b/>
              </w:rPr>
              <w:t xml:space="preserve">Resulting scope</w:t>
            </w:r>
          </w:p>
        </w:tc>
        <w:tc>
          <w:tcPr>
            <w:tcW w:w="2410" w:type="dxa"/>
          </w:tcPr>
          <w:p>
            <w:pPr>
              <w:pStyle w:val="Celda"/>
            </w:pPr>
            <w:r>
              <w:t xml:space="preserve">Lite · Enterprise</w:t>
            </w:r>
          </w:p>
        </w:tc>
        <w:tc>
          <w:tcPr>
            <w:tcW w:w="2410" w:type="dxa"/>
          </w:tcPr>
          <w:p>
            <w:pPr>
              <w:pStyle w:val="Celda"/>
            </w:pPr>
          </w:p>
        </w:tc>
      </w:tr>
    </w:tbl>
    <w:p>
      <w:pPr>
        <w:pStyle w:val="Espacio"/>
      </w:pPr>
    </w:p>
    <w:p>
      <w:pPr>
        <w:pStyle w:val="Heading2"/>
      </w:pPr>
      <w:r>
        <w:t xml:space="preserve">3.3 Perimeter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Implementation perimeter</w:t>
            </w:r>
          </w:p>
        </w:tc>
        <w:tc>
          <w:tcPr>
            <w:tcW w:w="3213" w:type="dxa"/>
          </w:tcPr>
          <w:p>
            <w:pPr>
              <w:pStyle w:val="Celda"/>
            </w:pPr>
          </w:p>
        </w:tc>
        <w:tc>
          <w:tcPr>
            <w:tcW w:w="3213" w:type="dxa"/>
          </w:tcPr>
          <w:p>
            <w:pPr>
              <w:pStyle w:val="Celda"/>
            </w:pPr>
            <w:r>
              <w:t xml:space="preserve">Whole company, or subsidiary, country or business unit. The declaration of application will only cover this perimeter.</w:t>
            </w:r>
          </w:p>
        </w:tc>
      </w:tr>
      <w:tr>
        <w:tc>
          <w:tcPr>
            <w:tcW w:w="3213" w:type="dxa"/>
          </w:tcPr>
          <w:p>
            <w:pPr>
              <w:pStyle w:val="Celda"/>
            </w:pPr>
            <w:r>
              <w:t xml:space="preserve">Inventory perimeter</w:t>
            </w:r>
          </w:p>
        </w:tc>
        <w:tc>
          <w:tcPr>
            <w:tcW w:w="3213" w:type="dxa"/>
          </w:tcPr>
          <w:p>
            <w:pPr>
              <w:pStyle w:val="Celda"/>
            </w:pPr>
            <w:r>
              <w:t xml:space="preserve">Whole company</w:t>
            </w:r>
          </w:p>
        </w:tc>
        <w:tc>
          <w:tcPr>
            <w:tcW w:w="3213" w:type="dxa"/>
          </w:tcPr>
          <w:p>
            <w:pPr>
              <w:pStyle w:val="Celda"/>
            </w:pPr>
            <w:r>
              <w:t xml:space="preserve">It is not reduced: risk does not respect perimeters (90 §2.3).</w:t>
            </w:r>
          </w:p>
        </w:tc>
      </w:tr>
      <w:tr>
        <w:tc>
          <w:tcPr>
            <w:tcW w:w="3213" w:type="dxa"/>
          </w:tcPr>
          <w:p>
            <w:pPr>
              <w:pStyle w:val="Celda"/>
            </w:pPr>
            <w:r>
              <w:t xml:space="preserve">Exclusions and reason</w:t>
            </w:r>
          </w:p>
        </w:tc>
        <w:tc>
          <w:tcPr>
            <w:tcW w:w="3213" w:type="dxa"/>
          </w:tcPr>
          <w:p>
            <w:pPr>
              <w:pStyle w:val="Celda"/>
            </w:pPr>
          </w:p>
        </w:tc>
        <w:tc>
          <w:tcPr>
            <w:tcW w:w="3213" w:type="dxa"/>
          </w:tcPr>
          <w:p>
            <w:pPr>
              <w:pStyle w:val="Celda"/>
            </w:pPr>
            <w:r>
              <w:t xml:space="preserve">Only from the implementation perimeter, never from the inventory.</w:t>
            </w:r>
          </w:p>
        </w:tc>
      </w:tr>
    </w:tbl>
    <w:p>
      <w:pPr>
        <w:pStyle w:val="Espacio"/>
      </w:pPr>
    </w:p>
    <w:p>
      <w:pPr>
        <w:pStyle w:val="Heading2"/>
      </w:pPr>
      <w:r>
        <w:t xml:space="preserve">3.4 Adoption model</w:t>
      </w:r>
    </w:p>
    <w:p>
      <w:r>
        <w:t xml:space="preserve">SEVEN-G may be adopted </w:t>
      </w:r>
      <w:r>
        <w:rPr>
          <w:b/>
        </w:rPr>
        <w:t xml:space="preserve">in full</w:t>
      </w:r>
      <w:r>
        <w:t xml:space="preserve"> or </w:t>
      </w:r>
      <w:r>
        <w:rPr>
          <w:b/>
        </w:rPr>
        <w:t xml:space="preserve">modularly</w:t>
      </w:r>
      <w:r>
        <w:t xml:space="preserve"> by components (01 §1.2). Modular adoption is valid, but the company may only declare that it applies SEVEN-G once it meets the fourteen core rules (01 §14.1).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Model chosen</w:t>
            </w:r>
          </w:p>
        </w:tc>
        <w:tc>
          <w:tcPr>
            <w:tcW w:w="3213" w:type="dxa"/>
          </w:tcPr>
          <w:p>
            <w:pPr>
              <w:pStyle w:val="Celda"/>
            </w:pPr>
            <w:r>
              <w:t xml:space="preserve">Full · Modular</w:t>
            </w:r>
          </w:p>
        </w:tc>
        <w:tc>
          <w:tcPr>
            <w:tcW w:w="3213" w:type="dxa"/>
          </w:tcPr>
          <w:p>
            <w:pPr>
              <w:pStyle w:val="Celda"/>
            </w:pPr>
          </w:p>
        </w:tc>
      </w:tr>
      <w:tr>
        <w:tc>
          <w:tcPr>
            <w:tcW w:w="3213" w:type="dxa"/>
          </w:tcPr>
          <w:p>
            <w:pPr>
              <w:pStyle w:val="Celda"/>
            </w:pPr>
            <w:r>
              <w:t xml:space="preserve">Existing frameworks with which it is integrated</w:t>
            </w:r>
          </w:p>
        </w:tc>
        <w:tc>
          <w:tcPr>
            <w:tcW w:w="3213" w:type="dxa"/>
          </w:tcPr>
          <w:p>
            <w:pPr>
              <w:pStyle w:val="Celda"/>
            </w:pPr>
          </w:p>
        </w:tc>
        <w:tc>
          <w:tcPr>
            <w:tcW w:w="3213" w:type="dxa"/>
          </w:tcPr>
          <w:p>
            <w:pPr>
              <w:pStyle w:val="Celda"/>
            </w:pPr>
            <w:r>
              <w:t xml:space="preserve">Corporate risk, control, technology or transformation frameworks that SEVEN-G organises without replacing them.</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Component or element</w:t>
            </w:r>
          </w:p>
        </w:tc>
        <w:tc>
          <w:tcPr>
            <w:tcW w:w="1928" w:type="dxa"/>
            <w:shd w:val="clear" w:color="auto" w:fill="F2DFCE"/>
          </w:tcPr>
          <w:p>
            <w:pPr>
              <w:pStyle w:val="Celda"/>
            </w:pPr>
            <w:r>
              <w:rPr>
                <w:b/>
              </w:rPr>
              <w:t xml:space="preserve">Adopted within the 90 days (Yes · No · Later)</w:t>
            </w:r>
          </w:p>
        </w:tc>
        <w:tc>
          <w:tcPr>
            <w:tcW w:w="1928" w:type="dxa"/>
            <w:shd w:val="clear" w:color="auto" w:fill="F2DFCE"/>
          </w:tcPr>
          <w:p>
            <w:pPr>
              <w:pStyle w:val="Celda"/>
            </w:pPr>
            <w:r>
              <w:rPr>
                <w:b/>
              </w:rPr>
              <w:t xml:space="preserve">Planned date</w:t>
            </w:r>
          </w:p>
        </w:tc>
        <w:tc>
          <w:tcPr>
            <w:tcW w:w="1928" w:type="dxa"/>
            <w:shd w:val="clear" w:color="auto" w:fill="F2DFCE"/>
          </w:tcPr>
          <w:p>
            <w:pPr>
              <w:pStyle w:val="Celda"/>
            </w:pPr>
            <w:r>
              <w:rPr>
                <w:b/>
              </w:rPr>
              <w:t xml:space="preserve">Existing body or framework that already covers it</w:t>
            </w:r>
          </w:p>
        </w:tc>
        <w:tc>
          <w:tcPr>
            <w:tcW w:w="1928" w:type="dxa"/>
            <w:shd w:val="clear" w:color="auto" w:fill="F2DFCE"/>
          </w:tcPr>
          <w:p>
            <w:pPr>
              <w:pStyle w:val="Celda"/>
            </w:pPr>
            <w:r>
              <w:rPr>
                <w:b/>
              </w:rPr>
              <w:t xml:space="preserve">Justification</w:t>
            </w:r>
          </w:p>
        </w:tc>
      </w:tr>
      <w:tr>
        <w:tc>
          <w:tcPr>
            <w:tcW w:w="1928" w:type="dxa"/>
          </w:tcPr>
          <w:p>
            <w:pPr>
              <w:pStyle w:val="Celda"/>
            </w:pPr>
            <w:r>
              <w:t xml:space="preserve">AI system inventory (document 32)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Mandatory from the outset under any model.</w:t>
            </w:r>
          </w:p>
        </w:tc>
      </w:tr>
      <w:tr>
        <w:tc>
          <w:tcPr>
            <w:tcW w:w="1928" w:type="dxa"/>
          </w:tcPr>
          <w:p>
            <w:pPr>
              <w:pStyle w:val="Celda"/>
            </w:pPr>
            <w:r>
              <w:t xml:space="preserve">Lifecycle and </w:t>
            </w:r>
            <w:r>
              <w:rPr>
                <w:i/>
              </w:rPr>
              <w:t xml:space="preserve">gates</w:t>
            </w:r>
            <w:r>
              <w:t xml:space="preserve"> (documents 20–22)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 · Impact map (document 10)</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B · Governance system: bodies, roles, risks and nonconformities (30, 33, 37)</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 · Measurement system: value rules, maturity and index (11, 12, 40)</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 · Tools and board oversight (03, 60, 62)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Sponsorship, lead and team</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Implementation sponsor</w:t>
            </w:r>
          </w:p>
        </w:tc>
        <w:tc>
          <w:tcPr>
            <w:tcW w:w="3213" w:type="dxa"/>
          </w:tcPr>
          <w:p>
            <w:pPr>
              <w:pStyle w:val="Celda"/>
            </w:pPr>
          </w:p>
        </w:tc>
        <w:tc>
          <w:tcPr>
            <w:tcW w:w="3213" w:type="dxa"/>
          </w:tcPr>
          <w:p>
            <w:pPr>
              <w:pStyle w:val="Celda"/>
            </w:pPr>
            <w:r>
              <w:t xml:space="preserve">Member of senior management with authority over the portfolio. Accepts the milestones together with the AI Committee (90 §4.1).</w:t>
            </w:r>
          </w:p>
        </w:tc>
      </w:tr>
      <w:tr>
        <w:tc>
          <w:tcPr>
            <w:tcW w:w="3213" w:type="dxa"/>
          </w:tcPr>
          <w:p>
            <w:pPr>
              <w:pStyle w:val="Celda"/>
            </w:pPr>
            <w:r>
              <w:t xml:space="preserve">Implementation lead</w:t>
            </w:r>
          </w:p>
        </w:tc>
        <w:tc>
          <w:tcPr>
            <w:tcW w:w="3213" w:type="dxa"/>
          </w:tcPr>
          <w:p>
            <w:pPr>
              <w:pStyle w:val="Celda"/>
            </w:pPr>
          </w:p>
        </w:tc>
        <w:tc>
          <w:tcPr>
            <w:tcW w:w="3213" w:type="dxa"/>
          </w:tcPr>
          <w:p>
            <w:pPr>
              <w:pStyle w:val="Celda"/>
            </w:pPr>
            <w:r>
              <w:t xml:space="preserve">Name, position and dedication. Indicatively, most of their working time during the 90 days in Enterprise (90 §3). Usually the future head of the AI Office.</w:t>
            </w:r>
          </w:p>
        </w:tc>
      </w:tr>
      <w:tr>
        <w:tc>
          <w:tcPr>
            <w:tcW w:w="3213" w:type="dxa"/>
          </w:tcPr>
          <w:p>
            <w:pPr>
              <w:pStyle w:val="Celda"/>
            </w:pPr>
            <w:r>
              <w:t xml:space="preserve">Future head of the AI Office</w:t>
            </w:r>
          </w:p>
        </w:tc>
        <w:tc>
          <w:tcPr>
            <w:tcW w:w="3213" w:type="dxa"/>
          </w:tcPr>
          <w:p>
            <w:pPr>
              <w:pStyle w:val="Celda"/>
            </w:pPr>
          </w:p>
        </w:tc>
        <w:tc>
          <w:tcPr>
            <w:tcW w:w="3213" w:type="dxa"/>
          </w:tcPr>
          <w:p>
            <w:pPr>
              <w:pStyle w:val="Celda"/>
            </w:pPr>
            <w:r>
              <w:t xml:space="preserve">If not the same person as above, they must take part from day one.</w:t>
            </w:r>
          </w:p>
        </w:tc>
      </w:tr>
      <w:tr>
        <w:tc>
          <w:tcPr>
            <w:tcW w:w="3213" w:type="dxa"/>
          </w:tcPr>
          <w:p>
            <w:pPr>
              <w:pStyle w:val="Celda"/>
            </w:pPr>
            <w:r>
              <w:t xml:space="preserve">Person designated by the third line to verify maturity</w:t>
            </w:r>
          </w:p>
        </w:tc>
        <w:tc>
          <w:tcPr>
            <w:tcW w:w="3213" w:type="dxa"/>
          </w:tcPr>
          <w:p>
            <w:pPr>
              <w:pStyle w:val="Celda"/>
            </w:pPr>
          </w:p>
        </w:tc>
        <w:tc>
          <w:tcPr>
            <w:tcW w:w="3213" w:type="dxa"/>
          </w:tcPr>
          <w:p>
            <w:pPr>
              <w:pStyle w:val="Celda"/>
            </w:pPr>
            <w:r>
              <w:t xml:space="preserve">Internal audit, AI Auditor or independent third party (11 §4.2).</w:t>
            </w:r>
          </w:p>
        </w:tc>
      </w:tr>
      <w:tr>
        <w:tc>
          <w:tcPr>
            <w:tcW w:w="3213" w:type="dxa"/>
          </w:tcPr>
          <w:p>
            <w:pPr>
              <w:pStyle w:val="Celda"/>
            </w:pPr>
            <w:r>
              <w:t xml:space="preserve">External support </w:t>
            </w:r>
            <w:r>
              <w:rPr>
                <w:b/>
              </w:rPr>
              <w:t xml:space="preserve">(Enterprise)</w:t>
            </w:r>
          </w:p>
        </w:tc>
        <w:tc>
          <w:tcPr>
            <w:tcW w:w="3213" w:type="dxa"/>
          </w:tcPr>
          <w:p>
            <w:pPr>
              <w:pStyle w:val="Celda"/>
            </w:pPr>
          </w:p>
        </w:tc>
        <w:tc>
          <w:tcPr>
            <w:tcW w:w="3213" w:type="dxa"/>
          </w:tcPr>
          <w:p>
            <w:pPr>
              <w:pStyle w:val="Celda"/>
            </w:pPr>
            <w:r>
              <w:t xml:space="preserve">If any, engagement model (document 91) and scope. The third party does not verify what it helps to prepare.</w:t>
            </w:r>
          </w:p>
        </w:tc>
      </w:tr>
    </w:tbl>
    <w:p>
      <w:pPr>
        <w:pStyle w:val="Espacio"/>
      </w:pPr>
    </w:p>
    <w:p>
      <w:r>
        <w:rPr>
          <w:b/>
        </w:rPr>
        <w:t xml:space="preserve">Core team</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Function</w:t>
            </w:r>
          </w:p>
        </w:tc>
        <w:tc>
          <w:tcPr>
            <w:tcW w:w="2410" w:type="dxa"/>
            <w:shd w:val="clear" w:color="auto" w:fill="F2DFCE"/>
          </w:tcPr>
          <w:p>
            <w:pPr>
              <w:pStyle w:val="Celda"/>
            </w:pPr>
            <w:r>
              <w:rPr>
                <w:b/>
              </w:rPr>
              <w:t xml:space="preserve">Representative</w:t>
            </w:r>
          </w:p>
        </w:tc>
        <w:tc>
          <w:tcPr>
            <w:tcW w:w="2410" w:type="dxa"/>
            <w:shd w:val="clear" w:color="auto" w:fill="F2DFCE"/>
          </w:tcPr>
          <w:p>
            <w:pPr>
              <w:pStyle w:val="Celda"/>
            </w:pPr>
            <w:r>
              <w:rPr>
                <w:b/>
              </w:rPr>
              <w:t xml:space="preserve">Allocated dedication</w:t>
            </w:r>
          </w:p>
        </w:tc>
        <w:tc>
          <w:tcPr>
            <w:tcW w:w="2410" w:type="dxa"/>
            <w:shd w:val="clear" w:color="auto" w:fill="F2DFCE"/>
          </w:tcPr>
          <w:p>
            <w:pPr>
              <w:pStyle w:val="Celda"/>
            </w:pPr>
            <w:r>
              <w:rPr>
                <w:b/>
              </w:rPr>
              <w:t xml:space="preserve">Contributes</w:t>
            </w:r>
          </w:p>
        </w:tc>
      </w:tr>
      <w:tr>
        <w:tc>
          <w:tcPr>
            <w:tcW w:w="2410" w:type="dxa"/>
          </w:tcPr>
          <w:p>
            <w:pPr>
              <w:pStyle w:val="Celda"/>
            </w:pPr>
            <w:r>
              <w:t xml:space="preserve">Business</w:t>
            </w:r>
          </w:p>
        </w:tc>
        <w:tc>
          <w:tcPr>
            <w:tcW w:w="2410" w:type="dxa"/>
          </w:tcPr>
          <w:p>
            <w:pPr>
              <w:pStyle w:val="Celda"/>
            </w:pPr>
          </w:p>
        </w:tc>
        <w:tc>
          <w:tcPr>
            <w:tcW w:w="2410" w:type="dxa"/>
          </w:tcPr>
          <w:p>
            <w:pPr>
              <w:pStyle w:val="Celda"/>
            </w:pPr>
          </w:p>
        </w:tc>
        <w:tc>
          <w:tcPr>
            <w:tcW w:w="2410" w:type="dxa"/>
          </w:tcPr>
          <w:p>
            <w:pPr>
              <w:pStyle w:val="Celda"/>
            </w:pPr>
            <w:r>
              <w:t xml:space="preserve">Initiatives, value and opportunities by sphere.</w:t>
            </w:r>
          </w:p>
        </w:tc>
      </w:tr>
      <w:tr>
        <w:tc>
          <w:tcPr>
            <w:tcW w:w="2410" w:type="dxa"/>
          </w:tcPr>
          <w:p>
            <w:pPr>
              <w:pStyle w:val="Celda"/>
            </w:pPr>
            <w:r>
              <w:t xml:space="preserve">Technology</w:t>
            </w:r>
          </w:p>
        </w:tc>
        <w:tc>
          <w:tcPr>
            <w:tcW w:w="2410" w:type="dxa"/>
          </w:tcPr>
          <w:p>
            <w:pPr>
              <w:pStyle w:val="Celda"/>
            </w:pPr>
          </w:p>
        </w:tc>
        <w:tc>
          <w:tcPr>
            <w:tcW w:w="2410" w:type="dxa"/>
          </w:tcPr>
          <w:p>
            <w:pPr>
              <w:pStyle w:val="Celda"/>
            </w:pPr>
          </w:p>
        </w:tc>
        <w:tc>
          <w:tcPr>
            <w:tcW w:w="2410" w:type="dxa"/>
          </w:tcPr>
          <w:p>
            <w:pPr>
              <w:pStyle w:val="Celda"/>
            </w:pPr>
            <w:r>
              <w:t xml:space="preserve">Systems, architecture and operation.</w:t>
            </w:r>
          </w:p>
        </w:tc>
      </w:tr>
      <w:tr>
        <w:tc>
          <w:tcPr>
            <w:tcW w:w="2410" w:type="dxa"/>
          </w:tcPr>
          <w:p>
            <w:pPr>
              <w:pStyle w:val="Celda"/>
            </w:pPr>
            <w:r>
              <w:t xml:space="preserve">Data</w:t>
            </w:r>
          </w:p>
        </w:tc>
        <w:tc>
          <w:tcPr>
            <w:tcW w:w="2410" w:type="dxa"/>
          </w:tcPr>
          <w:p>
            <w:pPr>
              <w:pStyle w:val="Celda"/>
            </w:pPr>
          </w:p>
        </w:tc>
        <w:tc>
          <w:tcPr>
            <w:tcW w:w="2410" w:type="dxa"/>
          </w:tcPr>
          <w:p>
            <w:pPr>
              <w:pStyle w:val="Celda"/>
            </w:pPr>
          </w:p>
        </w:tc>
        <w:tc>
          <w:tcPr>
            <w:tcW w:w="2410" w:type="dxa"/>
          </w:tcPr>
          <w:p>
            <w:pPr>
              <w:pStyle w:val="Celda"/>
            </w:pPr>
            <w:r>
              <w:t xml:space="preserve">Sources, quality and legal basis.</w:t>
            </w:r>
          </w:p>
        </w:tc>
      </w:tr>
      <w:tr>
        <w:tc>
          <w:tcPr>
            <w:tcW w:w="2410" w:type="dxa"/>
          </w:tcPr>
          <w:p>
            <w:pPr>
              <w:pStyle w:val="Celda"/>
            </w:pPr>
            <w:r>
              <w:t xml:space="preserve">Risk and compliance</w:t>
            </w:r>
          </w:p>
        </w:tc>
        <w:tc>
          <w:tcPr>
            <w:tcW w:w="2410" w:type="dxa"/>
          </w:tcPr>
          <w:p>
            <w:pPr>
              <w:pStyle w:val="Celda"/>
            </w:pPr>
          </w:p>
        </w:tc>
        <w:tc>
          <w:tcPr>
            <w:tcW w:w="2410" w:type="dxa"/>
          </w:tcPr>
          <w:p>
            <w:pPr>
              <w:pStyle w:val="Celda"/>
            </w:pPr>
          </w:p>
        </w:tc>
        <w:tc>
          <w:tcPr>
            <w:tcW w:w="2410" w:type="dxa"/>
          </w:tcPr>
          <w:p>
            <w:pPr>
              <w:pStyle w:val="Celda"/>
            </w:pPr>
            <w:r>
              <w:t xml:space="preserve">Risk methodology, classification and appetite.</w:t>
            </w:r>
          </w:p>
        </w:tc>
      </w:tr>
      <w:tr>
        <w:tc>
          <w:tcPr>
            <w:tcW w:w="2410" w:type="dxa"/>
          </w:tcPr>
          <w:p>
            <w:pPr>
              <w:pStyle w:val="Celda"/>
            </w:pPr>
            <w:r>
              <w:t xml:space="preserve">Information security</w:t>
            </w:r>
          </w:p>
        </w:tc>
        <w:tc>
          <w:tcPr>
            <w:tcW w:w="2410" w:type="dxa"/>
          </w:tcPr>
          <w:p>
            <w:pPr>
              <w:pStyle w:val="Celda"/>
            </w:pPr>
          </w:p>
        </w:tc>
        <w:tc>
          <w:tcPr>
            <w:tcW w:w="2410" w:type="dxa"/>
          </w:tcPr>
          <w:p>
            <w:pPr>
              <w:pStyle w:val="Celda"/>
            </w:pPr>
          </w:p>
        </w:tc>
        <w:tc>
          <w:tcPr>
            <w:tcW w:w="2410" w:type="dxa"/>
          </w:tcPr>
          <w:p>
            <w:pPr>
              <w:pStyle w:val="Celda"/>
            </w:pPr>
            <w:r>
              <w:t xml:space="preserve">Unauthorised use, controls and agents.</w:t>
            </w:r>
          </w:p>
        </w:tc>
      </w:tr>
      <w:tr>
        <w:tc>
          <w:tcPr>
            <w:tcW w:w="2410" w:type="dxa"/>
          </w:tcPr>
          <w:p>
            <w:pPr>
              <w:pStyle w:val="Celda"/>
            </w:pPr>
            <w:r>
              <w:t xml:space="preserve">Data protection</w:t>
            </w:r>
          </w:p>
        </w:tc>
        <w:tc>
          <w:tcPr>
            <w:tcW w:w="2410" w:type="dxa"/>
          </w:tcPr>
          <w:p>
            <w:pPr>
              <w:pStyle w:val="Celda"/>
            </w:pPr>
          </w:p>
        </w:tc>
        <w:tc>
          <w:tcPr>
            <w:tcW w:w="2410" w:type="dxa"/>
          </w:tcPr>
          <w:p>
            <w:pPr>
              <w:pStyle w:val="Celda"/>
            </w:pPr>
          </w:p>
        </w:tc>
        <w:tc>
          <w:tcPr>
            <w:tcW w:w="2410" w:type="dxa"/>
          </w:tcPr>
          <w:p>
            <w:pPr>
              <w:pStyle w:val="Celda"/>
            </w:pPr>
            <w:r>
              <w:t xml:space="preserve">Processing involving personal data.</w:t>
            </w:r>
          </w:p>
        </w:tc>
      </w:tr>
      <w:tr>
        <w:tc>
          <w:tcPr>
            <w:tcW w:w="2410" w:type="dxa"/>
          </w:tcPr>
          <w:p>
            <w:pPr>
              <w:pStyle w:val="Celda"/>
            </w:pPr>
            <w:r>
              <w:t xml:space="preserve">People (human resources)</w:t>
            </w:r>
          </w:p>
        </w:tc>
        <w:tc>
          <w:tcPr>
            <w:tcW w:w="2410" w:type="dxa"/>
          </w:tcPr>
          <w:p>
            <w:pPr>
              <w:pStyle w:val="Celda"/>
            </w:pPr>
          </w:p>
        </w:tc>
        <w:tc>
          <w:tcPr>
            <w:tcW w:w="2410" w:type="dxa"/>
          </w:tcPr>
          <w:p>
            <w:pPr>
              <w:pStyle w:val="Celda"/>
            </w:pPr>
          </w:p>
        </w:tc>
        <w:tc>
          <w:tcPr>
            <w:tcW w:w="2410" w:type="dxa"/>
          </w:tcPr>
          <w:p>
            <w:pPr>
              <w:pStyle w:val="Celda"/>
            </w:pPr>
            <w:r>
              <w:t xml:space="preserve">Effect on work, training and workers' representatives.</w:t>
            </w:r>
          </w:p>
        </w:tc>
      </w:tr>
      <w:tr>
        <w:tc>
          <w:tcPr>
            <w:tcW w:w="2410" w:type="dxa"/>
          </w:tcPr>
          <w:p>
            <w:pPr>
              <w:pStyle w:val="Celda"/>
            </w:pPr>
            <w:r>
              <w:t xml:space="preserve">Management control</w:t>
            </w:r>
          </w:p>
        </w:tc>
        <w:tc>
          <w:tcPr>
            <w:tcW w:w="2410" w:type="dxa"/>
          </w:tcPr>
          <w:p>
            <w:pPr>
              <w:pStyle w:val="Celda"/>
            </w:pPr>
          </w:p>
        </w:tc>
        <w:tc>
          <w:tcPr>
            <w:tcW w:w="2410" w:type="dxa"/>
          </w:tcPr>
          <w:p>
            <w:pPr>
              <w:pStyle w:val="Celda"/>
            </w:pPr>
          </w:p>
        </w:tc>
        <w:tc>
          <w:tcPr>
            <w:tcW w:w="2410" w:type="dxa"/>
          </w:tcPr>
          <w:p>
            <w:pPr>
              <w:pStyle w:val="Celda"/>
            </w:pPr>
            <w:r>
              <w:t xml:space="preserve">Value and cost with their status.</w:t>
            </w:r>
          </w:p>
        </w:tc>
      </w:tr>
      <w:tr>
        <w:tc>
          <w:tcPr>
            <w:tcW w:w="2410" w:type="dxa"/>
          </w:tcPr>
          <w:p>
            <w:pPr>
              <w:pStyle w:val="Celda"/>
            </w:pPr>
            <w:r>
              <w:t xml:space="preserve">Legal counsel</w:t>
            </w:r>
          </w:p>
        </w:tc>
        <w:tc>
          <w:tcPr>
            <w:tcW w:w="2410" w:type="dxa"/>
          </w:tcPr>
          <w:p>
            <w:pPr>
              <w:pStyle w:val="Celda"/>
            </w:pPr>
          </w:p>
        </w:tc>
        <w:tc>
          <w:tcPr>
            <w:tcW w:w="2410" w:type="dxa"/>
          </w:tcPr>
          <w:p>
            <w:pPr>
              <w:pStyle w:val="Celda"/>
            </w:pPr>
          </w:p>
        </w:tc>
        <w:tc>
          <w:tcPr>
            <w:tcW w:w="2410" w:type="dxa"/>
          </w:tcPr>
          <w:p>
            <w:pPr>
              <w:pStyle w:val="Celda"/>
            </w:pPr>
            <w:r>
              <w:t xml:space="preserve">Regulatory classification of priority systems.</w:t>
            </w:r>
          </w:p>
        </w:tc>
      </w:tr>
      <w:tr>
        <w:tc>
          <w:tcPr>
            <w:tcW w:w="2410" w:type="dxa"/>
          </w:tcPr>
          <w:p>
            <w:pPr>
              <w:pStyle w:val="Celda"/>
            </w:pPr>
            <w:r>
              <w:rPr>
                <w:i/>
              </w:rPr>
              <w:t xml:space="preserve">(illustrative example)</w:t>
            </w:r>
            <w:r>
              <w:t xml:space="preserve"> Management control</w:t>
            </w:r>
          </w:p>
        </w:tc>
        <w:tc>
          <w:tcPr>
            <w:tcW w:w="2410" w:type="dxa"/>
          </w:tcPr>
          <w:p>
            <w:pPr>
              <w:pStyle w:val="Celda"/>
            </w:pPr>
            <w:r>
              <w:t xml:space="preserve">Head of management control</w:t>
            </w:r>
          </w:p>
        </w:tc>
        <w:tc>
          <w:tcPr>
            <w:tcW w:w="2410" w:type="dxa"/>
          </w:tcPr>
          <w:p>
            <w:pPr>
              <w:pStyle w:val="Celda"/>
            </w:pPr>
            <w:r>
              <w:t xml:space="preserve">20 % for 13 weeks</w:t>
            </w:r>
          </w:p>
        </w:tc>
        <w:tc>
          <w:tcPr>
            <w:tcW w:w="2410" w:type="dxa"/>
          </w:tcPr>
          <w:p>
            <w:pPr>
              <w:pStyle w:val="Celda"/>
            </w:pPr>
            <w:r>
              <w:t xml:space="preserve">Validation of the figures in the C1 report</w:t>
            </w:r>
          </w:p>
        </w:tc>
      </w:tr>
    </w:tbl>
    <w:p>
      <w:pPr>
        <w:pStyle w:val="Espacio"/>
      </w:pPr>
    </w:p>
    <w:p>
      <w:pPr>
        <w:pStyle w:val="Separador"/>
      </w:pPr>
    </w:p>
    <w:p>
      <w:pPr>
        <w:pStyle w:val="Heading1"/>
      </w:pPr>
      <w:r>
        <w:t xml:space="preserve">5. Resources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Resource</w:t>
            </w:r>
          </w:p>
        </w:tc>
        <w:tc>
          <w:tcPr>
            <w:tcW w:w="3213" w:type="dxa"/>
            <w:shd w:val="clear" w:color="auto" w:fill="F2DFCE"/>
          </w:tcPr>
          <w:p>
            <w:pPr>
              <w:pStyle w:val="Celda"/>
            </w:pPr>
            <w:r>
              <w:rPr>
                <w:b/>
              </w:rPr>
              <w:t xml:space="preserve">Amount or allocation</w:t>
            </w:r>
          </w:p>
        </w:tc>
        <w:tc>
          <w:tcPr>
            <w:tcW w:w="3213" w:type="dxa"/>
            <w:shd w:val="clear" w:color="auto" w:fill="F2DFCE"/>
          </w:tcPr>
          <w:p>
            <w:pPr>
              <w:pStyle w:val="Celda"/>
            </w:pPr>
            <w:r>
              <w:rPr>
                <w:b/>
              </w:rPr>
              <w:t xml:space="preserve">Guidance</w:t>
            </w:r>
          </w:p>
        </w:tc>
      </w:tr>
      <w:tr>
        <w:tc>
          <w:tcPr>
            <w:tcW w:w="3213" w:type="dxa"/>
          </w:tcPr>
          <w:p>
            <w:pPr>
              <w:pStyle w:val="Celda"/>
            </w:pPr>
            <w:r>
              <w:t xml:space="preserve">Implementation budget</w:t>
            </w:r>
          </w:p>
        </w:tc>
        <w:tc>
          <w:tcPr>
            <w:tcW w:w="3213" w:type="dxa"/>
          </w:tcPr>
          <w:p>
            <w:pPr>
              <w:pStyle w:val="Celda"/>
            </w:pPr>
          </w:p>
        </w:tc>
        <w:tc>
          <w:tcPr>
            <w:tcW w:w="3213" w:type="dxa"/>
          </w:tcPr>
          <w:p>
            <w:pPr>
              <w:pStyle w:val="Celda"/>
            </w:pPr>
            <w:r>
              <w:t xml:space="preserve">Internal hours, external support, training and tools.</w:t>
            </w:r>
          </w:p>
        </w:tc>
      </w:tr>
      <w:tr>
        <w:tc>
          <w:tcPr>
            <w:tcW w:w="3213" w:type="dxa"/>
          </w:tcPr>
          <w:p>
            <w:pPr>
              <w:pStyle w:val="Celda"/>
            </w:pPr>
            <w:r>
              <w:t xml:space="preserve">Register support</w:t>
            </w:r>
          </w:p>
        </w:tc>
        <w:tc>
          <w:tcPr>
            <w:tcW w:w="3213" w:type="dxa"/>
          </w:tcPr>
          <w:p>
            <w:pPr>
              <w:pStyle w:val="Celda"/>
            </w:pPr>
            <w:r>
              <w:t xml:space="preserve">T01 and T02 · Spreadsheet</w:t>
            </w:r>
          </w:p>
        </w:tc>
        <w:tc>
          <w:tcPr>
            <w:tcW w:w="3213" w:type="dxa"/>
          </w:tcPr>
          <w:p>
            <w:pPr>
              <w:pStyle w:val="Celda"/>
            </w:pPr>
            <w:r>
              <w:t xml:space="preserve">With the data model in 03 §4 if T01 is not used.</w:t>
            </w:r>
          </w:p>
        </w:tc>
      </w:tr>
      <w:tr>
        <w:tc>
          <w:tcPr>
            <w:tcW w:w="3213" w:type="dxa"/>
          </w:tcPr>
          <w:p>
            <w:pPr>
              <w:pStyle w:val="Celda"/>
            </w:pPr>
            <w:r>
              <w:t xml:space="preserve">Access to information</w:t>
            </w:r>
          </w:p>
        </w:tc>
        <w:tc>
          <w:tcPr>
            <w:tcW w:w="3213" w:type="dxa"/>
          </w:tcPr>
          <w:p>
            <w:pPr>
              <w:pStyle w:val="Celda"/>
            </w:pPr>
          </w:p>
        </w:tc>
        <w:tc>
          <w:tcPr>
            <w:tcW w:w="3213" w:type="dxa"/>
          </w:tcPr>
          <w:p>
            <w:pPr>
              <w:pStyle w:val="Celda"/>
            </w:pPr>
            <w:r>
              <w:t xml:space="preserve">Procurement, licences, supplier contracts, architecture, risk register and budgets (90 §3). State who guarantees it.</w:t>
            </w:r>
          </w:p>
        </w:tc>
      </w:tr>
      <w:tr>
        <w:tc>
          <w:tcPr>
            <w:tcW w:w="3213" w:type="dxa"/>
          </w:tcPr>
          <w:p>
            <w:pPr>
              <w:pStyle w:val="Celda"/>
            </w:pPr>
            <w:r>
              <w:t xml:space="preserve">Time of the bodies</w:t>
            </w:r>
          </w:p>
        </w:tc>
        <w:tc>
          <w:tcPr>
            <w:tcW w:w="3213" w:type="dxa"/>
          </w:tcPr>
          <w:p>
            <w:pPr>
              <w:pStyle w:val="Celda"/>
            </w:pPr>
          </w:p>
        </w:tc>
        <w:tc>
          <w:tcPr>
            <w:tcW w:w="3213" w:type="dxa"/>
          </w:tcPr>
          <w:p>
            <w:pPr>
              <w:pStyle w:val="Celda"/>
            </w:pPr>
            <w:r>
              <w:t xml:space="preserve">Reserved sessions of the management committee and the board.</w:t>
            </w:r>
          </w:p>
        </w:tc>
      </w:tr>
    </w:tbl>
    <w:p>
      <w:pPr>
        <w:pStyle w:val="Espacio"/>
      </w:pPr>
    </w:p>
    <w:p>
      <w:pPr>
        <w:pStyle w:val="Separador"/>
      </w:pPr>
    </w:p>
    <w:p>
      <w:pPr>
        <w:pStyle w:val="Heading1"/>
      </w:pPr>
      <w:r>
        <w:t xml:space="preserve">6. 90-day calendar</w:t>
      </w:r>
    </w:p>
    <w:p>
      <w:r>
        <w:t xml:space="preserve">The week-by-week detail is in 90 §4. The company's dates are set here.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Week</w:t>
            </w:r>
          </w:p>
        </w:tc>
        <w:tc>
          <w:tcPr>
            <w:tcW w:w="1928" w:type="dxa"/>
            <w:shd w:val="clear" w:color="auto" w:fill="F2DFCE"/>
          </w:tcPr>
          <w:p>
            <w:pPr>
              <w:pStyle w:val="Celda"/>
            </w:pPr>
            <w:r>
              <w:rPr>
                <w:b/>
              </w:rPr>
              <w:t xml:space="preserve">Main deliverable</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Planned date</w:t>
            </w:r>
          </w:p>
        </w:tc>
        <w:tc>
          <w:tcPr>
            <w:tcW w:w="1928" w:type="dxa"/>
            <w:shd w:val="clear" w:color="auto" w:fill="F2DFCE"/>
          </w:tcPr>
          <w:p>
            <w:pPr>
              <w:pStyle w:val="Celda"/>
            </w:pPr>
            <w:r>
              <w:rPr>
                <w:b/>
              </w:rPr>
              <w:t xml:space="preserve">Completion criterion</w:t>
            </w:r>
          </w:p>
        </w:tc>
      </w:tr>
      <w:tr>
        <w:tc>
          <w:tcPr>
            <w:tcW w:w="1928" w:type="dxa"/>
          </w:tcPr>
          <w:p>
            <w:pPr>
              <w:pStyle w:val="Celda"/>
            </w:pPr>
            <w:r>
              <w:t xml:space="preserve">1</w:t>
            </w:r>
          </w:p>
        </w:tc>
        <w:tc>
          <w:tcPr>
            <w:tcW w:w="1928" w:type="dxa"/>
          </w:tcPr>
          <w:p>
            <w:pPr>
              <w:pStyle w:val="Celda"/>
            </w:pPr>
            <w:r>
              <w:t xml:space="preserve">Mandate signed; core team; calendar of bodies; internal communication; evidence request; cut-off date.</w:t>
            </w:r>
          </w:p>
        </w:tc>
        <w:tc>
          <w:tcPr>
            <w:tcW w:w="1928" w:type="dxa"/>
          </w:tcPr>
          <w:p>
            <w:pPr>
              <w:pStyle w:val="Celda"/>
            </w:pPr>
            <w:r>
              <w:t xml:space="preserve">Sponsor and implementation lead</w:t>
            </w:r>
          </w:p>
        </w:tc>
        <w:tc>
          <w:tcPr>
            <w:tcW w:w="1928" w:type="dxa"/>
          </w:tcPr>
          <w:p>
            <w:pPr>
              <w:pStyle w:val="Celda"/>
            </w:pPr>
          </w:p>
        </w:tc>
        <w:tc>
          <w:tcPr>
            <w:tcW w:w="1928" w:type="dxa"/>
          </w:tcPr>
          <w:p>
            <w:pPr>
              <w:pStyle w:val="Celda"/>
            </w:pPr>
            <w:r>
              <w:t xml:space="preserve">Board session reserved; evidence request sent.</w:t>
            </w:r>
          </w:p>
        </w:tc>
      </w:tr>
      <w:tr>
        <w:tc>
          <w:tcPr>
            <w:tcW w:w="1928" w:type="dxa"/>
          </w:tcPr>
          <w:p>
            <w:pPr>
              <w:pStyle w:val="Celda"/>
            </w:pPr>
            <w:r>
              <w:t xml:space="preserve">2</w:t>
            </w:r>
          </w:p>
        </w:tc>
        <w:tc>
          <w:tcPr>
            <w:tcW w:w="1928" w:type="dxa"/>
          </w:tcPr>
          <w:p>
            <w:pPr>
              <w:pStyle w:val="Celda"/>
            </w:pPr>
            <w:r>
              <w:t xml:space="preserve">Inventory with actual status and completeness statements (annex, section 10).</w:t>
            </w:r>
          </w:p>
        </w:tc>
        <w:tc>
          <w:tcPr>
            <w:tcW w:w="1928" w:type="dxa"/>
          </w:tcPr>
          <w:p>
            <w:pPr>
              <w:pStyle w:val="Celda"/>
            </w:pPr>
            <w:r>
              <w:t xml:space="preserve">AI Office with technology, procurement and security</w:t>
            </w:r>
          </w:p>
        </w:tc>
        <w:tc>
          <w:tcPr>
            <w:tcW w:w="1928" w:type="dxa"/>
          </w:tcPr>
          <w:p>
            <w:pPr>
              <w:pStyle w:val="Celda"/>
            </w:pPr>
          </w:p>
        </w:tc>
        <w:tc>
          <w:tcPr>
            <w:tcW w:w="1928" w:type="dxa"/>
          </w:tcPr>
          <w:p>
            <w:pPr>
              <w:pStyle w:val="Celda"/>
            </w:pPr>
            <w:r>
              <w:t xml:space="preserve">All areas have signed; possible prohibited practices escalated.</w:t>
            </w:r>
          </w:p>
        </w:tc>
      </w:tr>
      <w:tr>
        <w:tc>
          <w:tcPr>
            <w:tcW w:w="1928" w:type="dxa"/>
          </w:tcPr>
          <w:p>
            <w:pPr>
              <w:pStyle w:val="Celda"/>
            </w:pPr>
            <w:r>
              <w:t xml:space="preserve">4</w:t>
            </w:r>
          </w:p>
        </w:tc>
        <w:tc>
          <w:tcPr>
            <w:tcW w:w="1928" w:type="dxa"/>
          </w:tcPr>
          <w:p>
            <w:pPr>
              <w:pStyle w:val="Celda"/>
            </w:pPr>
            <w:r>
              <w:rPr>
                <w:b/>
              </w:rPr>
              <w:t xml:space="preserve">Milestone 1:</w:t>
            </w:r>
            <w:r>
              <w:t xml:space="preserve"> C1 diagnosis report (P33) verified and accepted.</w:t>
            </w:r>
          </w:p>
        </w:tc>
        <w:tc>
          <w:tcPr>
            <w:tcW w:w="1928" w:type="dxa"/>
          </w:tcPr>
          <w:p>
            <w:pPr>
              <w:pStyle w:val="Celda"/>
            </w:pPr>
            <w:r>
              <w:t xml:space="preserve">Lead assessor; independent verifier</w:t>
            </w:r>
          </w:p>
        </w:tc>
        <w:tc>
          <w:tcPr>
            <w:tcW w:w="1928" w:type="dxa"/>
          </w:tcPr>
          <w:p>
            <w:pPr>
              <w:pStyle w:val="Celda"/>
            </w:pPr>
          </w:p>
        </w:tc>
        <w:tc>
          <w:tcPr>
            <w:tcW w:w="1928" w:type="dxa"/>
          </w:tcPr>
          <w:p>
            <w:pPr>
              <w:pStyle w:val="Celda"/>
            </w:pPr>
            <w:r>
              <w:t xml:space="preserve">Report accepted by the sponsor and the committee.</w:t>
            </w:r>
          </w:p>
        </w:tc>
      </w:tr>
      <w:tr>
        <w:tc>
          <w:tcPr>
            <w:tcW w:w="1928" w:type="dxa"/>
          </w:tcPr>
          <w:p>
            <w:pPr>
              <w:pStyle w:val="Celda"/>
            </w:pPr>
            <w:r>
              <w:t xml:space="preserve">8</w:t>
            </w:r>
          </w:p>
        </w:tc>
        <w:tc>
          <w:tcPr>
            <w:tcW w:w="1928" w:type="dxa"/>
          </w:tcPr>
          <w:p>
            <w:pPr>
              <w:pStyle w:val="Celda"/>
            </w:pPr>
            <w:r>
              <w:rPr>
                <w:b/>
              </w:rPr>
              <w:t xml:space="preserve">Milestone 2:</w:t>
            </w:r>
            <w:r>
              <w:t xml:space="preserve"> risk and opportunity map by sphere approved; C2 proposal (P35) ready.</w:t>
            </w:r>
          </w:p>
        </w:tc>
        <w:tc>
          <w:tcPr>
            <w:tcW w:w="1928" w:type="dxa"/>
          </w:tcPr>
          <w:p>
            <w:pPr>
              <w:pStyle w:val="Celda"/>
            </w:pPr>
            <w:r>
              <w:t xml:space="preserve">Sponsor</w:t>
            </w:r>
          </w:p>
        </w:tc>
        <w:tc>
          <w:tcPr>
            <w:tcW w:w="1928" w:type="dxa"/>
          </w:tcPr>
          <w:p>
            <w:pPr>
              <w:pStyle w:val="Celda"/>
            </w:pPr>
          </w:p>
        </w:tc>
        <w:tc>
          <w:tcPr>
            <w:tcW w:w="1928" w:type="dxa"/>
          </w:tcPr>
          <w:p>
            <w:pPr>
              <w:pStyle w:val="Celda"/>
            </w:pPr>
            <w:r>
              <w:t xml:space="preserve">Draft with the twelve components in 13 §2.</w:t>
            </w:r>
          </w:p>
        </w:tc>
      </w:tr>
      <w:tr>
        <w:tc>
          <w:tcPr>
            <w:tcW w:w="1928" w:type="dxa"/>
          </w:tcPr>
          <w:p>
            <w:pPr>
              <w:pStyle w:val="Celda"/>
            </w:pPr>
            <w:r>
              <w:t xml:space="preserve">12</w:t>
            </w:r>
          </w:p>
        </w:tc>
        <w:tc>
          <w:tcPr>
            <w:tcW w:w="1928" w:type="dxa"/>
          </w:tcPr>
          <w:p>
            <w:pPr>
              <w:pStyle w:val="Celda"/>
            </w:pPr>
            <w:r>
              <w:t xml:space="preserve">Approval of C2 by the board and of C3 (P36) by the AI Committee.</w:t>
            </w:r>
          </w:p>
        </w:tc>
        <w:tc>
          <w:tcPr>
            <w:tcW w:w="1928" w:type="dxa"/>
          </w:tcPr>
          <w:p>
            <w:pPr>
              <w:pStyle w:val="Celda"/>
            </w:pPr>
            <w:r>
              <w:t xml:space="preserve">Sponsor; AI Committee; board</w:t>
            </w:r>
          </w:p>
        </w:tc>
        <w:tc>
          <w:tcPr>
            <w:tcW w:w="1928" w:type="dxa"/>
          </w:tcPr>
          <w:p>
            <w:pPr>
              <w:pStyle w:val="Celda"/>
            </w:pPr>
          </w:p>
        </w:tc>
        <w:tc>
          <w:tcPr>
            <w:tcW w:w="1928" w:type="dxa"/>
          </w:tcPr>
          <w:p>
            <w:pPr>
              <w:pStyle w:val="Celda"/>
            </w:pPr>
            <w:r>
              <w:t xml:space="preserve">Minutes with the approvals.</w:t>
            </w:r>
          </w:p>
        </w:tc>
      </w:tr>
      <w:tr>
        <w:tc>
          <w:tcPr>
            <w:tcW w:w="1928" w:type="dxa"/>
          </w:tcPr>
          <w:p>
            <w:pPr>
              <w:pStyle w:val="Celda"/>
            </w:pPr>
            <w:r>
              <w:t xml:space="preserve">13</w:t>
            </w:r>
          </w:p>
        </w:tc>
        <w:tc>
          <w:tcPr>
            <w:tcW w:w="1928" w:type="dxa"/>
          </w:tcPr>
          <w:p>
            <w:pPr>
              <w:pStyle w:val="Celda"/>
            </w:pPr>
            <w:r>
              <w:rPr>
                <w:b/>
              </w:rPr>
              <w:t xml:space="preserve">Milestone 3:</w:t>
            </w:r>
            <w:r>
              <w:t xml:space="preserve"> criteria in 90 §4.5 met; 6–18-month roadmap approved.</w:t>
            </w:r>
          </w:p>
        </w:tc>
        <w:tc>
          <w:tcPr>
            <w:tcW w:w="1928" w:type="dxa"/>
          </w:tcPr>
          <w:p>
            <w:pPr>
              <w:pStyle w:val="Celda"/>
            </w:pPr>
            <w:r>
              <w:t xml:space="preserve">Implementation lead</w:t>
            </w:r>
          </w:p>
        </w:tc>
        <w:tc>
          <w:tcPr>
            <w:tcW w:w="1928" w:type="dxa"/>
          </w:tcPr>
          <w:p>
            <w:pPr>
              <w:pStyle w:val="Celda"/>
            </w:pPr>
          </w:p>
        </w:tc>
        <w:tc>
          <w:tcPr>
            <w:tcW w:w="1928" w:type="dxa"/>
          </w:tcPr>
          <w:p>
            <w:pPr>
              <w:pStyle w:val="Celda"/>
            </w:pPr>
            <w:r>
              <w:t xml:space="preserve">Section 9 of this template complete.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Reserved date of the board session</w:t>
            </w:r>
          </w:p>
        </w:tc>
        <w:tc>
          <w:tcPr>
            <w:tcW w:w="3213" w:type="dxa"/>
          </w:tcPr>
          <w:p>
            <w:pPr>
              <w:pStyle w:val="Celda"/>
            </w:pPr>
          </w:p>
        </w:tc>
        <w:tc>
          <w:tcPr>
            <w:tcW w:w="3213" w:type="dxa"/>
          </w:tcPr>
          <w:p>
            <w:pPr>
              <w:pStyle w:val="Celda"/>
            </w:pPr>
            <w:r>
              <w:t xml:space="preserve">Weeks 12–13.</w:t>
            </w:r>
          </w:p>
        </w:tc>
      </w:tr>
      <w:tr>
        <w:tc>
          <w:tcPr>
            <w:tcW w:w="3213" w:type="dxa"/>
          </w:tcPr>
          <w:p>
            <w:pPr>
              <w:pStyle w:val="Celda"/>
            </w:pPr>
            <w:r>
              <w:t xml:space="preserve">Plan if the board does not approve C2 in week 12</w:t>
            </w:r>
          </w:p>
        </w:tc>
        <w:tc>
          <w:tcPr>
            <w:tcW w:w="3213" w:type="dxa"/>
          </w:tcPr>
          <w:p>
            <w:pPr>
              <w:pStyle w:val="Celda"/>
            </w:pPr>
          </w:p>
        </w:tc>
        <w:tc>
          <w:tcPr>
            <w:tcW w:w="3213" w:type="dxa"/>
          </w:tcPr>
          <w:p>
            <w:pPr>
              <w:pStyle w:val="Celda"/>
            </w:pPr>
            <w:r>
              <w:t xml:space="preserve">Provisional criteria approved by the committee, with no Transform initiatives approved, and approval at the next session (90 §4.4).</w:t>
            </w:r>
          </w:p>
        </w:tc>
      </w:tr>
    </w:tbl>
    <w:p>
      <w:pPr>
        <w:pStyle w:val="Espacio"/>
      </w:pPr>
    </w:p>
    <w:p>
      <w:pPr>
        <w:pStyle w:val="Separador"/>
      </w:pPr>
    </w:p>
    <w:p>
      <w:pPr>
        <w:pStyle w:val="Heading1"/>
      </w:pPr>
      <w:r>
        <w:t xml:space="preserve">7. Bodies to be set up</w:t>
      </w:r>
    </w:p>
    <w:p>
      <w:r>
        <w:t xml:space="preserve">SEVEN-G does not create a parallel governance structure: wherever possible, an existing body takes on the function with an extended mandate (01 §8.3; 30 §10). The model mandates are in 30 §3.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Body or function</w:t>
            </w:r>
          </w:p>
        </w:tc>
        <w:tc>
          <w:tcPr>
            <w:tcW w:w="1928" w:type="dxa"/>
            <w:shd w:val="clear" w:color="auto" w:fill="F2DFCE"/>
          </w:tcPr>
          <w:p>
            <w:pPr>
              <w:pStyle w:val="Celda"/>
            </w:pPr>
            <w:r>
              <w:rPr>
                <w:b/>
              </w:rPr>
              <w:t xml:space="preserve">Existing body that takes it on, or new</w:t>
            </w:r>
          </w:p>
        </w:tc>
        <w:tc>
          <w:tcPr>
            <w:tcW w:w="1928" w:type="dxa"/>
            <w:shd w:val="clear" w:color="auto" w:fill="F2DFCE"/>
          </w:tcPr>
          <w:p>
            <w:pPr>
              <w:pStyle w:val="Celda"/>
            </w:pPr>
            <w:r>
              <w:rPr>
                <w:b/>
              </w:rPr>
              <w:t xml:space="preserve">Chair or owner</w:t>
            </w:r>
          </w:p>
        </w:tc>
        <w:tc>
          <w:tcPr>
            <w:tcW w:w="1928" w:type="dxa"/>
            <w:shd w:val="clear" w:color="auto" w:fill="F2DFCE"/>
          </w:tcPr>
          <w:p>
            <w:pPr>
              <w:pStyle w:val="Celda"/>
            </w:pPr>
            <w:r>
              <w:rPr>
                <w:b/>
              </w:rPr>
              <w:t xml:space="preserve">Planned mandate date</w:t>
            </w:r>
          </w:p>
        </w:tc>
        <w:tc>
          <w:tcPr>
            <w:tcW w:w="1928" w:type="dxa"/>
            <w:shd w:val="clear" w:color="auto" w:fill="F2DFCE"/>
          </w:tcPr>
          <w:p>
            <w:pPr>
              <w:pStyle w:val="Celda"/>
            </w:pPr>
            <w:r>
              <w:rPr>
                <w:b/>
              </w:rPr>
              <w:t xml:space="preserve">Reference</w:t>
            </w:r>
          </w:p>
        </w:tc>
      </w:tr>
      <w:tr>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r>
              <w:t xml:space="preserve">Week 9</w:t>
            </w:r>
          </w:p>
        </w:tc>
        <w:tc>
          <w:tcPr>
            <w:tcW w:w="1928" w:type="dxa"/>
          </w:tcPr>
          <w:p>
            <w:pPr>
              <w:pStyle w:val="Celda"/>
            </w:pPr>
            <w:r>
              <w:t xml:space="preserve">30 §3.3</w:t>
            </w:r>
          </w:p>
        </w:tc>
      </w:tr>
      <w:tr>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r>
              <w:t xml:space="preserve">Week 9</w:t>
            </w:r>
          </w:p>
        </w:tc>
        <w:tc>
          <w:tcPr>
            <w:tcW w:w="1928" w:type="dxa"/>
          </w:tcPr>
          <w:p>
            <w:pPr>
              <w:pStyle w:val="Celda"/>
            </w:pPr>
            <w:r>
              <w:t xml:space="preserve">30 §3.4</w:t>
            </w:r>
          </w:p>
        </w:tc>
      </w:tr>
      <w:tr>
        <w:tc>
          <w:tcPr>
            <w:tcW w:w="1928" w:type="dxa"/>
          </w:tcPr>
          <w:p>
            <w:pPr>
              <w:pStyle w:val="Celda"/>
            </w:pPr>
            <w:r>
              <w:t xml:space="preserve">Board committee overseeing AI</w:t>
            </w:r>
          </w:p>
        </w:tc>
        <w:tc>
          <w:tcPr>
            <w:tcW w:w="1928" w:type="dxa"/>
          </w:tcPr>
          <w:p>
            <w:pPr>
              <w:pStyle w:val="Celda"/>
            </w:pPr>
          </w:p>
        </w:tc>
        <w:tc>
          <w:tcPr>
            <w:tcW w:w="1928" w:type="dxa"/>
          </w:tcPr>
          <w:p>
            <w:pPr>
              <w:pStyle w:val="Celda"/>
            </w:pPr>
          </w:p>
        </w:tc>
        <w:tc>
          <w:tcPr>
            <w:tcW w:w="1928" w:type="dxa"/>
          </w:tcPr>
          <w:p>
            <w:pPr>
              <w:pStyle w:val="Celda"/>
            </w:pPr>
            <w:r>
              <w:t xml:space="preserve">Week 9</w:t>
            </w:r>
          </w:p>
        </w:tc>
        <w:tc>
          <w:tcPr>
            <w:tcW w:w="1928" w:type="dxa"/>
          </w:tcPr>
          <w:p>
            <w:pPr>
              <w:pStyle w:val="Celda"/>
            </w:pPr>
            <w:r>
              <w:t xml:space="preserve">30 §3.2</w:t>
            </w:r>
          </w:p>
        </w:tc>
      </w:tr>
      <w:tr>
        <w:tc>
          <w:tcPr>
            <w:tcW w:w="1928" w:type="dxa"/>
          </w:tcPr>
          <w:p>
            <w:pPr>
              <w:pStyle w:val="Celda"/>
            </w:pPr>
            <w:r>
              <w:t xml:space="preserve">Single second-line coordinator for AI</w:t>
            </w:r>
          </w:p>
        </w:tc>
        <w:tc>
          <w:tcPr>
            <w:tcW w:w="1928" w:type="dxa"/>
          </w:tcPr>
          <w:p>
            <w:pPr>
              <w:pStyle w:val="Celda"/>
            </w:pPr>
          </w:p>
        </w:tc>
        <w:tc>
          <w:tcPr>
            <w:tcW w:w="1928" w:type="dxa"/>
          </w:tcPr>
          <w:p>
            <w:pPr>
              <w:pStyle w:val="Celda"/>
            </w:pPr>
          </w:p>
        </w:tc>
        <w:tc>
          <w:tcPr>
            <w:tcW w:w="1928" w:type="dxa"/>
          </w:tcPr>
          <w:p>
            <w:pPr>
              <w:pStyle w:val="Celda"/>
            </w:pPr>
            <w:r>
              <w:t xml:space="preserve">Week 9</w:t>
            </w:r>
          </w:p>
        </w:tc>
        <w:tc>
          <w:tcPr>
            <w:tcW w:w="1928" w:type="dxa"/>
          </w:tcPr>
          <w:p>
            <w:pPr>
              <w:pStyle w:val="Celda"/>
            </w:pPr>
            <w:r>
              <w:t xml:space="preserve">30 §3.5</w:t>
            </w:r>
          </w:p>
        </w:tc>
      </w:tr>
      <w:tr>
        <w:tc>
          <w:tcPr>
            <w:tcW w:w="1928" w:type="dxa"/>
          </w:tcPr>
          <w:p>
            <w:pPr>
              <w:pStyle w:val="Celda"/>
            </w:pPr>
            <w:r>
              <w:t xml:space="preserve">Designated AI Auditor</w:t>
            </w:r>
          </w:p>
        </w:tc>
        <w:tc>
          <w:tcPr>
            <w:tcW w:w="1928" w:type="dxa"/>
          </w:tcPr>
          <w:p>
            <w:pPr>
              <w:pStyle w:val="Celda"/>
            </w:pPr>
          </w:p>
        </w:tc>
        <w:tc>
          <w:tcPr>
            <w:tcW w:w="1928" w:type="dxa"/>
          </w:tcPr>
          <w:p>
            <w:pPr>
              <w:pStyle w:val="Celda"/>
            </w:pPr>
          </w:p>
        </w:tc>
        <w:tc>
          <w:tcPr>
            <w:tcW w:w="1928" w:type="dxa"/>
          </w:tcPr>
          <w:p>
            <w:pPr>
              <w:pStyle w:val="Celda"/>
            </w:pPr>
            <w:r>
              <w:t xml:space="preserve">Week 9</w:t>
            </w:r>
          </w:p>
        </w:tc>
        <w:tc>
          <w:tcPr>
            <w:tcW w:w="1928" w:type="dxa"/>
          </w:tcPr>
          <w:p>
            <w:pPr>
              <w:pStyle w:val="Celda"/>
            </w:pPr>
            <w:r>
              <w:t xml:space="preserve">01 §8.1; 30 §3.5</w:t>
            </w:r>
          </w:p>
        </w:tc>
      </w:tr>
      <w:tr>
        <w:tc>
          <w:tcPr>
            <w:tcW w:w="1928" w:type="dxa"/>
          </w:tcPr>
          <w:p>
            <w:pPr>
              <w:pStyle w:val="Celda"/>
            </w:pPr>
            <w:r>
              <w:rPr>
                <w:i/>
              </w:rPr>
              <w:t xml:space="preserve">(illustrative example)</w:t>
            </w:r>
            <w:r>
              <w:t xml:space="preserve"> AI Committee</w:t>
            </w:r>
          </w:p>
        </w:tc>
        <w:tc>
          <w:tcPr>
            <w:tcW w:w="1928" w:type="dxa"/>
          </w:tcPr>
          <w:p>
            <w:pPr>
              <w:pStyle w:val="Celda"/>
            </w:pPr>
            <w:r>
              <w:t xml:space="preserve">Management committee, with its own monthly item</w:t>
            </w:r>
          </w:p>
        </w:tc>
        <w:tc>
          <w:tcPr>
            <w:tcW w:w="1928" w:type="dxa"/>
          </w:tcPr>
          <w:p>
            <w:pPr>
              <w:pStyle w:val="Celda"/>
            </w:pPr>
            <w:r>
              <w:t xml:space="preserve">Chief operating officer</w:t>
            </w:r>
          </w:p>
        </w:tc>
        <w:tc>
          <w:tcPr>
            <w:tcW w:w="1928" w:type="dxa"/>
          </w:tcPr>
          <w:p>
            <w:pPr>
              <w:pStyle w:val="Celda"/>
            </w:pPr>
            <w:r>
              <w:t xml:space="preserve">04-12-2026</w:t>
            </w:r>
          </w:p>
        </w:tc>
        <w:tc>
          <w:tcPr>
            <w:tcW w:w="1928" w:type="dxa"/>
          </w:tcPr>
          <w:p>
            <w:pPr>
              <w:pStyle w:val="Celda"/>
            </w:pPr>
            <w:r>
              <w:t xml:space="preserve">30 §10</w:t>
            </w:r>
          </w:p>
        </w:tc>
      </w:tr>
    </w:tbl>
    <w:p>
      <w:pPr>
        <w:pStyle w:val="Espacio"/>
      </w:pPr>
    </w:p>
    <w:p>
      <w:pPr>
        <w:pStyle w:val="Separador"/>
      </w:pPr>
    </w:p>
    <w:p>
      <w:pPr>
        <w:pStyle w:val="Heading1"/>
      </w:pPr>
      <w:r>
        <w:t xml:space="preserve">8. Implementation indicators</w:t>
      </w:r>
    </w:p>
    <w:p>
      <w:r>
        <w:t xml:space="preserve">Definitions in 90 §9. The targets are set by the company; those in 90 §9 are indicative.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Indicator</w:t>
            </w:r>
          </w:p>
        </w:tc>
        <w:tc>
          <w:tcPr>
            <w:tcW w:w="1928" w:type="dxa"/>
            <w:shd w:val="clear" w:color="auto" w:fill="F2DFCE"/>
          </w:tcPr>
          <w:p>
            <w:pPr>
              <w:pStyle w:val="Celda"/>
            </w:pPr>
            <w:r>
              <w:rPr>
                <w:b/>
              </w:rPr>
              <w:t xml:space="preserve">90-day target</w:t>
            </w:r>
          </w:p>
        </w:tc>
        <w:tc>
          <w:tcPr>
            <w:tcW w:w="1928" w:type="dxa"/>
            <w:shd w:val="clear" w:color="auto" w:fill="F2DFCE"/>
          </w:tcPr>
          <w:p>
            <w:pPr>
              <w:pStyle w:val="Celda"/>
            </w:pPr>
            <w:r>
              <w:rPr>
                <w:b/>
              </w:rPr>
              <w:t xml:space="preserve">12-month target</w:t>
            </w:r>
          </w:p>
        </w:tc>
        <w:tc>
          <w:tcPr>
            <w:tcW w:w="1928" w:type="dxa"/>
            <w:shd w:val="clear" w:color="auto" w:fill="F2DFCE"/>
          </w:tcPr>
          <w:p>
            <w:pPr>
              <w:pStyle w:val="Celda"/>
            </w:pPr>
            <w:r>
              <w:rPr>
                <w:b/>
              </w:rPr>
              <w:t xml:space="preserve">Source</w:t>
            </w:r>
          </w:p>
        </w:tc>
        <w:tc>
          <w:tcPr>
            <w:tcW w:w="1928" w:type="dxa"/>
            <w:shd w:val="clear" w:color="auto" w:fill="F2DFCE"/>
          </w:tcPr>
          <w:p>
            <w:pPr>
              <w:pStyle w:val="Celda"/>
            </w:pPr>
            <w:r>
              <w:rPr>
                <w:b/>
              </w:rPr>
              <w:t xml:space="preserve">Owner</w:t>
            </w:r>
          </w:p>
        </w:tc>
      </w:tr>
      <w:tr>
        <w:tc>
          <w:tcPr>
            <w:tcW w:w="1928" w:type="dxa"/>
          </w:tcPr>
          <w:p>
            <w:pPr>
              <w:pStyle w:val="Celda"/>
            </w:pPr>
            <w:r>
              <w:t xml:space="preserve">Inventory coverage (areas with a completeness statement ÷ total)</w:t>
            </w:r>
          </w:p>
        </w:tc>
        <w:tc>
          <w:tcPr>
            <w:tcW w:w="1928" w:type="dxa"/>
          </w:tcPr>
          <w:p>
            <w:pPr>
              <w:pStyle w:val="Celda"/>
            </w:pPr>
          </w:p>
        </w:tc>
        <w:tc>
          <w:tcPr>
            <w:tcW w:w="1928" w:type="dxa"/>
          </w:tcPr>
          <w:p>
            <w:pPr>
              <w:pStyle w:val="Celda"/>
            </w:pPr>
          </w:p>
        </w:tc>
        <w:tc>
          <w:tcPr>
            <w:tcW w:w="1928" w:type="dxa"/>
          </w:tcPr>
          <w:p>
            <w:pPr>
              <w:pStyle w:val="Celda"/>
            </w:pPr>
            <w:r>
              <w:t xml:space="preserve">T02</w:t>
            </w:r>
          </w:p>
        </w:tc>
        <w:tc>
          <w:tcPr>
            <w:tcW w:w="1928" w:type="dxa"/>
          </w:tcPr>
          <w:p>
            <w:pPr>
              <w:pStyle w:val="Celda"/>
            </w:pPr>
          </w:p>
        </w:tc>
      </w:tr>
      <w:tr>
        <w:tc>
          <w:tcPr>
            <w:tcW w:w="1928" w:type="dxa"/>
          </w:tcPr>
          <w:p>
            <w:pPr>
              <w:pStyle w:val="Celda"/>
            </w:pPr>
            <w:r>
              <w:t xml:space="preserve">New initiatives with G0 prior to spending</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Systems with Enterprise criteria classified</w:t>
            </w:r>
          </w:p>
        </w:tc>
        <w:tc>
          <w:tcPr>
            <w:tcW w:w="1928" w:type="dxa"/>
          </w:tcPr>
          <w:p>
            <w:pPr>
              <w:pStyle w:val="Celda"/>
            </w:pPr>
          </w:p>
        </w:tc>
        <w:tc>
          <w:tcPr>
            <w:tcW w:w="1928" w:type="dxa"/>
          </w:tcPr>
          <w:p>
            <w:pPr>
              <w:pStyle w:val="Celda"/>
            </w:pPr>
          </w:p>
        </w:tc>
        <w:tc>
          <w:tcPr>
            <w:tcW w:w="1928" w:type="dxa"/>
          </w:tcPr>
          <w:p>
            <w:pPr>
              <w:pStyle w:val="Celda"/>
            </w:pPr>
            <w:r>
              <w:t xml:space="preserve">T02</w:t>
            </w:r>
          </w:p>
        </w:tc>
        <w:tc>
          <w:tcPr>
            <w:tcW w:w="1928" w:type="dxa"/>
          </w:tcPr>
          <w:p>
            <w:pPr>
              <w:pStyle w:val="Celda"/>
            </w:pPr>
          </w:p>
        </w:tc>
      </w:tr>
      <w:tr>
        <w:tc>
          <w:tcPr>
            <w:tcW w:w="1928" w:type="dxa"/>
          </w:tcPr>
          <w:p>
            <w:pPr>
              <w:pStyle w:val="Celda"/>
            </w:pPr>
            <w:r>
              <w:t xml:space="preserve">Regularisation of initiatives in production</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Roles without incompatibilities</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rPr>
                <w:i/>
              </w:rPr>
              <w:t xml:space="preserve">Gate</w:t>
            </w:r>
            <w:r>
              <w:t xml:space="preserve"> decision time against the reference time limit</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Current R6</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Amounts with formula and status</w:t>
            </w:r>
          </w:p>
        </w:tc>
        <w:tc>
          <w:tcPr>
            <w:tcW w:w="1928" w:type="dxa"/>
          </w:tcPr>
          <w:p>
            <w:pPr>
              <w:pStyle w:val="Celda"/>
            </w:pPr>
          </w:p>
        </w:tc>
        <w:tc>
          <w:tcPr>
            <w:tcW w:w="1928" w:type="dxa"/>
          </w:tcPr>
          <w:p>
            <w:pPr>
              <w:pStyle w:val="Celda"/>
            </w:pPr>
          </w:p>
        </w:tc>
        <w:tc>
          <w:tcPr>
            <w:tcW w:w="1928" w:type="dxa"/>
          </w:tcPr>
          <w:p>
            <w:pPr>
              <w:pStyle w:val="Celda"/>
            </w:pPr>
            <w:r>
              <w:t xml:space="preserve">T12</w:t>
            </w:r>
          </w:p>
        </w:tc>
        <w:tc>
          <w:tcPr>
            <w:tcW w:w="1928" w:type="dxa"/>
          </w:tcPr>
          <w:p>
            <w:pPr>
              <w:pStyle w:val="Celda"/>
            </w:pPr>
          </w:p>
        </w:tc>
      </w:tr>
      <w:tr>
        <w:tc>
          <w:tcPr>
            <w:tcW w:w="1928" w:type="dxa"/>
          </w:tcPr>
          <w:p>
            <w:pPr>
              <w:pStyle w:val="Celda"/>
            </w:pPr>
            <w:r>
              <w:t xml:space="preserve">Proportion of validated value</w:t>
            </w:r>
          </w:p>
        </w:tc>
        <w:tc>
          <w:tcPr>
            <w:tcW w:w="1928" w:type="dxa"/>
          </w:tcPr>
          <w:p>
            <w:pPr>
              <w:pStyle w:val="Celda"/>
            </w:pPr>
          </w:p>
        </w:tc>
        <w:tc>
          <w:tcPr>
            <w:tcW w:w="1928" w:type="dxa"/>
          </w:tcPr>
          <w:p>
            <w:pPr>
              <w:pStyle w:val="Celda"/>
            </w:pPr>
          </w:p>
        </w:tc>
        <w:tc>
          <w:tcPr>
            <w:tcW w:w="1928" w:type="dxa"/>
          </w:tcPr>
          <w:p>
            <w:pPr>
              <w:pStyle w:val="Celda"/>
            </w:pPr>
            <w:r>
              <w:t xml:space="preserve">T12, T17</w:t>
            </w:r>
          </w:p>
        </w:tc>
        <w:tc>
          <w:tcPr>
            <w:tcW w:w="1928" w:type="dxa"/>
          </w:tcPr>
          <w:p>
            <w:pPr>
              <w:pStyle w:val="Celda"/>
            </w:pPr>
          </w:p>
        </w:tc>
      </w:tr>
      <w:tr>
        <w:tc>
          <w:tcPr>
            <w:tcW w:w="1928" w:type="dxa"/>
          </w:tcPr>
          <w:p>
            <w:pPr>
              <w:pStyle w:val="Celda"/>
            </w:pPr>
            <w:r>
              <w:t xml:space="preserve">Overdue nonconformities</w:t>
            </w:r>
          </w:p>
        </w:tc>
        <w:tc>
          <w:tcPr>
            <w:tcW w:w="1928" w:type="dxa"/>
          </w:tcPr>
          <w:p>
            <w:pPr>
              <w:pStyle w:val="Celda"/>
            </w:pPr>
          </w:p>
        </w:tc>
        <w:tc>
          <w:tcPr>
            <w:tcW w:w="1928" w:type="dxa"/>
          </w:tcPr>
          <w:p>
            <w:pPr>
              <w:pStyle w:val="Celda"/>
            </w:pPr>
          </w:p>
        </w:tc>
        <w:tc>
          <w:tcPr>
            <w:tcW w:w="1928" w:type="dxa"/>
          </w:tcPr>
          <w:p>
            <w:pPr>
              <w:pStyle w:val="Celda"/>
            </w:pPr>
            <w:r>
              <w:t xml:space="preserve">T08</w:t>
            </w:r>
          </w:p>
        </w:tc>
        <w:tc>
          <w:tcPr>
            <w:tcW w:w="1928" w:type="dxa"/>
          </w:tcPr>
          <w:p>
            <w:pPr>
              <w:pStyle w:val="Celda"/>
            </w:pPr>
          </w:p>
        </w:tc>
      </w:tr>
      <w:tr>
        <w:tc>
          <w:tcPr>
            <w:tcW w:w="1928" w:type="dxa"/>
          </w:tcPr>
          <w:p>
            <w:pPr>
              <w:pStyle w:val="Celda"/>
            </w:pPr>
            <w:r>
              <w:t xml:space="preserve">AI literacy</w:t>
            </w:r>
          </w:p>
        </w:tc>
        <w:tc>
          <w:tcPr>
            <w:tcW w:w="1928" w:type="dxa"/>
          </w:tcPr>
          <w:p>
            <w:pPr>
              <w:pStyle w:val="Celda"/>
            </w:pPr>
          </w:p>
        </w:tc>
        <w:tc>
          <w:tcPr>
            <w:tcW w:w="1928" w:type="dxa"/>
          </w:tcPr>
          <w:p>
            <w:pPr>
              <w:pStyle w:val="Celda"/>
            </w:pPr>
          </w:p>
        </w:tc>
        <w:tc>
          <w:tcPr>
            <w:tcW w:w="1928" w:type="dxa"/>
          </w:tcPr>
          <w:p>
            <w:pPr>
              <w:pStyle w:val="Celda"/>
            </w:pPr>
            <w:r>
              <w:t xml:space="preserve">Training record</w:t>
            </w:r>
          </w:p>
        </w:tc>
        <w:tc>
          <w:tcPr>
            <w:tcW w:w="1928" w:type="dxa"/>
          </w:tcPr>
          <w:p>
            <w:pPr>
              <w:pStyle w:val="Celda"/>
            </w:pPr>
          </w:p>
        </w:tc>
      </w:tr>
      <w:tr>
        <w:tc>
          <w:tcPr>
            <w:tcW w:w="1928" w:type="dxa"/>
          </w:tcPr>
          <w:p>
            <w:pPr>
              <w:pStyle w:val="Celda"/>
            </w:pPr>
            <w:r>
              <w:t xml:space="preserve">Core rules (01 §14.1) substantiated (out of 14)</w:t>
            </w:r>
          </w:p>
        </w:tc>
        <w:tc>
          <w:tcPr>
            <w:tcW w:w="1928" w:type="dxa"/>
          </w:tcPr>
          <w:p>
            <w:pPr>
              <w:pStyle w:val="Celda"/>
            </w:pPr>
          </w:p>
        </w:tc>
        <w:tc>
          <w:tcPr>
            <w:tcW w:w="1928" w:type="dxa"/>
          </w:tcPr>
          <w:p>
            <w:pPr>
              <w:pStyle w:val="Celda"/>
            </w:pPr>
          </w:p>
        </w:tc>
        <w:tc>
          <w:tcPr>
            <w:tcW w:w="1928" w:type="dxa"/>
          </w:tcPr>
          <w:p>
            <w:pPr>
              <w:pStyle w:val="Celda"/>
            </w:pPr>
            <w:r>
              <w:t xml:space="preserve">T15</w:t>
            </w:r>
          </w:p>
        </w:tc>
        <w:tc>
          <w:tcPr>
            <w:tcW w:w="1928" w:type="dxa"/>
          </w:tcPr>
          <w:p>
            <w:pPr>
              <w:pStyle w:val="Celda"/>
            </w:pPr>
          </w:p>
        </w:tc>
      </w:tr>
    </w:tbl>
    <w:p>
      <w:pPr>
        <w:pStyle w:val="Espacio"/>
      </w:pPr>
    </w:p>
    <w:p>
      <w:pPr>
        <w:pStyle w:val="Separador"/>
      </w:pPr>
    </w:p>
    <w:p>
      <w:pPr>
        <w:pStyle w:val="Heading1"/>
      </w:pPr>
      <w:r>
        <w:t xml:space="preserve">9. Completion criteria for the 90 days</w:t>
      </w:r>
    </w:p>
    <w:p>
      <w:r>
        <w:t xml:space="preserve">Completed in week 13 (90 §4.5).</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Criterion</w:t>
            </w:r>
          </w:p>
        </w:tc>
        <w:tc>
          <w:tcPr>
            <w:tcW w:w="2410" w:type="dxa"/>
            <w:shd w:val="clear" w:color="auto" w:fill="F2DFCE"/>
          </w:tcPr>
          <w:p>
            <w:pPr>
              <w:pStyle w:val="Celda"/>
            </w:pPr>
            <w:r>
              <w:rPr>
                <w:b/>
              </w:rPr>
              <w:t xml:space="preserve">Evidence</w:t>
            </w:r>
          </w:p>
        </w:tc>
        <w:tc>
          <w:tcPr>
            <w:tcW w:w="2410" w:type="dxa"/>
            <w:shd w:val="clear" w:color="auto" w:fill="F2DFCE"/>
          </w:tcPr>
          <w:p>
            <w:pPr>
              <w:pStyle w:val="Celda"/>
            </w:pPr>
            <w:r>
              <w:rPr>
                <w:b/>
              </w:rPr>
              <w:t xml:space="preserve">Status</w:t>
            </w:r>
          </w:p>
        </w:tc>
      </w:tr>
      <w:tr>
        <w:tc>
          <w:tcPr>
            <w:tcW w:w="2410" w:type="dxa"/>
          </w:tcPr>
          <w:p>
            <w:pPr>
              <w:pStyle w:val="Celda"/>
            </w:pPr>
            <w:r>
              <w:t xml:space="preserve">1</w:t>
            </w:r>
          </w:p>
        </w:tc>
        <w:tc>
          <w:tcPr>
            <w:tcW w:w="2410" w:type="dxa"/>
          </w:tcPr>
          <w:p>
            <w:pPr>
              <w:pStyle w:val="Celda"/>
            </w:pPr>
            <w:r>
              <w:t xml:space="preserve">Inventory with a completeness statement from all areas in the perimeter.</w:t>
            </w:r>
          </w:p>
        </w:tc>
        <w:tc>
          <w:tcPr>
            <w:tcW w:w="2410" w:type="dxa"/>
          </w:tcPr>
          <w:p>
            <w:pPr>
              <w:pStyle w:val="Celda"/>
            </w:pPr>
            <w:r>
              <w:t xml:space="preserve">T02; signed annex.</w:t>
            </w:r>
          </w:p>
        </w:tc>
        <w:tc>
          <w:tcPr>
            <w:tcW w:w="2410" w:type="dxa"/>
          </w:tcPr>
          <w:p>
            <w:pPr>
              <w:pStyle w:val="Celda"/>
            </w:pPr>
            <w:r>
              <w:t xml:space="preserve">Met · Not met · Not applicable · Pending</w:t>
            </w:r>
          </w:p>
        </w:tc>
      </w:tr>
      <w:tr>
        <w:tc>
          <w:tcPr>
            <w:tcW w:w="2410" w:type="dxa"/>
          </w:tcPr>
          <w:p>
            <w:pPr>
              <w:pStyle w:val="Celda"/>
            </w:pPr>
            <w:r>
              <w:t xml:space="preserve">2</w:t>
            </w:r>
          </w:p>
        </w:tc>
        <w:tc>
          <w:tcPr>
            <w:tcW w:w="2410" w:type="dxa"/>
          </w:tcPr>
          <w:p>
            <w:pPr>
              <w:pStyle w:val="Celda"/>
            </w:pPr>
            <w:r>
              <w:t xml:space="preserve">Maturity assessment verified and transformation index calculated.</w:t>
            </w:r>
          </w:p>
        </w:tc>
        <w:tc>
          <w:tcPr>
            <w:tcW w:w="2410" w:type="dxa"/>
          </w:tcPr>
          <w:p>
            <w:pPr>
              <w:pStyle w:val="Celda"/>
            </w:pPr>
            <w:r>
              <w:t xml:space="preserve">P33; T15; T14.</w:t>
            </w: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Risks and opportunities by sphere with owner, economic impact and timeframe.</w:t>
            </w:r>
          </w:p>
        </w:tc>
        <w:tc>
          <w:tcPr>
            <w:tcW w:w="2410" w:type="dxa"/>
          </w:tcPr>
          <w:p>
            <w:pPr>
              <w:pStyle w:val="Celda"/>
            </w:pPr>
            <w:r>
              <w:t xml:space="preserve">P33, section 10.</w:t>
            </w: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Thesis, ambition, risk appetite and thresholds approved, or date set with provisional criteria.</w:t>
            </w:r>
          </w:p>
        </w:tc>
        <w:tc>
          <w:tcPr>
            <w:tcW w:w="2410" w:type="dxa"/>
          </w:tcPr>
          <w:p>
            <w:pPr>
              <w:pStyle w:val="Celda"/>
            </w:pPr>
            <w:r>
              <w:t xml:space="preserve">P35; minutes.</w:t>
            </w: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Bodies with a mandate, roles without incompatibilities and AI Auditor designated.</w:t>
            </w:r>
          </w:p>
        </w:tc>
        <w:tc>
          <w:tcPr>
            <w:tcW w:w="2410" w:type="dxa"/>
          </w:tcPr>
          <w:p>
            <w:pPr>
              <w:pStyle w:val="Celda"/>
            </w:pPr>
            <w:r>
              <w:t xml:space="preserve">Mandates; P03.</w:t>
            </w:r>
          </w:p>
        </w:tc>
        <w:tc>
          <w:tcPr>
            <w:tcW w:w="2410" w:type="dxa"/>
          </w:tcPr>
          <w:p>
            <w:pPr>
              <w:pStyle w:val="Celda"/>
            </w:pPr>
          </w:p>
        </w:tc>
      </w:tr>
      <w:tr>
        <w:tc>
          <w:tcPr>
            <w:tcW w:w="2410" w:type="dxa"/>
          </w:tcPr>
          <w:p>
            <w:pPr>
              <w:pStyle w:val="Celda"/>
            </w:pPr>
            <w:r>
              <w:t xml:space="preserve">6</w:t>
            </w:r>
          </w:p>
        </w:tc>
        <w:tc>
          <w:tcPr>
            <w:tcW w:w="2410" w:type="dxa"/>
          </w:tcPr>
          <w:p>
            <w:pPr>
              <w:pStyle w:val="Celda"/>
            </w:pPr>
            <w:r>
              <w:rPr>
                <w:i/>
              </w:rPr>
              <w:t xml:space="preserve">Gates</w:t>
            </w:r>
            <w:r>
              <w:t xml:space="preserve">, reference time limits and nonconformity process operational.</w:t>
            </w:r>
          </w:p>
        </w:tc>
        <w:tc>
          <w:tcPr>
            <w:tcW w:w="2410" w:type="dxa"/>
          </w:tcPr>
          <w:p>
            <w:pPr>
              <w:pStyle w:val="Celda"/>
            </w:pPr>
            <w:r>
              <w:t xml:space="preserve">T03; T08.</w:t>
            </w: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Board dashboard and register of recommendations with real data.</w:t>
            </w:r>
          </w:p>
        </w:tc>
        <w:tc>
          <w:tcPr>
            <w:tcW w:w="2410" w:type="dxa"/>
          </w:tcPr>
          <w:p>
            <w:pPr>
              <w:pStyle w:val="Celda"/>
            </w:pPr>
            <w:r>
              <w:t xml:space="preserve">T17; T18.</w:t>
            </w: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First prioritised portfolio and regularisation plan with time limits.</w:t>
            </w:r>
          </w:p>
        </w:tc>
        <w:tc>
          <w:tcPr>
            <w:tcW w:w="2410" w:type="dxa"/>
          </w:tcPr>
          <w:p>
            <w:pPr>
              <w:pStyle w:val="Celda"/>
            </w:pPr>
            <w:r>
              <w:t xml:space="preserve">P36; committee minutes.</w:t>
            </w:r>
          </w:p>
        </w:tc>
        <w:tc>
          <w:tcPr>
            <w:tcW w:w="2410" w:type="dxa"/>
          </w:tcPr>
          <w:p>
            <w:pPr>
              <w:pStyle w:val="Celda"/>
            </w:pPr>
          </w:p>
        </w:tc>
      </w:tr>
      <w:tr>
        <w:tc>
          <w:tcPr>
            <w:tcW w:w="2410" w:type="dxa"/>
          </w:tcPr>
          <w:p>
            <w:pPr>
              <w:pStyle w:val="Celda"/>
            </w:pPr>
            <w:r>
              <w:t xml:space="preserve">9</w:t>
            </w:r>
          </w:p>
        </w:tc>
        <w:tc>
          <w:tcPr>
            <w:tcW w:w="2410" w:type="dxa"/>
          </w:tcPr>
          <w:p>
            <w:pPr>
              <w:pStyle w:val="Celda"/>
            </w:pPr>
            <w:r>
              <w:t xml:space="preserve">Every new initiative goes through G0 before consuming budget from week 13.</w:t>
            </w:r>
          </w:p>
        </w:tc>
        <w:tc>
          <w:tcPr>
            <w:tcW w:w="2410" w:type="dxa"/>
          </w:tcPr>
          <w:p>
            <w:pPr>
              <w:pStyle w:val="Celda"/>
            </w:pPr>
            <w:r>
              <w:t xml:space="preserve">T01.</w:t>
            </w:r>
          </w:p>
        </w:tc>
        <w:tc>
          <w:tcPr>
            <w:tcW w:w="2410" w:type="dxa"/>
          </w:tcPr>
          <w:p>
            <w:pPr>
              <w:pStyle w:val="Celda"/>
            </w:pPr>
          </w:p>
        </w:tc>
      </w:tr>
    </w:tbl>
    <w:p>
      <w:pPr>
        <w:pStyle w:val="Espacio"/>
      </w:pPr>
    </w:p>
    <w:p>
      <w:pPr>
        <w:pStyle w:val="Separador"/>
      </w:pPr>
    </w:p>
    <w:p>
      <w:pPr>
        <w:pStyle w:val="Heading1"/>
      </w:pPr>
      <w:r>
        <w:t xml:space="preserve">10. Annex · Inventory completeness statement by area</w:t>
      </w:r>
    </w:p>
    <w:p>
      <w:r>
        <w:rPr>
          <w:b/>
        </w:rPr>
        <w:t xml:space="preserve">Instructions.</w:t>
      </w:r>
      <w:r>
        <w:t xml:space="preserve"> Each area head within the perimeter signs a statement in week 2 (90 §4.2). They state that they have reported to the AI Office </w:t>
      </w:r>
      <w:r>
        <w:rPr>
          <w:b/>
        </w:rPr>
        <w:t xml:space="preserve">all</w:t>
      </w:r>
      <w:r>
        <w:t xml:space="preserve"> the AI systems that their area uses, develops, contracts or has detected: in-house, third-party AI embedded in processes, corporate use of general-purpose AI and unauthorised use (01 §1.3). The statement is evidence for question D6.05 in document 11 and for criterion 1 in 90 §4.5. It is renewed at least once a year or when the head of the area changes.</w:t>
      </w:r>
    </w:p>
    <w:p>
      <w:r>
        <w:rPr>
          <w:b/>
        </w:rPr>
        <w:t xml:space="preserve">Text of the statement</w:t>
      </w:r>
    </w:p>
    <w:p>
      <w:pPr>
        <w:pStyle w:val="Cita"/>
      </w:pPr>
      <w:r>
        <w:t xml:space="preserve">The management of the </w:t>
      </w:r>
      <w:r>
        <w:rPr>
          <w:i/>
        </w:rPr>
        <w:t xml:space="preserve">[name of the area]</w:t>
      </w:r>
      <w:r>
        <w:t xml:space="preserve"> area states that, as at </w:t>
      </w:r>
      <w:r>
        <w:rPr>
          <w:i/>
        </w:rPr>
        <w:t xml:space="preserve">[DD-MM-YYYY]</w:t>
      </w:r>
      <w:r>
        <w:t xml:space="preserve">, it has reported to the AI Office all the AI systems it is aware of in its area, including third-party systems, corporate use of general-purpose AI tools and any unauthorised use detected, and that for this purpose it has reviewed the sources indicated in this statement. It undertakes to report any new system before it is used and any unauthorised use as soon as it becomes aware of it.</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Area</w:t>
            </w:r>
          </w:p>
        </w:tc>
        <w:tc>
          <w:tcPr>
            <w:tcW w:w="1071" w:type="dxa"/>
            <w:shd w:val="clear" w:color="auto" w:fill="F2DFCE"/>
          </w:tcPr>
          <w:p>
            <w:pPr>
              <w:pStyle w:val="Celda"/>
            </w:pPr>
            <w:r>
              <w:rPr>
                <w:b/>
              </w:rPr>
              <w:t xml:space="preserve">Signatory (name and position)</w:t>
            </w:r>
          </w:p>
        </w:tc>
        <w:tc>
          <w:tcPr>
            <w:tcW w:w="1071" w:type="dxa"/>
            <w:shd w:val="clear" w:color="auto" w:fill="F2DFCE"/>
          </w:tcPr>
          <w:p>
            <w:pPr>
              <w:pStyle w:val="Celda"/>
            </w:pPr>
            <w:r>
              <w:rPr>
                <w:b/>
              </w:rPr>
              <w:t xml:space="preserve">In-house systems</w:t>
            </w:r>
          </w:p>
        </w:tc>
        <w:tc>
          <w:tcPr>
            <w:tcW w:w="1071" w:type="dxa"/>
            <w:shd w:val="clear" w:color="auto" w:fill="F2DFCE"/>
          </w:tcPr>
          <w:p>
            <w:pPr>
              <w:pStyle w:val="Celda"/>
            </w:pPr>
            <w:r>
              <w:rPr>
                <w:b/>
              </w:rPr>
              <w:t xml:space="preserve">Embedded third-party AI</w:t>
            </w:r>
          </w:p>
        </w:tc>
        <w:tc>
          <w:tcPr>
            <w:tcW w:w="1071" w:type="dxa"/>
            <w:shd w:val="clear" w:color="auto" w:fill="F2DFCE"/>
          </w:tcPr>
          <w:p>
            <w:pPr>
              <w:pStyle w:val="Celda"/>
            </w:pPr>
            <w:r>
              <w:rPr>
                <w:b/>
              </w:rPr>
              <w:t xml:space="preserve">Corporate use</w:t>
            </w:r>
          </w:p>
        </w:tc>
        <w:tc>
          <w:tcPr>
            <w:tcW w:w="1071" w:type="dxa"/>
            <w:shd w:val="clear" w:color="auto" w:fill="F2DFCE"/>
          </w:tcPr>
          <w:p>
            <w:pPr>
              <w:pStyle w:val="Celda"/>
            </w:pPr>
            <w:r>
              <w:rPr>
                <w:b/>
              </w:rPr>
              <w:t xml:space="preserve">Unauthorised use detected</w:t>
            </w:r>
          </w:p>
        </w:tc>
        <w:tc>
          <w:tcPr>
            <w:tcW w:w="1071" w:type="dxa"/>
            <w:shd w:val="clear" w:color="auto" w:fill="F2DFCE"/>
          </w:tcPr>
          <w:p>
            <w:pPr>
              <w:pStyle w:val="Celda"/>
            </w:pPr>
            <w:r>
              <w:rPr>
                <w:b/>
              </w:rPr>
              <w:t xml:space="preserve">Sources reviewed</w:t>
            </w:r>
          </w:p>
        </w:tc>
        <w:tc>
          <w:tcPr>
            <w:tcW w:w="1071" w:type="dxa"/>
            <w:shd w:val="clear" w:color="auto" w:fill="F2DFCE"/>
          </w:tcPr>
          <w:p>
            <w:pPr>
              <w:pStyle w:val="Celda"/>
            </w:pPr>
            <w:r>
              <w:rPr>
                <w:b/>
              </w:rPr>
              <w:t xml:space="preserve">Possible prohibited practices escalated (Yes · No)</w:t>
            </w:r>
          </w:p>
        </w:tc>
        <w:tc>
          <w:tcPr>
            <w:tcW w:w="1071" w:type="dxa"/>
            <w:shd w:val="clear" w:color="auto" w:fill="F2DFCE"/>
          </w:tcPr>
          <w:p>
            <w:pPr>
              <w:pStyle w:val="Celda"/>
            </w:pPr>
            <w:r>
              <w:rPr>
                <w:b/>
              </w:rPr>
              <w:t xml:space="preserve">Signature date</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Procurement · Licences · Contracts · Security controls · Interviews</w:t>
            </w:r>
          </w:p>
        </w:tc>
        <w:tc>
          <w:tcPr>
            <w:tcW w:w="1071" w:type="dxa"/>
          </w:tcPr>
          <w:p>
            <w:pPr>
              <w:pStyle w:val="Celda"/>
            </w:pPr>
          </w:p>
        </w:tc>
        <w:tc>
          <w:tcPr>
            <w:tcW w:w="1071" w:type="dxa"/>
          </w:tcPr>
          <w:p>
            <w:pPr>
              <w:pStyle w:val="Celda"/>
            </w:pP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(illustrative example)</w:t>
            </w:r>
            <w:r>
              <w:t xml:space="preserve"> Customer service</w:t>
            </w:r>
          </w:p>
        </w:tc>
        <w:tc>
          <w:tcPr>
            <w:tcW w:w="1071" w:type="dxa"/>
          </w:tcPr>
          <w:p>
            <w:pPr>
              <w:pStyle w:val="Celda"/>
            </w:pPr>
            <w:r>
              <w:t xml:space="preserve">Head of customer service</w:t>
            </w:r>
          </w:p>
        </w:tc>
        <w:tc>
          <w:tcPr>
            <w:tcW w:w="1071" w:type="dxa"/>
          </w:tcPr>
          <w:p>
            <w:pPr>
              <w:pStyle w:val="Celda"/>
            </w:pPr>
            <w:r>
              <w:t xml:space="preserve">1</w:t>
            </w:r>
          </w:p>
        </w:tc>
        <w:tc>
          <w:tcPr>
            <w:tcW w:w="1071" w:type="dxa"/>
          </w:tcPr>
          <w:p>
            <w:pPr>
              <w:pStyle w:val="Celda"/>
            </w:pPr>
            <w:r>
              <w:t xml:space="preserve">2</w:t>
            </w:r>
          </w:p>
        </w:tc>
        <w:tc>
          <w:tcPr>
            <w:tcW w:w="1071" w:type="dxa"/>
          </w:tcPr>
          <w:p>
            <w:pPr>
              <w:pStyle w:val="Celda"/>
            </w:pPr>
            <w:r>
              <w:t xml:space="preserve">1</w:t>
            </w:r>
          </w:p>
        </w:tc>
        <w:tc>
          <w:tcPr>
            <w:tcW w:w="1071" w:type="dxa"/>
          </w:tcPr>
          <w:p>
            <w:pPr>
              <w:pStyle w:val="Celda"/>
            </w:pPr>
            <w:r>
              <w:t xml:space="preserve">1 (writing assistant without a contract)</w:t>
            </w:r>
          </w:p>
        </w:tc>
        <w:tc>
          <w:tcPr>
            <w:tcW w:w="1071" w:type="dxa"/>
          </w:tcPr>
          <w:p>
            <w:pPr>
              <w:pStyle w:val="Celda"/>
            </w:pPr>
            <w:r>
              <w:t xml:space="preserve">Licences and contracts; access log</w:t>
            </w:r>
          </w:p>
        </w:tc>
        <w:tc>
          <w:tcPr>
            <w:tcW w:w="1071" w:type="dxa"/>
          </w:tcPr>
          <w:p>
            <w:pPr>
              <w:pStyle w:val="Celda"/>
            </w:pPr>
            <w:r>
              <w:t xml:space="preserve">No</w:t>
            </w:r>
          </w:p>
        </w:tc>
        <w:tc>
          <w:tcPr>
            <w:tcW w:w="1071" w:type="dxa"/>
          </w:tcPr>
          <w:p>
            <w:pPr>
              <w:pStyle w:val="Celda"/>
            </w:pPr>
            <w:r>
              <w:t xml:space="preserve">14-10-2026</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Summary</w:t>
            </w:r>
          </w:p>
        </w:tc>
        <w:tc>
          <w:tcPr>
            <w:tcW w:w="4819" w:type="dxa"/>
            <w:shd w:val="clear" w:color="auto" w:fill="F2DFCE"/>
          </w:tcPr>
          <w:p>
            <w:pPr>
              <w:pStyle w:val="Celda"/>
            </w:pPr>
            <w:r>
              <w:rPr>
                <w:b/>
              </w:rPr>
              <w:t xml:space="preserve">Value</w:t>
            </w:r>
          </w:p>
        </w:tc>
      </w:tr>
      <w:tr>
        <w:tc>
          <w:tcPr>
            <w:tcW w:w="4819" w:type="dxa"/>
          </w:tcPr>
          <w:p>
            <w:pPr>
              <w:pStyle w:val="Celda"/>
            </w:pPr>
            <w:r>
              <w:t xml:space="preserve">Areas in the perimeter</w:t>
            </w:r>
          </w:p>
        </w:tc>
        <w:tc>
          <w:tcPr>
            <w:tcW w:w="4819" w:type="dxa"/>
          </w:tcPr>
          <w:p>
            <w:pPr>
              <w:pStyle w:val="Celda"/>
            </w:pPr>
          </w:p>
        </w:tc>
      </w:tr>
      <w:tr>
        <w:tc>
          <w:tcPr>
            <w:tcW w:w="4819" w:type="dxa"/>
          </w:tcPr>
          <w:p>
            <w:pPr>
              <w:pStyle w:val="Celda"/>
            </w:pPr>
            <w:r>
              <w:t xml:space="preserve">Areas with a signed statement</w:t>
            </w:r>
          </w:p>
        </w:tc>
        <w:tc>
          <w:tcPr>
            <w:tcW w:w="4819" w:type="dxa"/>
          </w:tcPr>
          <w:p>
            <w:pPr>
              <w:pStyle w:val="Celda"/>
            </w:pPr>
          </w:p>
        </w:tc>
      </w:tr>
      <w:tr>
        <w:tc>
          <w:tcPr>
            <w:tcW w:w="4819" w:type="dxa"/>
          </w:tcPr>
          <w:p>
            <w:pPr>
              <w:pStyle w:val="Celda"/>
            </w:pPr>
            <w:r>
              <w:t xml:space="preserve">Inventory coverage (%)</w:t>
            </w:r>
          </w:p>
        </w:tc>
        <w:tc>
          <w:tcPr>
            <w:tcW w:w="4819" w:type="dxa"/>
          </w:tcPr>
          <w:p>
            <w:pPr>
              <w:pStyle w:val="Celda"/>
            </w:pPr>
          </w:p>
        </w:tc>
      </w:tr>
      <w:tr>
        <w:tc>
          <w:tcPr>
            <w:tcW w:w="4819" w:type="dxa"/>
          </w:tcPr>
          <w:p>
            <w:pPr>
              <w:pStyle w:val="Celda"/>
            </w:pPr>
            <w:r>
              <w:t xml:space="preserve">Systems registered in T02 (codes SIA-AAAA-NNN)</w:t>
            </w:r>
          </w:p>
        </w:tc>
        <w:tc>
          <w:tcPr>
            <w:tcW w:w="4819" w:type="dxa"/>
          </w:tcPr>
          <w:p>
            <w:pPr>
              <w:pStyle w:val="Celda"/>
            </w:pPr>
          </w:p>
        </w:tc>
      </w:tr>
      <w:tr>
        <w:tc>
          <w:tcPr>
            <w:tcW w:w="4819" w:type="dxa"/>
          </w:tcPr>
          <w:p>
            <w:pPr>
              <w:pStyle w:val="Celda"/>
            </w:pPr>
            <w:r>
              <w:t xml:space="preserve">Cases of unauthorised use recorded as a nonconformity (NC-AAAA-NNN)</w:t>
            </w:r>
          </w:p>
        </w:tc>
        <w:tc>
          <w:tcPr>
            <w:tcW w:w="4819" w:type="dxa"/>
          </w:tcPr>
          <w:p>
            <w:pPr>
              <w:pStyle w:val="Celda"/>
            </w:pPr>
          </w:p>
        </w:tc>
      </w:tr>
    </w:tbl>
    <w:p>
      <w:pPr>
        <w:pStyle w:val="Espacio"/>
      </w:pPr>
    </w:p>
    <w:p>
      <w:pPr>
        <w:pStyle w:val="Separador"/>
      </w:pPr>
    </w:p>
    <w:p>
      <w:pPr>
        <w:pStyle w:val="Heading1"/>
      </w:pPr>
      <w:r>
        <w:t xml:space="preserve">11.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mandate is signed by the executive chair or the chief executive officer, with objective, perimeter, scope and time limit (90 §3).</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Lite or Enterprise scope is justified criterion by criterion (90 §2.2).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inventory covers the whole company, even if the implementation perimeter is smaller.</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If adoption is modular, it states which components are left out and that application cannot be declared until 01 §14 is met.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is a member of senior management with written responsibility for AI (question D1.01 in document 11).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board session to approve C2 is reserved in weeks 12–13.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Each body is assigned to an existing or new body, with a mandate date.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All areas in the perimeter have signed the completeness statement (question D6.05 in document 11).</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Implementation lead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Proposes</w:t>
            </w:r>
          </w:p>
        </w:tc>
        <w:tc>
          <w:tcPr>
            <w:tcW w:w="1928" w:type="dxa"/>
          </w:tcPr>
          <w:p>
            <w:pPr>
              <w:pStyle w:val="Celda"/>
            </w:pPr>
            <w:r>
              <w:t xml:space="preserve">Implementation sponsor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Checks that it is complete</w:t>
            </w:r>
          </w:p>
        </w:tc>
        <w:tc>
          <w:tcPr>
            <w:tcW w:w="1928" w:type="dxa"/>
          </w:tcPr>
          <w:p>
            <w:pPr>
              <w:pStyle w:val="Celda"/>
            </w:pPr>
            <w:r>
              <w:t xml:space="preserve">AI Office or board secretariat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Signs the mandate</w:t>
            </w:r>
          </w:p>
        </w:tc>
        <w:tc>
          <w:tcPr>
            <w:tcW w:w="1928" w:type="dxa"/>
          </w:tcPr>
          <w:p>
            <w:pPr>
              <w:pStyle w:val="Celda"/>
            </w:pPr>
            <w:r>
              <w:t xml:space="preserve">Executive chair or chief executive officer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Takes note</w:t>
            </w:r>
          </w:p>
        </w:tc>
        <w:tc>
          <w:tcPr>
            <w:tcW w:w="1928" w:type="dxa"/>
          </w:tcPr>
          <w:p>
            <w:pPr>
              <w:pStyle w:val="Celda"/>
            </w:pPr>
            <w:r>
              <w:t xml:space="preserve">Board or board committee</w:t>
            </w:r>
          </w:p>
        </w:tc>
        <w:tc>
          <w:tcPr>
            <w:tcW w:w="1928" w:type="dxa"/>
          </w:tcPr>
          <w:p>
            <w:pPr>
              <w:pStyle w:val="Celda"/>
            </w:pPr>
          </w:p>
        </w:tc>
        <w:tc>
          <w:tcPr>
            <w:tcW w:w="1928" w:type="dxa"/>
          </w:tcPr>
          <w:p>
            <w:pPr>
              <w:pStyle w:val="Celda"/>
            </w:pPr>
          </w:p>
        </w:tc>
        <w:tc>
          <w:tcPr>
            <w:tcW w:w="1928" w:type="dxa"/>
          </w:tcPr>
          <w:p>
            <w:pPr>
              <w:pStyle w:val="Celda"/>
            </w:pPr>
            <w:r>
              <w:t xml:space="preserve">Reference to the minutes</w:t>
            </w:r>
          </w:p>
        </w:tc>
      </w:tr>
    </w:tbl>
    <w:p>
      <w:pPr>
        <w:pStyle w:val="Espacio"/>
      </w:pPr>
    </w:p>
    <w:p>
      <w:r>
        <w:t xml:space="preserve">Segregation of duties: whoever prepares the mandate does not sign it; the maturity verifier designated by the third line is not a member of the core team.</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Covers the prerequisites, scope, 90-day plan and indicators in document 90, the full or modular adoption model in 01 §1.2 and, as an annex, the inventory completeness statement by area.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P32 · SEVEN-G implementation mandate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P32 · SEVEN-G implementation mandate</dc:title>
  <dc:creator>Fernando García Varela</dc:creator>
  <dc:language>en</dc:language>
  <dc:description>sha256:4318223516a05a9b3095266fc54c5f5d722565eeb78fc4334c390476819d875c</dc:description>
  <cp:keywords>SEVEN-G</cp:keywords>
</cp:coreProperties>
</file>