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Mandato de implantación de SEVEN-G</w:t>
      </w:r>
    </w:p>
    <w:p>
      <w:r>
        <w:rPr>
          <w:b/>
        </w:rPr>
        <w:t xml:space="preserve">Formaliza la decisión de la dirección de adoptar SEVEN-G: objetivo, alcance, modelo de adopción, patrocinio, responsable, recursos, calendario de 90 días, órganos que se constituyen e indicadores con los que se medirá la implantación.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P32 · Mandato de implantación de SEVEN-G</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Sin un mandato firmado, la implantación depende de la buena voluntad de las áreas: el inventario se queda incompleto, nadie reserva la sesión del consejo y los noventa días se alargan sin fecha. El mandato fija quién responde, con qué recursos, hasta dónde llega y cómo se sabrá que se ha cumplido. Es el primer requisito previo del documento 90 (§3) y la primera evidencia de que la alta dirección asume la responsabilidad sobre la IA (pregunta D1.01 del documento 11).</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semana 1 de la primera implantación (90 §4.2), antes de cualquier otra actividad. Se revisa si cambian el perímetro, el alcance o el calendario, y en cada revisión anual (C5) mientras la implantación no haya terminado.</w:t>
            </w:r>
          </w:p>
        </w:tc>
      </w:tr>
      <w:tr>
        <w:tc>
          <w:tcPr>
            <w:tcW w:w="4819" w:type="dxa"/>
          </w:tcPr>
          <w:p>
            <w:pPr>
              <w:pStyle w:val="Celda"/>
            </w:pPr>
            <w:r>
              <w:rPr>
                <w:b/>
              </w:rPr>
              <w:t xml:space="preserve">Quién la rellena</w:t>
            </w:r>
          </w:p>
        </w:tc>
        <w:tc>
          <w:tcPr>
            <w:tcW w:w="4819" w:type="dxa"/>
          </w:tcPr>
          <w:p>
            <w:pPr>
              <w:pStyle w:val="Celda"/>
            </w:pPr>
            <w:r>
              <w:t xml:space="preserve">El responsable de implantación, con el patrocinador de la implantación.</w:t>
            </w:r>
          </w:p>
        </w:tc>
      </w:tr>
      <w:tr>
        <w:tc>
          <w:tcPr>
            <w:tcW w:w="4819" w:type="dxa"/>
          </w:tcPr>
          <w:p>
            <w:pPr>
              <w:pStyle w:val="Celda"/>
            </w:pPr>
            <w:r>
              <w:rPr>
                <w:b/>
              </w:rPr>
              <w:t xml:space="preserve">Quién la verifica</w:t>
            </w:r>
          </w:p>
        </w:tc>
        <w:tc>
          <w:tcPr>
            <w:tcW w:w="4819" w:type="dxa"/>
          </w:tcPr>
          <w:p>
            <w:pPr>
              <w:pStyle w:val="Celda"/>
            </w:pPr>
            <w:r>
              <w:t xml:space="preserve">La oficina de IA en constitución o, si aún no existe, la secretaría del consejo o del comité de dirección comprueba que el mandato está completo. La tercera línea recibe una copia (90 §3).</w:t>
            </w:r>
          </w:p>
        </w:tc>
      </w:tr>
      <w:tr>
        <w:tc>
          <w:tcPr>
            <w:tcW w:w="4819" w:type="dxa"/>
          </w:tcPr>
          <w:p>
            <w:pPr>
              <w:pStyle w:val="Celda"/>
            </w:pPr>
            <w:r>
              <w:rPr>
                <w:b/>
              </w:rPr>
              <w:t xml:space="preserve">Quién decide o aprueba</w:t>
            </w:r>
          </w:p>
        </w:tc>
        <w:tc>
          <w:tcPr>
            <w:tcW w:w="4819" w:type="dxa"/>
          </w:tcPr>
          <w:p>
            <w:pPr>
              <w:pStyle w:val="Celda"/>
            </w:pPr>
            <w:r>
              <w:t xml:space="preserve">La presidencia ejecutiva o el consejero delegado firma el mandato. El consejo o su comisión delegada toma conocimiento y reserva la sesión de aprobación de C2 en las semanas 12–13.</w:t>
            </w:r>
          </w:p>
        </w:tc>
      </w:tr>
      <w:tr>
        <w:tc>
          <w:tcPr>
            <w:tcW w:w="4819" w:type="dxa"/>
          </w:tcPr>
          <w:p>
            <w:pPr>
              <w:pStyle w:val="Celda"/>
            </w:pPr>
            <w:r>
              <w:rPr>
                <w:b/>
              </w:rPr>
              <w:t xml:space="preserve">Etapa del ciclo corporativo</w:t>
            </w:r>
          </w:p>
        </w:tc>
        <w:tc>
          <w:tcPr>
            <w:tcW w:w="4819" w:type="dxa"/>
          </w:tcPr>
          <w:p>
            <w:pPr>
              <w:pStyle w:val="Celda"/>
            </w:pPr>
            <w:r>
              <w:t xml:space="preserve">Previa a C1; cubre C1, C2 y C3 de la primera implantación (01 §5.3).</w:t>
            </w:r>
          </w:p>
        </w:tc>
      </w:tr>
      <w:tr>
        <w:tc>
          <w:tcPr>
            <w:tcW w:w="4819" w:type="dxa"/>
          </w:tcPr>
          <w:p>
            <w:pPr>
              <w:pStyle w:val="Celda"/>
            </w:pPr>
            <w:r>
              <w:rPr>
                <w:b/>
              </w:rPr>
              <w:t xml:space="preserve">Herramienta</w:t>
            </w:r>
          </w:p>
        </w:tc>
        <w:tc>
          <w:tcPr>
            <w:tcW w:w="4819" w:type="dxa"/>
          </w:tcPr>
          <w:p>
            <w:pPr>
              <w:pStyle w:val="Celda"/>
            </w:pPr>
            <w:r>
              <w:t xml:space="preserve">T01 y su inventario T02 (o una hoja de cálculo con el modelo de datos de 03 §4) para el anexo de completitud.</w:t>
            </w:r>
          </w:p>
        </w:tc>
      </w:tr>
      <w:tr>
        <w:tc>
          <w:tcPr>
            <w:tcW w:w="4819" w:type="dxa"/>
          </w:tcPr>
          <w:p>
            <w:pPr>
              <w:pStyle w:val="Celda"/>
            </w:pPr>
            <w:r>
              <w:rPr>
                <w:b/>
              </w:rPr>
              <w:t xml:space="preserve">Documento de referencia</w:t>
            </w:r>
          </w:p>
        </w:tc>
        <w:tc>
          <w:tcPr>
            <w:tcW w:w="4819" w:type="dxa"/>
          </w:tcPr>
          <w:p>
            <w:pPr>
              <w:pStyle w:val="Celda"/>
            </w:pPr>
            <w:r>
              <w:t xml:space="preserve">Documento 90 (§2 a §5 y §9); 01 §1.2, §5 y §14; documento 30 (órganos y mandatos).</w:t>
            </w:r>
          </w:p>
        </w:tc>
      </w:tr>
      <w:tr>
        <w:tc>
          <w:tcPr>
            <w:tcW w:w="4819" w:type="dxa"/>
          </w:tcPr>
          <w:p>
            <w:pPr>
              <w:pStyle w:val="Celda"/>
            </w:pPr>
            <w:r>
              <w:rPr>
                <w:b/>
              </w:rPr>
              <w:t xml:space="preserve">Alcance Lite frente a Enterprise</w:t>
            </w:r>
          </w:p>
        </w:tc>
        <w:tc>
          <w:tcPr>
            <w:tcW w:w="4819" w:type="dxa"/>
          </w:tcPr>
          <w:p>
            <w:pPr>
              <w:pStyle w:val="Celda"/>
            </w:pPr>
            <w:r>
              <w:t xml:space="preserve">Ambos alcances usan esta plantilla. Los campos marcados </w:t>
            </w:r>
            <w:r>
              <w:rPr>
                <w:b/>
              </w:rPr>
              <w:t xml:space="preserve">(Enterprise)</w:t>
            </w:r>
            <w:r>
              <w:t xml:space="preserve"> pueden omitirse con alcance Lite, justificándolo.</w:t>
            </w:r>
          </w:p>
        </w:tc>
      </w:tr>
    </w:tbl>
    <w:p>
      <w:pPr>
        <w:pStyle w:val="Espacio"/>
      </w:pPr>
    </w:p>
    <w:p>
      <w:r>
        <w:t xml:space="preserve">Reglas de cumplimentación:</w:t>
      </w:r>
    </w:p>
    <w:p>
      <w:pPr>
        <w:pStyle w:val="Lista"/>
      </w:pPr>
      <w:r>
        <w:t xml:space="preserve">• El mandato </w:t>
      </w:r>
      <w:r>
        <w:rPr>
          <w:b/>
        </w:rPr>
        <w:t xml:space="preserve">no sustituye</w:t>
      </w:r>
      <w:r>
        <w:t xml:space="preserve"> a la decisión de C2: autoriza a preparar el diagnóstico y la propuesta que el consejo aprobará después (documento 13).</w:t>
      </w:r>
    </w:p>
    <w:p>
      <w:pPr>
        <w:pStyle w:val="Lista"/>
      </w:pPr>
      <w:r>
        <w:t xml:space="preserve">• El alcance de implantación se elige con los criterios de 90 §2.2 y </w:t>
      </w:r>
      <w:r>
        <w:rPr>
          <w:b/>
        </w:rPr>
        <w:t xml:space="preserve">no sustituye</w:t>
      </w:r>
      <w:r>
        <w:t xml:space="preserve"> a la intensidad de cada iniciativa.</w:t>
      </w:r>
    </w:p>
    <w:p>
      <w:pPr>
        <w:pStyle w:val="Lista"/>
      </w:pPr>
      <w:r>
        <w:t xml:space="preserve">• El inventario abarca </w:t>
      </w:r>
      <w:r>
        <w:rPr>
          <w:b/>
        </w:rPr>
        <w:t xml:space="preserve">toda la compañía</w:t>
      </w:r>
      <w:r>
        <w:t xml:space="preserve"> aunque el perímetro de implantación sea menor (90 §2.3).</w:t>
      </w:r>
    </w:p>
    <w:p>
      <w:pPr>
        <w:pStyle w:val="Lista"/>
      </w:pPr>
      <w:r>
        <w:t xml:space="preserve">• No se declara una moratoria general de la IA: solo se detiene lo que el diagnóstico identifique como riesgo inaceptable.</w:t>
      </w:r>
    </w:p>
    <w:p>
      <w:pPr>
        <w:pStyle w:val="Lista"/>
      </w:pPr>
      <w:r>
        <w:t xml:space="preserve">• Las fechas se escriben en formato DD-MM-AAAA.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del documento</w:t>
            </w:r>
          </w:p>
        </w:tc>
        <w:tc>
          <w:tcPr>
            <w:tcW w:w="3213" w:type="dxa"/>
          </w:tcPr>
          <w:p>
            <w:pPr>
              <w:pStyle w:val="Celda"/>
            </w:pPr>
          </w:p>
        </w:tc>
        <w:tc>
          <w:tcPr>
            <w:tcW w:w="3213" w:type="dxa"/>
          </w:tcPr>
          <w:p>
            <w:pPr>
              <w:pStyle w:val="Celda"/>
            </w:pPr>
            <w:r>
              <w:t xml:space="preserve">Identificador en el repositorio documental de la compañía.</w:t>
            </w:r>
          </w:p>
        </w:tc>
      </w:tr>
      <w:tr>
        <w:tc>
          <w:tcPr>
            <w:tcW w:w="3213" w:type="dxa"/>
          </w:tcPr>
          <w:p>
            <w:pPr>
              <w:pStyle w:val="Celda"/>
            </w:pPr>
            <w:r>
              <w:t xml:space="preserve">Compañía o grupo</w:t>
            </w:r>
          </w:p>
        </w:tc>
        <w:tc>
          <w:tcPr>
            <w:tcW w:w="3213" w:type="dxa"/>
          </w:tcPr>
          <w:p>
            <w:pPr>
              <w:pStyle w:val="Celda"/>
            </w:pPr>
          </w:p>
        </w:tc>
        <w:tc>
          <w:tcPr>
            <w:tcW w:w="3213" w:type="dxa"/>
          </w:tcPr>
          <w:p>
            <w:pPr>
              <w:pStyle w:val="Celda"/>
            </w:pPr>
            <w:r>
              <w:t xml:space="preserve">Denominación social. En los ejemplos, siempre ficticia.</w:t>
            </w:r>
          </w:p>
        </w:tc>
      </w:tr>
      <w:tr>
        <w:tc>
          <w:tcPr>
            <w:tcW w:w="3213" w:type="dxa"/>
          </w:tcPr>
          <w:p>
            <w:pPr>
              <w:pStyle w:val="Celda"/>
            </w:pPr>
            <w:r>
              <w:t xml:space="preserve">Periodo de implantación</w:t>
            </w:r>
          </w:p>
        </w:tc>
        <w:tc>
          <w:tcPr>
            <w:tcW w:w="3213" w:type="dxa"/>
          </w:tcPr>
          <w:p>
            <w:pPr>
              <w:pStyle w:val="Celda"/>
            </w:pPr>
          </w:p>
        </w:tc>
        <w:tc>
          <w:tcPr>
            <w:tcW w:w="3213" w:type="dxa"/>
          </w:tcPr>
          <w:p>
            <w:pPr>
              <w:pStyle w:val="Celda"/>
            </w:pPr>
            <w:r>
              <w:t xml:space="preserve">Fecha de inicio y fecha prevista del hito 3 (semana 13).</w:t>
            </w:r>
          </w:p>
        </w:tc>
      </w:tr>
      <w:tr>
        <w:tc>
          <w:tcPr>
            <w:tcW w:w="3213" w:type="dxa"/>
          </w:tcPr>
          <w:p>
            <w:pPr>
              <w:pStyle w:val="Celda"/>
            </w:pPr>
            <w:r>
              <w:t xml:space="preserve">Versión del mandato</w:t>
            </w:r>
          </w:p>
        </w:tc>
        <w:tc>
          <w:tcPr>
            <w:tcW w:w="3213" w:type="dxa"/>
          </w:tcPr>
          <w:p>
            <w:pPr>
              <w:pStyle w:val="Celda"/>
            </w:pPr>
          </w:p>
        </w:tc>
        <w:tc>
          <w:tcPr>
            <w:tcW w:w="3213" w:type="dxa"/>
          </w:tcPr>
          <w:p>
            <w:pPr>
              <w:pStyle w:val="Celda"/>
            </w:pPr>
            <w:r>
              <w:t xml:space="preserve">1.0 al firmarse; se incrementa en cada modificación.</w:t>
            </w:r>
          </w:p>
        </w:tc>
      </w:tr>
      <w:tr>
        <w:tc>
          <w:tcPr>
            <w:tcW w:w="3213" w:type="dxa"/>
          </w:tcPr>
          <w:p>
            <w:pPr>
              <w:pStyle w:val="Celda"/>
            </w:pPr>
            <w:r>
              <w:t xml:space="preserve">Fecha de firma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Fecha de toma de conocimiento del consejo</w:t>
            </w:r>
          </w:p>
        </w:tc>
        <w:tc>
          <w:tcPr>
            <w:tcW w:w="3213" w:type="dxa"/>
          </w:tcPr>
          <w:p>
            <w:pPr>
              <w:pStyle w:val="Celda"/>
            </w:pPr>
          </w:p>
        </w:tc>
        <w:tc>
          <w:tcPr>
            <w:tcW w:w="3213" w:type="dxa"/>
          </w:tcPr>
          <w:p>
            <w:pPr>
              <w:pStyle w:val="Celda"/>
            </w:pPr>
            <w:r>
              <w:t xml:space="preserve">Referencia del acta o del registro de decisiones (DEC-AAAA-NNN, documento 62), si existe.</w:t>
            </w:r>
          </w:p>
        </w:tc>
      </w:tr>
      <w:tr>
        <w:tc>
          <w:tcPr>
            <w:tcW w:w="3213" w:type="dxa"/>
          </w:tcPr>
          <w:p>
            <w:pPr>
              <w:pStyle w:val="Celda"/>
            </w:pPr>
            <w:r>
              <w:t xml:space="preserve">Fecha de corte del diagnóstico</w:t>
            </w:r>
          </w:p>
        </w:tc>
        <w:tc>
          <w:tcPr>
            <w:tcW w:w="3213" w:type="dxa"/>
          </w:tcPr>
          <w:p>
            <w:pPr>
              <w:pStyle w:val="Celda"/>
            </w:pPr>
          </w:p>
        </w:tc>
        <w:tc>
          <w:tcPr>
            <w:tcW w:w="3213" w:type="dxa"/>
          </w:tcPr>
          <w:p>
            <w:pPr>
              <w:pStyle w:val="Celda"/>
            </w:pPr>
            <w:r>
              <w:t xml:space="preserve">Fecha que delimita las evidencias admisibles en C1 (11 §4.3).</w:t>
            </w:r>
          </w:p>
        </w:tc>
      </w:tr>
    </w:tbl>
    <w:p>
      <w:pPr>
        <w:pStyle w:val="Espacio"/>
      </w:pPr>
    </w:p>
    <w:p>
      <w:pPr>
        <w:pStyle w:val="Separador"/>
      </w:pPr>
    </w:p>
    <w:p>
      <w:pPr>
        <w:pStyle w:val="Heading1"/>
      </w:pPr>
      <w:r>
        <w:t xml:space="preserve">3. Objeto, alcance y modelo de adopción</w:t>
      </w:r>
    </w:p>
    <w:p>
      <w:pPr>
        <w:pStyle w:val="Heading2"/>
      </w:pPr>
      <w:r>
        <w:t xml:space="preserve">3.1 Objeto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Objetivo de la implantación</w:t>
            </w:r>
          </w:p>
        </w:tc>
        <w:tc>
          <w:tcPr>
            <w:tcW w:w="3213" w:type="dxa"/>
          </w:tcPr>
          <w:p>
            <w:pPr>
              <w:pStyle w:val="Celda"/>
            </w:pPr>
          </w:p>
        </w:tc>
        <w:tc>
          <w:tcPr>
            <w:tcW w:w="3213" w:type="dxa"/>
          </w:tcPr>
          <w:p>
            <w:pPr>
              <w:pStyle w:val="Celda"/>
            </w:pPr>
            <w:r>
              <w:t xml:space="preserve">Qué quiere conseguir la compañía, en dos o tres frases, conectado con decisión, riesgo o valor.</w:t>
            </w:r>
          </w:p>
        </w:tc>
      </w:tr>
      <w:tr>
        <w:tc>
          <w:tcPr>
            <w:tcW w:w="3213" w:type="dxa"/>
          </w:tcPr>
          <w:p>
            <w:pPr>
              <w:pStyle w:val="Celda"/>
            </w:pPr>
            <w:r>
              <w:t xml:space="preserve">Resultado esperado a 90 días</w:t>
            </w:r>
          </w:p>
        </w:tc>
        <w:tc>
          <w:tcPr>
            <w:tcW w:w="3213" w:type="dxa"/>
          </w:tcPr>
          <w:p>
            <w:pPr>
              <w:pStyle w:val="Celda"/>
            </w:pPr>
          </w:p>
        </w:tc>
        <w:tc>
          <w:tcPr>
            <w:tcW w:w="3213" w:type="dxa"/>
          </w:tcPr>
          <w:p>
            <w:pPr>
              <w:pStyle w:val="Celda"/>
            </w:pPr>
            <w:r>
              <w:t xml:space="preserve">Los de 90 §1.1: C1 con evidencia, C2 propuesto o aprobado, primera cartera (C3), órganos, roles, </w:t>
            </w:r>
            <w:r>
              <w:rPr>
                <w:i/>
              </w:rPr>
              <w:t xml:space="preserve">gates</w:t>
            </w:r>
            <w:r>
              <w:t xml:space="preserve">, métricas y ritmo de reporte en marcha.</w:t>
            </w:r>
          </w:p>
        </w:tc>
      </w:tr>
      <w:tr>
        <w:tc>
          <w:tcPr>
            <w:tcW w:w="3213" w:type="dxa"/>
          </w:tcPr>
          <w:p>
            <w:pPr>
              <w:pStyle w:val="Celda"/>
            </w:pPr>
            <w:r>
              <w:t xml:space="preserve">Horizonte hasta la declaración de aplicación</w:t>
            </w:r>
          </w:p>
        </w:tc>
        <w:tc>
          <w:tcPr>
            <w:tcW w:w="3213" w:type="dxa"/>
          </w:tcPr>
          <w:p>
            <w:pPr>
              <w:pStyle w:val="Celda"/>
            </w:pPr>
          </w:p>
        </w:tc>
        <w:tc>
          <w:tcPr>
            <w:tcW w:w="3213" w:type="dxa"/>
          </w:tcPr>
          <w:p>
            <w:pPr>
              <w:pStyle w:val="Celda"/>
            </w:pPr>
            <w:r>
              <w:t xml:space="preserve">Orientativo: 6–12 meses (Lite) · 12–18 meses (Enterprise), según 90 §2.1.</w:t>
            </w:r>
          </w:p>
        </w:tc>
      </w:tr>
    </w:tbl>
    <w:p>
      <w:pPr>
        <w:pStyle w:val="Espacio"/>
      </w:pPr>
    </w:p>
    <w:p>
      <w:r>
        <w:rPr>
          <w:i/>
        </w:rPr>
        <w:t xml:space="preserve">(ejemplo ilustrativo)</w:t>
      </w:r>
      <w:r>
        <w:t xml:space="preserve"> Compañía Ejemplo, S. A. (ficticia) adopta SEVEN-G para conocer qué IA usa, qué valor validado obtiene y qué riesgos asume, y para que el consejo apruebe en el cuarto trimestre de 2026 su tesis de IA y su apetito de riesgo.</w:t>
      </w:r>
    </w:p>
    <w:p>
      <w:pPr>
        <w:pStyle w:val="Heading2"/>
      </w:pPr>
      <w:r>
        <w:t xml:space="preserve">3.2 Alcance de implantación</w:t>
      </w:r>
    </w:p>
    <w:p>
      <w:r>
        <w:t xml:space="preserve">Se elige </w:t>
      </w:r>
      <w:r>
        <w:rPr>
          <w:b/>
        </w:rPr>
        <w:t xml:space="preserve">Enterprise</w:t>
      </w:r>
      <w:r>
        <w:t xml:space="preserve"> si se cumple al menos un criterio (90 §2.2); en otro caso, </w:t>
      </w:r>
      <w:r>
        <w:rPr>
          <w:b/>
        </w:rPr>
        <w:t xml:space="preserve">Lite</w:t>
      </w:r>
      <w:r>
        <w:t xml:space="preserv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Criterio</w:t>
            </w:r>
          </w:p>
        </w:tc>
        <w:tc>
          <w:tcPr>
            <w:tcW w:w="2410" w:type="dxa"/>
            <w:shd w:val="clear" w:color="auto" w:fill="F2DFCE"/>
          </w:tcPr>
          <w:p>
            <w:pPr>
              <w:pStyle w:val="Celda"/>
            </w:pPr>
            <w:r>
              <w:rPr>
                <w:b/>
              </w:rPr>
              <w:t xml:space="preserve">¿Se cumple? (Sí · No)</w:t>
            </w:r>
          </w:p>
        </w:tc>
        <w:tc>
          <w:tcPr>
            <w:tcW w:w="2410" w:type="dxa"/>
            <w:shd w:val="clear" w:color="auto" w:fill="F2DFCE"/>
          </w:tcPr>
          <w:p>
            <w:pPr>
              <w:pStyle w:val="Celda"/>
            </w:pPr>
            <w:r>
              <w:rPr>
                <w:b/>
              </w:rPr>
              <w:t xml:space="preserve">Justificación</w:t>
            </w:r>
          </w:p>
        </w:tc>
      </w:tr>
      <w:tr>
        <w:tc>
          <w:tcPr>
            <w:tcW w:w="2410" w:type="dxa"/>
          </w:tcPr>
          <w:p>
            <w:pPr>
              <w:pStyle w:val="Celda"/>
            </w:pPr>
            <w:r>
              <w:t xml:space="preserve">1</w:t>
            </w:r>
          </w:p>
        </w:tc>
        <w:tc>
          <w:tcPr>
            <w:tcW w:w="2410" w:type="dxa"/>
          </w:tcPr>
          <w:p>
            <w:pPr>
              <w:pStyle w:val="Celda"/>
            </w:pPr>
            <w:r>
              <w:t xml:space="preserve">Supervisión prudencial o sectorial que exige gobierno formal de riesgos tecnológicos o de modelos (por ejemplo, DORA).</w:t>
            </w:r>
          </w:p>
        </w:tc>
        <w:tc>
          <w:tcPr>
            <w:tcW w:w="2410" w:type="dxa"/>
          </w:tcPr>
          <w:p>
            <w:pPr>
              <w:pStyle w:val="Celda"/>
            </w:pP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Sistemas de IA de alto riesgo según el Reglamento Europeo de IA, actuales o previstos.</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Agentes con autonomía A2 o A3 sobre clientes, dinero, datos personales o sistemas de producción, actuales o previstos.</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Grupo con varias sociedades o países que deben seguir un marco común.</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Varias apuestas de Transformar simultáneas (orientativamente, tres o más).</w:t>
            </w: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r>
              <w:rPr>
                <w:b/>
              </w:rPr>
              <w:t xml:space="preserve">Alcance resultante</w:t>
            </w:r>
          </w:p>
        </w:tc>
        <w:tc>
          <w:tcPr>
            <w:tcW w:w="2410" w:type="dxa"/>
          </w:tcPr>
          <w:p>
            <w:pPr>
              <w:pStyle w:val="Celda"/>
            </w:pPr>
            <w:r>
              <w:t xml:space="preserve">Lite · Enterprise</w:t>
            </w:r>
          </w:p>
        </w:tc>
        <w:tc>
          <w:tcPr>
            <w:tcW w:w="2410" w:type="dxa"/>
          </w:tcPr>
          <w:p>
            <w:pPr>
              <w:pStyle w:val="Celda"/>
            </w:pPr>
          </w:p>
        </w:tc>
      </w:tr>
    </w:tbl>
    <w:p>
      <w:pPr>
        <w:pStyle w:val="Espacio"/>
      </w:pPr>
    </w:p>
    <w:p>
      <w:pPr>
        <w:pStyle w:val="Heading2"/>
      </w:pPr>
      <w:r>
        <w:t xml:space="preserve">3.3 Perímetro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Perímetro de implantación</w:t>
            </w:r>
          </w:p>
        </w:tc>
        <w:tc>
          <w:tcPr>
            <w:tcW w:w="3213" w:type="dxa"/>
          </w:tcPr>
          <w:p>
            <w:pPr>
              <w:pStyle w:val="Celda"/>
            </w:pPr>
          </w:p>
        </w:tc>
        <w:tc>
          <w:tcPr>
            <w:tcW w:w="3213" w:type="dxa"/>
          </w:tcPr>
          <w:p>
            <w:pPr>
              <w:pStyle w:val="Celda"/>
            </w:pPr>
            <w:r>
              <w:t xml:space="preserve">Toda la compañía, o filial, país o unidad de negocio. La declaración de aplicación solo cubrirá este perímetro.</w:t>
            </w:r>
          </w:p>
        </w:tc>
      </w:tr>
      <w:tr>
        <w:tc>
          <w:tcPr>
            <w:tcW w:w="3213" w:type="dxa"/>
          </w:tcPr>
          <w:p>
            <w:pPr>
              <w:pStyle w:val="Celda"/>
            </w:pPr>
            <w:r>
              <w:t xml:space="preserve">Perímetro del inventario</w:t>
            </w:r>
          </w:p>
        </w:tc>
        <w:tc>
          <w:tcPr>
            <w:tcW w:w="3213" w:type="dxa"/>
          </w:tcPr>
          <w:p>
            <w:pPr>
              <w:pStyle w:val="Celda"/>
            </w:pPr>
            <w:r>
              <w:t xml:space="preserve">Toda la compañía</w:t>
            </w:r>
          </w:p>
        </w:tc>
        <w:tc>
          <w:tcPr>
            <w:tcW w:w="3213" w:type="dxa"/>
          </w:tcPr>
          <w:p>
            <w:pPr>
              <w:pStyle w:val="Celda"/>
            </w:pPr>
            <w:r>
              <w:t xml:space="preserve">No se reduce: el riesgo no respeta perímetros (90 §2.3).</w:t>
            </w:r>
          </w:p>
        </w:tc>
      </w:tr>
      <w:tr>
        <w:tc>
          <w:tcPr>
            <w:tcW w:w="3213" w:type="dxa"/>
          </w:tcPr>
          <w:p>
            <w:pPr>
              <w:pStyle w:val="Celda"/>
            </w:pPr>
            <w:r>
              <w:t xml:space="preserve">Exclusiones y motivo</w:t>
            </w:r>
          </w:p>
        </w:tc>
        <w:tc>
          <w:tcPr>
            <w:tcW w:w="3213" w:type="dxa"/>
          </w:tcPr>
          <w:p>
            <w:pPr>
              <w:pStyle w:val="Celda"/>
            </w:pPr>
          </w:p>
        </w:tc>
        <w:tc>
          <w:tcPr>
            <w:tcW w:w="3213" w:type="dxa"/>
          </w:tcPr>
          <w:p>
            <w:pPr>
              <w:pStyle w:val="Celda"/>
            </w:pPr>
            <w:r>
              <w:t xml:space="preserve">Solo del perímetro de implantación, nunca del inventario.</w:t>
            </w:r>
          </w:p>
        </w:tc>
      </w:tr>
    </w:tbl>
    <w:p>
      <w:pPr>
        <w:pStyle w:val="Espacio"/>
      </w:pPr>
    </w:p>
    <w:p>
      <w:pPr>
        <w:pStyle w:val="Heading2"/>
      </w:pPr>
      <w:r>
        <w:t xml:space="preserve">3.4 Modelo de adopción</w:t>
      </w:r>
    </w:p>
    <w:p>
      <w:r>
        <w:t xml:space="preserve">SEVEN-G puede adoptarse de forma </w:t>
      </w:r>
      <w:r>
        <w:rPr>
          <w:b/>
        </w:rPr>
        <w:t xml:space="preserve">integral</w:t>
      </w:r>
      <w:r>
        <w:t xml:space="preserve"> o </w:t>
      </w:r>
      <w:r>
        <w:rPr>
          <w:b/>
        </w:rPr>
        <w:t xml:space="preserve">modular</w:t>
      </w:r>
      <w:r>
        <w:t xml:space="preserve"> por componentes (01 §1.2). La adopción modular es válida, pero la compañía solo puede declarar que aplica SEVEN-G cuando cumple las catorce reglas del núcleo (01 §14.1).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Modelo elegido</w:t>
            </w:r>
          </w:p>
        </w:tc>
        <w:tc>
          <w:tcPr>
            <w:tcW w:w="3213" w:type="dxa"/>
          </w:tcPr>
          <w:p>
            <w:pPr>
              <w:pStyle w:val="Celda"/>
            </w:pPr>
            <w:r>
              <w:t xml:space="preserve">Integral · Modular</w:t>
            </w:r>
          </w:p>
        </w:tc>
        <w:tc>
          <w:tcPr>
            <w:tcW w:w="3213" w:type="dxa"/>
          </w:tcPr>
          <w:p>
            <w:pPr>
              <w:pStyle w:val="Celda"/>
            </w:pPr>
          </w:p>
        </w:tc>
      </w:tr>
      <w:tr>
        <w:tc>
          <w:tcPr>
            <w:tcW w:w="3213" w:type="dxa"/>
          </w:tcPr>
          <w:p>
            <w:pPr>
              <w:pStyle w:val="Celda"/>
            </w:pPr>
            <w:r>
              <w:t xml:space="preserve">Marcos existentes con los que se integra</w:t>
            </w:r>
          </w:p>
        </w:tc>
        <w:tc>
          <w:tcPr>
            <w:tcW w:w="3213" w:type="dxa"/>
          </w:tcPr>
          <w:p>
            <w:pPr>
              <w:pStyle w:val="Celda"/>
            </w:pPr>
          </w:p>
        </w:tc>
        <w:tc>
          <w:tcPr>
            <w:tcW w:w="3213" w:type="dxa"/>
          </w:tcPr>
          <w:p>
            <w:pPr>
              <w:pStyle w:val="Celda"/>
            </w:pPr>
            <w:r>
              <w:t xml:space="preserve">Marcos corporativos de riesgo, control, tecnología o transformación que SEVEN-G ordena sin sustituir.</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Componente o pieza</w:t>
            </w:r>
          </w:p>
        </w:tc>
        <w:tc>
          <w:tcPr>
            <w:tcW w:w="1928" w:type="dxa"/>
            <w:shd w:val="clear" w:color="auto" w:fill="F2DFCE"/>
          </w:tcPr>
          <w:p>
            <w:pPr>
              <w:pStyle w:val="Celda"/>
            </w:pPr>
            <w:r>
              <w:rPr>
                <w:b/>
              </w:rPr>
              <w:t xml:space="preserve">Se adopta en los 90 días (Sí · No · Más adelante)</w:t>
            </w:r>
          </w:p>
        </w:tc>
        <w:tc>
          <w:tcPr>
            <w:tcW w:w="1928" w:type="dxa"/>
            <w:shd w:val="clear" w:color="auto" w:fill="F2DFCE"/>
          </w:tcPr>
          <w:p>
            <w:pPr>
              <w:pStyle w:val="Celda"/>
            </w:pPr>
            <w:r>
              <w:rPr>
                <w:b/>
              </w:rPr>
              <w:t xml:space="preserve">Fecha prevista</w:t>
            </w:r>
          </w:p>
        </w:tc>
        <w:tc>
          <w:tcPr>
            <w:tcW w:w="1928" w:type="dxa"/>
            <w:shd w:val="clear" w:color="auto" w:fill="F2DFCE"/>
          </w:tcPr>
          <w:p>
            <w:pPr>
              <w:pStyle w:val="Celda"/>
            </w:pPr>
            <w:r>
              <w:rPr>
                <w:b/>
              </w:rPr>
              <w:t xml:space="preserve">Órgano o marco existente que ya lo cubre</w:t>
            </w:r>
          </w:p>
        </w:tc>
        <w:tc>
          <w:tcPr>
            <w:tcW w:w="1928" w:type="dxa"/>
            <w:shd w:val="clear" w:color="auto" w:fill="F2DFCE"/>
          </w:tcPr>
          <w:p>
            <w:pPr>
              <w:pStyle w:val="Celda"/>
            </w:pPr>
            <w:r>
              <w:rPr>
                <w:b/>
              </w:rPr>
              <w:t xml:space="preserve">Justificación</w:t>
            </w:r>
          </w:p>
        </w:tc>
      </w:tr>
      <w:tr>
        <w:tc>
          <w:tcPr>
            <w:tcW w:w="1928" w:type="dxa"/>
          </w:tcPr>
          <w:p>
            <w:pPr>
              <w:pStyle w:val="Celda"/>
            </w:pPr>
            <w:r>
              <w:t xml:space="preserve">Inventario de sistemas de IA (documento 32)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Obligatorio desde el inicio en cualquier modelo.</w:t>
            </w:r>
          </w:p>
        </w:tc>
      </w:tr>
      <w:tr>
        <w:tc>
          <w:tcPr>
            <w:tcW w:w="1928" w:type="dxa"/>
          </w:tcPr>
          <w:p>
            <w:pPr>
              <w:pStyle w:val="Celda"/>
            </w:pPr>
            <w:r>
              <w:t xml:space="preserve">Ciclo de vida y </w:t>
            </w:r>
            <w:r>
              <w:rPr>
                <w:i/>
              </w:rPr>
              <w:t xml:space="preserve">gates</w:t>
            </w:r>
            <w:r>
              <w:t xml:space="preserve"> (documentos 20–22)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 · Mapa de impacto (documento 10)</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B · Sistema de gobierno: órganos, roles, riesgos y no conformidades (30, 33, 37)</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 · Sistema de medición: reglas de valor, madurez e índice (11, 12, 40)</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 · Herramientas y supervisión del consejo (03, 60, 62)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Patrocinio, responsable y equipo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Patrocinador de la implantación</w:t>
            </w:r>
          </w:p>
        </w:tc>
        <w:tc>
          <w:tcPr>
            <w:tcW w:w="3213" w:type="dxa"/>
          </w:tcPr>
          <w:p>
            <w:pPr>
              <w:pStyle w:val="Celda"/>
            </w:pPr>
          </w:p>
        </w:tc>
        <w:tc>
          <w:tcPr>
            <w:tcW w:w="3213" w:type="dxa"/>
          </w:tcPr>
          <w:p>
            <w:pPr>
              <w:pStyle w:val="Celda"/>
            </w:pPr>
            <w:r>
              <w:t xml:space="preserve">Miembro de la alta dirección con autoridad sobre la cartera. Acepta los hitos con el comité de IA (90 §4.1).</w:t>
            </w:r>
          </w:p>
        </w:tc>
      </w:tr>
      <w:tr>
        <w:tc>
          <w:tcPr>
            <w:tcW w:w="3213" w:type="dxa"/>
          </w:tcPr>
          <w:p>
            <w:pPr>
              <w:pStyle w:val="Celda"/>
            </w:pPr>
            <w:r>
              <w:t xml:space="preserve">Responsable de implantación</w:t>
            </w:r>
          </w:p>
        </w:tc>
        <w:tc>
          <w:tcPr>
            <w:tcW w:w="3213" w:type="dxa"/>
          </w:tcPr>
          <w:p>
            <w:pPr>
              <w:pStyle w:val="Celda"/>
            </w:pPr>
          </w:p>
        </w:tc>
        <w:tc>
          <w:tcPr>
            <w:tcW w:w="3213" w:type="dxa"/>
          </w:tcPr>
          <w:p>
            <w:pPr>
              <w:pStyle w:val="Celda"/>
            </w:pPr>
            <w:r>
              <w:t xml:space="preserve">Nombre, cargo y dedicación. Orientativamente, la mayor parte de su jornada durante los 90 días en Enterprise (90 §3). Suele ser el futuro responsable de la oficina de IA.</w:t>
            </w:r>
          </w:p>
        </w:tc>
      </w:tr>
      <w:tr>
        <w:tc>
          <w:tcPr>
            <w:tcW w:w="3213" w:type="dxa"/>
          </w:tcPr>
          <w:p>
            <w:pPr>
              <w:pStyle w:val="Celda"/>
            </w:pPr>
            <w:r>
              <w:t xml:space="preserve">Futuro responsable de la oficina de IA</w:t>
            </w:r>
          </w:p>
        </w:tc>
        <w:tc>
          <w:tcPr>
            <w:tcW w:w="3213" w:type="dxa"/>
          </w:tcPr>
          <w:p>
            <w:pPr>
              <w:pStyle w:val="Celda"/>
            </w:pPr>
          </w:p>
        </w:tc>
        <w:tc>
          <w:tcPr>
            <w:tcW w:w="3213" w:type="dxa"/>
          </w:tcPr>
          <w:p>
            <w:pPr>
              <w:pStyle w:val="Celda"/>
            </w:pPr>
            <w:r>
              <w:t xml:space="preserve">Si no coincide con el anterior, debe participar desde el primer día.</w:t>
            </w:r>
          </w:p>
        </w:tc>
      </w:tr>
      <w:tr>
        <w:tc>
          <w:tcPr>
            <w:tcW w:w="3213" w:type="dxa"/>
          </w:tcPr>
          <w:p>
            <w:pPr>
              <w:pStyle w:val="Celda"/>
            </w:pPr>
            <w:r>
              <w:t xml:space="preserve">Designado por la tercera línea para verificar la madurez</w:t>
            </w:r>
          </w:p>
        </w:tc>
        <w:tc>
          <w:tcPr>
            <w:tcW w:w="3213" w:type="dxa"/>
          </w:tcPr>
          <w:p>
            <w:pPr>
              <w:pStyle w:val="Celda"/>
            </w:pPr>
          </w:p>
        </w:tc>
        <w:tc>
          <w:tcPr>
            <w:tcW w:w="3213" w:type="dxa"/>
          </w:tcPr>
          <w:p>
            <w:pPr>
              <w:pStyle w:val="Celda"/>
            </w:pPr>
            <w:r>
              <w:t xml:space="preserve">Persona de auditoría interna, auditor de IA o tercero independiente (11 §4.2).</w:t>
            </w:r>
          </w:p>
        </w:tc>
      </w:tr>
      <w:tr>
        <w:tc>
          <w:tcPr>
            <w:tcW w:w="3213" w:type="dxa"/>
          </w:tcPr>
          <w:p>
            <w:pPr>
              <w:pStyle w:val="Celda"/>
            </w:pPr>
            <w:r>
              <w:t xml:space="preserve">Apoyo externo </w:t>
            </w:r>
            <w:r>
              <w:rPr>
                <w:b/>
              </w:rPr>
              <w:t xml:space="preserve">(Enterprise)</w:t>
            </w:r>
          </w:p>
        </w:tc>
        <w:tc>
          <w:tcPr>
            <w:tcW w:w="3213" w:type="dxa"/>
          </w:tcPr>
          <w:p>
            <w:pPr>
              <w:pStyle w:val="Celda"/>
            </w:pPr>
          </w:p>
        </w:tc>
        <w:tc>
          <w:tcPr>
            <w:tcW w:w="3213" w:type="dxa"/>
          </w:tcPr>
          <w:p>
            <w:pPr>
              <w:pStyle w:val="Celda"/>
            </w:pPr>
            <w:r>
              <w:t xml:space="preserve">Si lo hay, modelo de acompañamiento (documento 91) y alcance. El tercero no verifica lo que ayuda a preparar.</w:t>
            </w:r>
          </w:p>
        </w:tc>
      </w:tr>
    </w:tbl>
    <w:p>
      <w:pPr>
        <w:pStyle w:val="Espacio"/>
      </w:pPr>
    </w:p>
    <w:p>
      <w:r>
        <w:rPr>
          <w:b/>
        </w:rPr>
        <w:t xml:space="preserve">Equipo núcleo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Función</w:t>
            </w:r>
          </w:p>
        </w:tc>
        <w:tc>
          <w:tcPr>
            <w:tcW w:w="2410" w:type="dxa"/>
            <w:shd w:val="clear" w:color="auto" w:fill="F2DFCE"/>
          </w:tcPr>
          <w:p>
            <w:pPr>
              <w:pStyle w:val="Celda"/>
            </w:pPr>
            <w:r>
              <w:rPr>
                <w:b/>
              </w:rPr>
              <w:t xml:space="preserve">Representante</w:t>
            </w:r>
          </w:p>
        </w:tc>
        <w:tc>
          <w:tcPr>
            <w:tcW w:w="2410" w:type="dxa"/>
            <w:shd w:val="clear" w:color="auto" w:fill="F2DFCE"/>
          </w:tcPr>
          <w:p>
            <w:pPr>
              <w:pStyle w:val="Celda"/>
            </w:pPr>
            <w:r>
              <w:rPr>
                <w:b/>
              </w:rPr>
              <w:t xml:space="preserve">Dedicación asignada</w:t>
            </w:r>
          </w:p>
        </w:tc>
        <w:tc>
          <w:tcPr>
            <w:tcW w:w="2410" w:type="dxa"/>
            <w:shd w:val="clear" w:color="auto" w:fill="F2DFCE"/>
          </w:tcPr>
          <w:p>
            <w:pPr>
              <w:pStyle w:val="Celda"/>
            </w:pPr>
            <w:r>
              <w:rPr>
                <w:b/>
              </w:rPr>
              <w:t xml:space="preserve">Aporta</w:t>
            </w:r>
          </w:p>
        </w:tc>
      </w:tr>
      <w:tr>
        <w:tc>
          <w:tcPr>
            <w:tcW w:w="2410" w:type="dxa"/>
          </w:tcPr>
          <w:p>
            <w:pPr>
              <w:pStyle w:val="Celda"/>
            </w:pPr>
            <w:r>
              <w:t xml:space="preserve">Negocio</w:t>
            </w:r>
          </w:p>
        </w:tc>
        <w:tc>
          <w:tcPr>
            <w:tcW w:w="2410" w:type="dxa"/>
          </w:tcPr>
          <w:p>
            <w:pPr>
              <w:pStyle w:val="Celda"/>
            </w:pPr>
          </w:p>
        </w:tc>
        <w:tc>
          <w:tcPr>
            <w:tcW w:w="2410" w:type="dxa"/>
          </w:tcPr>
          <w:p>
            <w:pPr>
              <w:pStyle w:val="Celda"/>
            </w:pPr>
          </w:p>
        </w:tc>
        <w:tc>
          <w:tcPr>
            <w:tcW w:w="2410" w:type="dxa"/>
          </w:tcPr>
          <w:p>
            <w:pPr>
              <w:pStyle w:val="Celda"/>
            </w:pPr>
            <w:r>
              <w:t xml:space="preserve">Iniciativas, valor y oportunidades por esfera.</w:t>
            </w:r>
          </w:p>
        </w:tc>
      </w:tr>
      <w:tr>
        <w:tc>
          <w:tcPr>
            <w:tcW w:w="2410" w:type="dxa"/>
          </w:tcPr>
          <w:p>
            <w:pPr>
              <w:pStyle w:val="Celda"/>
            </w:pPr>
            <w:r>
              <w:t xml:space="preserve">Tecnología</w:t>
            </w:r>
          </w:p>
        </w:tc>
        <w:tc>
          <w:tcPr>
            <w:tcW w:w="2410" w:type="dxa"/>
          </w:tcPr>
          <w:p>
            <w:pPr>
              <w:pStyle w:val="Celda"/>
            </w:pPr>
          </w:p>
        </w:tc>
        <w:tc>
          <w:tcPr>
            <w:tcW w:w="2410" w:type="dxa"/>
          </w:tcPr>
          <w:p>
            <w:pPr>
              <w:pStyle w:val="Celda"/>
            </w:pPr>
          </w:p>
        </w:tc>
        <w:tc>
          <w:tcPr>
            <w:tcW w:w="2410" w:type="dxa"/>
          </w:tcPr>
          <w:p>
            <w:pPr>
              <w:pStyle w:val="Celda"/>
            </w:pPr>
            <w:r>
              <w:t xml:space="preserve">Sistemas, arquitectura y operación.</w:t>
            </w:r>
          </w:p>
        </w:tc>
      </w:tr>
      <w:tr>
        <w:tc>
          <w:tcPr>
            <w:tcW w:w="2410" w:type="dxa"/>
          </w:tcPr>
          <w:p>
            <w:pPr>
              <w:pStyle w:val="Celda"/>
            </w:pPr>
            <w:r>
              <w:t xml:space="preserve">Datos</w:t>
            </w:r>
          </w:p>
        </w:tc>
        <w:tc>
          <w:tcPr>
            <w:tcW w:w="2410" w:type="dxa"/>
          </w:tcPr>
          <w:p>
            <w:pPr>
              <w:pStyle w:val="Celda"/>
            </w:pPr>
          </w:p>
        </w:tc>
        <w:tc>
          <w:tcPr>
            <w:tcW w:w="2410" w:type="dxa"/>
          </w:tcPr>
          <w:p>
            <w:pPr>
              <w:pStyle w:val="Celda"/>
            </w:pPr>
          </w:p>
        </w:tc>
        <w:tc>
          <w:tcPr>
            <w:tcW w:w="2410" w:type="dxa"/>
          </w:tcPr>
          <w:p>
            <w:pPr>
              <w:pStyle w:val="Celda"/>
            </w:pPr>
            <w:r>
              <w:t xml:space="preserve">Fuentes, calidad y base legal.</w:t>
            </w:r>
          </w:p>
        </w:tc>
      </w:tr>
      <w:tr>
        <w:tc>
          <w:tcPr>
            <w:tcW w:w="2410" w:type="dxa"/>
          </w:tcPr>
          <w:p>
            <w:pPr>
              <w:pStyle w:val="Celda"/>
            </w:pPr>
            <w:r>
              <w:t xml:space="preserve">Riesgos y cumplimiento</w:t>
            </w:r>
          </w:p>
        </w:tc>
        <w:tc>
          <w:tcPr>
            <w:tcW w:w="2410" w:type="dxa"/>
          </w:tcPr>
          <w:p>
            <w:pPr>
              <w:pStyle w:val="Celda"/>
            </w:pPr>
          </w:p>
        </w:tc>
        <w:tc>
          <w:tcPr>
            <w:tcW w:w="2410" w:type="dxa"/>
          </w:tcPr>
          <w:p>
            <w:pPr>
              <w:pStyle w:val="Celda"/>
            </w:pPr>
          </w:p>
        </w:tc>
        <w:tc>
          <w:tcPr>
            <w:tcW w:w="2410" w:type="dxa"/>
          </w:tcPr>
          <w:p>
            <w:pPr>
              <w:pStyle w:val="Celda"/>
            </w:pPr>
            <w:r>
              <w:t xml:space="preserve">Metodología de riesgos, clasificación y apetito.</w:t>
            </w:r>
          </w:p>
        </w:tc>
      </w:tr>
      <w:tr>
        <w:tc>
          <w:tcPr>
            <w:tcW w:w="2410" w:type="dxa"/>
          </w:tcPr>
          <w:p>
            <w:pPr>
              <w:pStyle w:val="Celda"/>
            </w:pPr>
            <w:r>
              <w:t xml:space="preserve">Seguridad de la información</w:t>
            </w:r>
          </w:p>
        </w:tc>
        <w:tc>
          <w:tcPr>
            <w:tcW w:w="2410" w:type="dxa"/>
          </w:tcPr>
          <w:p>
            <w:pPr>
              <w:pStyle w:val="Celda"/>
            </w:pPr>
          </w:p>
        </w:tc>
        <w:tc>
          <w:tcPr>
            <w:tcW w:w="2410" w:type="dxa"/>
          </w:tcPr>
          <w:p>
            <w:pPr>
              <w:pStyle w:val="Celda"/>
            </w:pPr>
          </w:p>
        </w:tc>
        <w:tc>
          <w:tcPr>
            <w:tcW w:w="2410" w:type="dxa"/>
          </w:tcPr>
          <w:p>
            <w:pPr>
              <w:pStyle w:val="Celda"/>
            </w:pPr>
            <w:r>
              <w:t xml:space="preserve">Uso no autorizado, controles y agentes.</w:t>
            </w:r>
          </w:p>
        </w:tc>
      </w:tr>
      <w:tr>
        <w:tc>
          <w:tcPr>
            <w:tcW w:w="2410" w:type="dxa"/>
          </w:tcPr>
          <w:p>
            <w:pPr>
              <w:pStyle w:val="Celda"/>
            </w:pPr>
            <w:r>
              <w:t xml:space="preserve">Protección de datos</w:t>
            </w:r>
          </w:p>
        </w:tc>
        <w:tc>
          <w:tcPr>
            <w:tcW w:w="2410" w:type="dxa"/>
          </w:tcPr>
          <w:p>
            <w:pPr>
              <w:pStyle w:val="Celda"/>
            </w:pPr>
          </w:p>
        </w:tc>
        <w:tc>
          <w:tcPr>
            <w:tcW w:w="2410" w:type="dxa"/>
          </w:tcPr>
          <w:p>
            <w:pPr>
              <w:pStyle w:val="Celda"/>
            </w:pPr>
          </w:p>
        </w:tc>
        <w:tc>
          <w:tcPr>
            <w:tcW w:w="2410" w:type="dxa"/>
          </w:tcPr>
          <w:p>
            <w:pPr>
              <w:pStyle w:val="Celda"/>
            </w:pPr>
            <w:r>
              <w:t xml:space="preserve">Tratamientos con datos personales.</w:t>
            </w:r>
          </w:p>
        </w:tc>
      </w:tr>
      <w:tr>
        <w:tc>
          <w:tcPr>
            <w:tcW w:w="2410" w:type="dxa"/>
          </w:tcPr>
          <w:p>
            <w:pPr>
              <w:pStyle w:val="Celda"/>
            </w:pPr>
            <w:r>
              <w:t xml:space="preserve">Personas (recursos humanos)</w:t>
            </w:r>
          </w:p>
        </w:tc>
        <w:tc>
          <w:tcPr>
            <w:tcW w:w="2410" w:type="dxa"/>
          </w:tcPr>
          <w:p>
            <w:pPr>
              <w:pStyle w:val="Celda"/>
            </w:pPr>
          </w:p>
        </w:tc>
        <w:tc>
          <w:tcPr>
            <w:tcW w:w="2410" w:type="dxa"/>
          </w:tcPr>
          <w:p>
            <w:pPr>
              <w:pStyle w:val="Celda"/>
            </w:pPr>
          </w:p>
        </w:tc>
        <w:tc>
          <w:tcPr>
            <w:tcW w:w="2410" w:type="dxa"/>
          </w:tcPr>
          <w:p>
            <w:pPr>
              <w:pStyle w:val="Celda"/>
            </w:pPr>
            <w:r>
              <w:t xml:space="preserve">Efecto en el trabajo, formación y representación de los trabajadores.</w:t>
            </w:r>
          </w:p>
        </w:tc>
      </w:tr>
      <w:tr>
        <w:tc>
          <w:tcPr>
            <w:tcW w:w="2410" w:type="dxa"/>
          </w:tcPr>
          <w:p>
            <w:pPr>
              <w:pStyle w:val="Celda"/>
            </w:pPr>
            <w:r>
              <w:t xml:space="preserve">Control de gestión</w:t>
            </w:r>
          </w:p>
        </w:tc>
        <w:tc>
          <w:tcPr>
            <w:tcW w:w="2410" w:type="dxa"/>
          </w:tcPr>
          <w:p>
            <w:pPr>
              <w:pStyle w:val="Celda"/>
            </w:pPr>
          </w:p>
        </w:tc>
        <w:tc>
          <w:tcPr>
            <w:tcW w:w="2410" w:type="dxa"/>
          </w:tcPr>
          <w:p>
            <w:pPr>
              <w:pStyle w:val="Celda"/>
            </w:pPr>
          </w:p>
        </w:tc>
        <w:tc>
          <w:tcPr>
            <w:tcW w:w="2410" w:type="dxa"/>
          </w:tcPr>
          <w:p>
            <w:pPr>
              <w:pStyle w:val="Celda"/>
            </w:pPr>
            <w:r>
              <w:t xml:space="preserve">Valor y coste con su estado.</w:t>
            </w:r>
          </w:p>
        </w:tc>
      </w:tr>
      <w:tr>
        <w:tc>
          <w:tcPr>
            <w:tcW w:w="2410" w:type="dxa"/>
          </w:tcPr>
          <w:p>
            <w:pPr>
              <w:pStyle w:val="Celda"/>
            </w:pPr>
            <w:r>
              <w:t xml:space="preserve">Asesoría jurídica</w:t>
            </w:r>
          </w:p>
        </w:tc>
        <w:tc>
          <w:tcPr>
            <w:tcW w:w="2410" w:type="dxa"/>
          </w:tcPr>
          <w:p>
            <w:pPr>
              <w:pStyle w:val="Celda"/>
            </w:pPr>
          </w:p>
        </w:tc>
        <w:tc>
          <w:tcPr>
            <w:tcW w:w="2410" w:type="dxa"/>
          </w:tcPr>
          <w:p>
            <w:pPr>
              <w:pStyle w:val="Celda"/>
            </w:pPr>
          </w:p>
        </w:tc>
        <w:tc>
          <w:tcPr>
            <w:tcW w:w="2410" w:type="dxa"/>
          </w:tcPr>
          <w:p>
            <w:pPr>
              <w:pStyle w:val="Celda"/>
            </w:pPr>
            <w:r>
              <w:t xml:space="preserve">Clasificación regulatoria de los sistemas prioritarios.</w:t>
            </w:r>
          </w:p>
        </w:tc>
      </w:tr>
      <w:tr>
        <w:tc>
          <w:tcPr>
            <w:tcW w:w="2410" w:type="dxa"/>
          </w:tcPr>
          <w:p>
            <w:pPr>
              <w:pStyle w:val="Celda"/>
            </w:pPr>
            <w:r>
              <w:rPr>
                <w:i/>
              </w:rPr>
              <w:t xml:space="preserve">(ejemplo ilustrativo)</w:t>
            </w:r>
            <w:r>
              <w:t xml:space="preserve"> Control de gestión</w:t>
            </w:r>
          </w:p>
        </w:tc>
        <w:tc>
          <w:tcPr>
            <w:tcW w:w="2410" w:type="dxa"/>
          </w:tcPr>
          <w:p>
            <w:pPr>
              <w:pStyle w:val="Celda"/>
            </w:pPr>
            <w:r>
              <w:t xml:space="preserve">Jefa de control de gestión</w:t>
            </w:r>
          </w:p>
        </w:tc>
        <w:tc>
          <w:tcPr>
            <w:tcW w:w="2410" w:type="dxa"/>
          </w:tcPr>
          <w:p>
            <w:pPr>
              <w:pStyle w:val="Celda"/>
            </w:pPr>
            <w:r>
              <w:t xml:space="preserve">20 % durante 13 semanas</w:t>
            </w:r>
          </w:p>
        </w:tc>
        <w:tc>
          <w:tcPr>
            <w:tcW w:w="2410" w:type="dxa"/>
          </w:tcPr>
          <w:p>
            <w:pPr>
              <w:pStyle w:val="Celda"/>
            </w:pPr>
            <w:r>
              <w:t xml:space="preserve">Validación de cifras del informe C1</w:t>
            </w:r>
          </w:p>
        </w:tc>
      </w:tr>
    </w:tbl>
    <w:p>
      <w:pPr>
        <w:pStyle w:val="Espacio"/>
      </w:pPr>
    </w:p>
    <w:p>
      <w:pPr>
        <w:pStyle w:val="Separador"/>
      </w:pPr>
    </w:p>
    <w:p>
      <w:pPr>
        <w:pStyle w:val="Heading1"/>
      </w:pPr>
      <w:r>
        <w:t xml:space="preserve">5. Recursos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Recurso</w:t>
            </w:r>
          </w:p>
        </w:tc>
        <w:tc>
          <w:tcPr>
            <w:tcW w:w="3213" w:type="dxa"/>
            <w:shd w:val="clear" w:color="auto" w:fill="F2DFCE"/>
          </w:tcPr>
          <w:p>
            <w:pPr>
              <w:pStyle w:val="Celda"/>
            </w:pPr>
            <w:r>
              <w:rPr>
                <w:b/>
              </w:rPr>
              <w:t xml:space="preserve">Importe o dotación</w:t>
            </w:r>
          </w:p>
        </w:tc>
        <w:tc>
          <w:tcPr>
            <w:tcW w:w="3213" w:type="dxa"/>
            <w:shd w:val="clear" w:color="auto" w:fill="F2DFCE"/>
          </w:tcPr>
          <w:p>
            <w:pPr>
              <w:pStyle w:val="Celda"/>
            </w:pPr>
            <w:r>
              <w:rPr>
                <w:b/>
              </w:rPr>
              <w:t xml:space="preserve">Guía</w:t>
            </w:r>
          </w:p>
        </w:tc>
      </w:tr>
      <w:tr>
        <w:tc>
          <w:tcPr>
            <w:tcW w:w="3213" w:type="dxa"/>
          </w:tcPr>
          <w:p>
            <w:pPr>
              <w:pStyle w:val="Celda"/>
            </w:pPr>
            <w:r>
              <w:t xml:space="preserve">Presupuesto de la implantación</w:t>
            </w:r>
          </w:p>
        </w:tc>
        <w:tc>
          <w:tcPr>
            <w:tcW w:w="3213" w:type="dxa"/>
          </w:tcPr>
          <w:p>
            <w:pPr>
              <w:pStyle w:val="Celda"/>
            </w:pPr>
          </w:p>
        </w:tc>
        <w:tc>
          <w:tcPr>
            <w:tcW w:w="3213" w:type="dxa"/>
          </w:tcPr>
          <w:p>
            <w:pPr>
              <w:pStyle w:val="Celda"/>
            </w:pPr>
            <w:r>
              <w:t xml:space="preserve">Horas internas, apoyo externo, formación y herramientas.</w:t>
            </w:r>
          </w:p>
        </w:tc>
      </w:tr>
      <w:tr>
        <w:tc>
          <w:tcPr>
            <w:tcW w:w="3213" w:type="dxa"/>
          </w:tcPr>
          <w:p>
            <w:pPr>
              <w:pStyle w:val="Celda"/>
            </w:pPr>
            <w:r>
              <w:t xml:space="preserve">Soporte de registro</w:t>
            </w:r>
          </w:p>
        </w:tc>
        <w:tc>
          <w:tcPr>
            <w:tcW w:w="3213" w:type="dxa"/>
          </w:tcPr>
          <w:p>
            <w:pPr>
              <w:pStyle w:val="Celda"/>
            </w:pPr>
            <w:r>
              <w:t xml:space="preserve">T01 y T02 · Hoja de cálculo</w:t>
            </w:r>
          </w:p>
        </w:tc>
        <w:tc>
          <w:tcPr>
            <w:tcW w:w="3213" w:type="dxa"/>
          </w:tcPr>
          <w:p>
            <w:pPr>
              <w:pStyle w:val="Celda"/>
            </w:pPr>
            <w:r>
              <w:t xml:space="preserve">Con el modelo de datos de 03 §4 si no se usa T01.</w:t>
            </w:r>
          </w:p>
        </w:tc>
      </w:tr>
      <w:tr>
        <w:tc>
          <w:tcPr>
            <w:tcW w:w="3213" w:type="dxa"/>
          </w:tcPr>
          <w:p>
            <w:pPr>
              <w:pStyle w:val="Celda"/>
            </w:pPr>
            <w:r>
              <w:t xml:space="preserve">Acceso a la información</w:t>
            </w:r>
          </w:p>
        </w:tc>
        <w:tc>
          <w:tcPr>
            <w:tcW w:w="3213" w:type="dxa"/>
          </w:tcPr>
          <w:p>
            <w:pPr>
              <w:pStyle w:val="Celda"/>
            </w:pPr>
          </w:p>
        </w:tc>
        <w:tc>
          <w:tcPr>
            <w:tcW w:w="3213" w:type="dxa"/>
          </w:tcPr>
          <w:p>
            <w:pPr>
              <w:pStyle w:val="Celda"/>
            </w:pPr>
            <w:r>
              <w:t xml:space="preserve">Compras, licencias, contratos con proveedores, arquitectura, registro de riesgos y presupuestos (90 §3). Indicar quién lo garantiza.</w:t>
            </w:r>
          </w:p>
        </w:tc>
      </w:tr>
      <w:tr>
        <w:tc>
          <w:tcPr>
            <w:tcW w:w="3213" w:type="dxa"/>
          </w:tcPr>
          <w:p>
            <w:pPr>
              <w:pStyle w:val="Celda"/>
            </w:pPr>
            <w:r>
              <w:t xml:space="preserve">Tiempo de los órganos</w:t>
            </w:r>
          </w:p>
        </w:tc>
        <w:tc>
          <w:tcPr>
            <w:tcW w:w="3213" w:type="dxa"/>
          </w:tcPr>
          <w:p>
            <w:pPr>
              <w:pStyle w:val="Celda"/>
            </w:pPr>
          </w:p>
        </w:tc>
        <w:tc>
          <w:tcPr>
            <w:tcW w:w="3213" w:type="dxa"/>
          </w:tcPr>
          <w:p>
            <w:pPr>
              <w:pStyle w:val="Celda"/>
            </w:pPr>
            <w:r>
              <w:t xml:space="preserve">Sesiones reservadas del comité de dirección y del consejo.</w:t>
            </w:r>
          </w:p>
        </w:tc>
      </w:tr>
    </w:tbl>
    <w:p>
      <w:pPr>
        <w:pStyle w:val="Espacio"/>
      </w:pPr>
    </w:p>
    <w:p>
      <w:pPr>
        <w:pStyle w:val="Separador"/>
      </w:pPr>
    </w:p>
    <w:p>
      <w:pPr>
        <w:pStyle w:val="Heading1"/>
      </w:pPr>
      <w:r>
        <w:t xml:space="preserve">6. Calendario de 90 días</w:t>
      </w:r>
    </w:p>
    <w:p>
      <w:r>
        <w:t xml:space="preserve">El detalle semana a semana está en 90 §4. Aquí se fijan las fechas de la compañía.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Semana</w:t>
            </w:r>
          </w:p>
        </w:tc>
        <w:tc>
          <w:tcPr>
            <w:tcW w:w="1928" w:type="dxa"/>
            <w:shd w:val="clear" w:color="auto" w:fill="F2DFCE"/>
          </w:tcPr>
          <w:p>
            <w:pPr>
              <w:pStyle w:val="Celda"/>
            </w:pPr>
            <w:r>
              <w:rPr>
                <w:b/>
              </w:rPr>
              <w:t xml:space="preserve">Entregable principal</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Fecha prevista</w:t>
            </w:r>
          </w:p>
        </w:tc>
        <w:tc>
          <w:tcPr>
            <w:tcW w:w="1928" w:type="dxa"/>
            <w:shd w:val="clear" w:color="auto" w:fill="F2DFCE"/>
          </w:tcPr>
          <w:p>
            <w:pPr>
              <w:pStyle w:val="Celda"/>
            </w:pPr>
            <w:r>
              <w:rPr>
                <w:b/>
              </w:rPr>
              <w:t xml:space="preserve">Criterio de finalización</w:t>
            </w:r>
          </w:p>
        </w:tc>
      </w:tr>
      <w:tr>
        <w:tc>
          <w:tcPr>
            <w:tcW w:w="1928" w:type="dxa"/>
          </w:tcPr>
          <w:p>
            <w:pPr>
              <w:pStyle w:val="Celda"/>
            </w:pPr>
            <w:r>
              <w:t xml:space="preserve">1</w:t>
            </w:r>
          </w:p>
        </w:tc>
        <w:tc>
          <w:tcPr>
            <w:tcW w:w="1928" w:type="dxa"/>
          </w:tcPr>
          <w:p>
            <w:pPr>
              <w:pStyle w:val="Celda"/>
            </w:pPr>
            <w:r>
              <w:t xml:space="preserve">Mandato firmado; equipo núcleo; calendario de órganos; comunicación interna; solicitud de evidencias; fecha de corte.</w:t>
            </w:r>
          </w:p>
        </w:tc>
        <w:tc>
          <w:tcPr>
            <w:tcW w:w="1928" w:type="dxa"/>
          </w:tcPr>
          <w:p>
            <w:pPr>
              <w:pStyle w:val="Celda"/>
            </w:pPr>
            <w:r>
              <w:t xml:space="preserve">Patrocinador y responsable de implantación</w:t>
            </w:r>
          </w:p>
        </w:tc>
        <w:tc>
          <w:tcPr>
            <w:tcW w:w="1928" w:type="dxa"/>
          </w:tcPr>
          <w:p>
            <w:pPr>
              <w:pStyle w:val="Celda"/>
            </w:pPr>
          </w:p>
        </w:tc>
        <w:tc>
          <w:tcPr>
            <w:tcW w:w="1928" w:type="dxa"/>
          </w:tcPr>
          <w:p>
            <w:pPr>
              <w:pStyle w:val="Celda"/>
            </w:pPr>
            <w:r>
              <w:t xml:space="preserve">Sesión del consejo reservada; solicitud de evidencias enviada.</w:t>
            </w:r>
          </w:p>
        </w:tc>
      </w:tr>
      <w:tr>
        <w:tc>
          <w:tcPr>
            <w:tcW w:w="1928" w:type="dxa"/>
          </w:tcPr>
          <w:p>
            <w:pPr>
              <w:pStyle w:val="Celda"/>
            </w:pPr>
            <w:r>
              <w:t xml:space="preserve">2</w:t>
            </w:r>
          </w:p>
        </w:tc>
        <w:tc>
          <w:tcPr>
            <w:tcW w:w="1928" w:type="dxa"/>
          </w:tcPr>
          <w:p>
            <w:pPr>
              <w:pStyle w:val="Celda"/>
            </w:pPr>
            <w:r>
              <w:t xml:space="preserve">Inventario con estado real y declaraciones de completitud (anexo, sección 10).</w:t>
            </w:r>
          </w:p>
        </w:tc>
        <w:tc>
          <w:tcPr>
            <w:tcW w:w="1928" w:type="dxa"/>
          </w:tcPr>
          <w:p>
            <w:pPr>
              <w:pStyle w:val="Celda"/>
            </w:pPr>
            <w:r>
              <w:t xml:space="preserve">Oficina de IA con tecnología, compras y seguridad</w:t>
            </w:r>
          </w:p>
        </w:tc>
        <w:tc>
          <w:tcPr>
            <w:tcW w:w="1928" w:type="dxa"/>
          </w:tcPr>
          <w:p>
            <w:pPr>
              <w:pStyle w:val="Celda"/>
            </w:pPr>
          </w:p>
        </w:tc>
        <w:tc>
          <w:tcPr>
            <w:tcW w:w="1928" w:type="dxa"/>
          </w:tcPr>
          <w:p>
            <w:pPr>
              <w:pStyle w:val="Celda"/>
            </w:pPr>
            <w:r>
              <w:t xml:space="preserve">Todas las áreas han firmado; posibles prácticas prohibidas escaladas.</w:t>
            </w:r>
          </w:p>
        </w:tc>
      </w:tr>
      <w:tr>
        <w:tc>
          <w:tcPr>
            <w:tcW w:w="1928" w:type="dxa"/>
          </w:tcPr>
          <w:p>
            <w:pPr>
              <w:pStyle w:val="Celda"/>
            </w:pPr>
            <w:r>
              <w:t xml:space="preserve">4</w:t>
            </w:r>
          </w:p>
        </w:tc>
        <w:tc>
          <w:tcPr>
            <w:tcW w:w="1928" w:type="dxa"/>
          </w:tcPr>
          <w:p>
            <w:pPr>
              <w:pStyle w:val="Celda"/>
            </w:pPr>
            <w:r>
              <w:rPr>
                <w:b/>
              </w:rPr>
              <w:t xml:space="preserve">Hito 1:</w:t>
            </w:r>
            <w:r>
              <w:t xml:space="preserve"> informe de diagnóstico C1 (P33) verificado y aceptado.</w:t>
            </w:r>
          </w:p>
        </w:tc>
        <w:tc>
          <w:tcPr>
            <w:tcW w:w="1928" w:type="dxa"/>
          </w:tcPr>
          <w:p>
            <w:pPr>
              <w:pStyle w:val="Celda"/>
            </w:pPr>
            <w:r>
              <w:t xml:space="preserve">Evaluador principal; verificador independiente</w:t>
            </w:r>
          </w:p>
        </w:tc>
        <w:tc>
          <w:tcPr>
            <w:tcW w:w="1928" w:type="dxa"/>
          </w:tcPr>
          <w:p>
            <w:pPr>
              <w:pStyle w:val="Celda"/>
            </w:pPr>
          </w:p>
        </w:tc>
        <w:tc>
          <w:tcPr>
            <w:tcW w:w="1928" w:type="dxa"/>
          </w:tcPr>
          <w:p>
            <w:pPr>
              <w:pStyle w:val="Celda"/>
            </w:pPr>
            <w:r>
              <w:t xml:space="preserve">Informe aceptado por el patrocinador y el comité.</w:t>
            </w:r>
          </w:p>
        </w:tc>
      </w:tr>
      <w:tr>
        <w:tc>
          <w:tcPr>
            <w:tcW w:w="1928" w:type="dxa"/>
          </w:tcPr>
          <w:p>
            <w:pPr>
              <w:pStyle w:val="Celda"/>
            </w:pPr>
            <w:r>
              <w:t xml:space="preserve">8</w:t>
            </w:r>
          </w:p>
        </w:tc>
        <w:tc>
          <w:tcPr>
            <w:tcW w:w="1928" w:type="dxa"/>
          </w:tcPr>
          <w:p>
            <w:pPr>
              <w:pStyle w:val="Celda"/>
            </w:pPr>
            <w:r>
              <w:rPr>
                <w:b/>
              </w:rPr>
              <w:t xml:space="preserve">Hito 2:</w:t>
            </w:r>
            <w:r>
              <w:t xml:space="preserve"> mapa de riesgos y oportunidades por esfera aprobado; propuesta de C2 (P35) lista.</w:t>
            </w:r>
          </w:p>
        </w:tc>
        <w:tc>
          <w:tcPr>
            <w:tcW w:w="1928" w:type="dxa"/>
          </w:tcPr>
          <w:p>
            <w:pPr>
              <w:pStyle w:val="Celda"/>
            </w:pPr>
            <w:r>
              <w:t xml:space="preserve">Patrocinador</w:t>
            </w:r>
          </w:p>
        </w:tc>
        <w:tc>
          <w:tcPr>
            <w:tcW w:w="1928" w:type="dxa"/>
          </w:tcPr>
          <w:p>
            <w:pPr>
              <w:pStyle w:val="Celda"/>
            </w:pPr>
          </w:p>
        </w:tc>
        <w:tc>
          <w:tcPr>
            <w:tcW w:w="1928" w:type="dxa"/>
          </w:tcPr>
          <w:p>
            <w:pPr>
              <w:pStyle w:val="Celda"/>
            </w:pPr>
            <w:r>
              <w:t xml:space="preserve">Borrador con los doce componentes de 13 §2.</w:t>
            </w:r>
          </w:p>
        </w:tc>
      </w:tr>
      <w:tr>
        <w:tc>
          <w:tcPr>
            <w:tcW w:w="1928" w:type="dxa"/>
          </w:tcPr>
          <w:p>
            <w:pPr>
              <w:pStyle w:val="Celda"/>
            </w:pPr>
            <w:r>
              <w:t xml:space="preserve">12</w:t>
            </w:r>
          </w:p>
        </w:tc>
        <w:tc>
          <w:tcPr>
            <w:tcW w:w="1928" w:type="dxa"/>
          </w:tcPr>
          <w:p>
            <w:pPr>
              <w:pStyle w:val="Celda"/>
            </w:pPr>
            <w:r>
              <w:t xml:space="preserve">Aprobación de C2 por el consejo y de C3 (P36) por el comité de IA.</w:t>
            </w:r>
          </w:p>
        </w:tc>
        <w:tc>
          <w:tcPr>
            <w:tcW w:w="1928" w:type="dxa"/>
          </w:tcPr>
          <w:p>
            <w:pPr>
              <w:pStyle w:val="Celda"/>
            </w:pPr>
            <w:r>
              <w:t xml:space="preserve">Patrocinador; comité de IA; consejo</w:t>
            </w:r>
          </w:p>
        </w:tc>
        <w:tc>
          <w:tcPr>
            <w:tcW w:w="1928" w:type="dxa"/>
          </w:tcPr>
          <w:p>
            <w:pPr>
              <w:pStyle w:val="Celda"/>
            </w:pPr>
          </w:p>
        </w:tc>
        <w:tc>
          <w:tcPr>
            <w:tcW w:w="1928" w:type="dxa"/>
          </w:tcPr>
          <w:p>
            <w:pPr>
              <w:pStyle w:val="Celda"/>
            </w:pPr>
            <w:r>
              <w:t xml:space="preserve">Actas con las aprobaciones.</w:t>
            </w:r>
          </w:p>
        </w:tc>
      </w:tr>
      <w:tr>
        <w:tc>
          <w:tcPr>
            <w:tcW w:w="1928" w:type="dxa"/>
          </w:tcPr>
          <w:p>
            <w:pPr>
              <w:pStyle w:val="Celda"/>
            </w:pPr>
            <w:r>
              <w:t xml:space="preserve">13</w:t>
            </w:r>
          </w:p>
        </w:tc>
        <w:tc>
          <w:tcPr>
            <w:tcW w:w="1928" w:type="dxa"/>
          </w:tcPr>
          <w:p>
            <w:pPr>
              <w:pStyle w:val="Celda"/>
            </w:pPr>
            <w:r>
              <w:rPr>
                <w:b/>
              </w:rPr>
              <w:t xml:space="preserve">Hito 3:</w:t>
            </w:r>
            <w:r>
              <w:t xml:space="preserve"> criterios de 90 §4.5 cumplidos; hoja de ruta de 6–18 meses aprobada.</w:t>
            </w:r>
          </w:p>
        </w:tc>
        <w:tc>
          <w:tcPr>
            <w:tcW w:w="1928" w:type="dxa"/>
          </w:tcPr>
          <w:p>
            <w:pPr>
              <w:pStyle w:val="Celda"/>
            </w:pPr>
            <w:r>
              <w:t xml:space="preserve">Responsable de implantación</w:t>
            </w:r>
          </w:p>
        </w:tc>
        <w:tc>
          <w:tcPr>
            <w:tcW w:w="1928" w:type="dxa"/>
          </w:tcPr>
          <w:p>
            <w:pPr>
              <w:pStyle w:val="Celda"/>
            </w:pPr>
          </w:p>
        </w:tc>
        <w:tc>
          <w:tcPr>
            <w:tcW w:w="1928" w:type="dxa"/>
          </w:tcPr>
          <w:p>
            <w:pPr>
              <w:pStyle w:val="Celda"/>
            </w:pPr>
            <w:r>
              <w:t xml:space="preserve">Sección 9 de esta plantilla completa.</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reservada de la sesión del consejo</w:t>
            </w:r>
          </w:p>
        </w:tc>
        <w:tc>
          <w:tcPr>
            <w:tcW w:w="3213" w:type="dxa"/>
          </w:tcPr>
          <w:p>
            <w:pPr>
              <w:pStyle w:val="Celda"/>
            </w:pPr>
          </w:p>
        </w:tc>
        <w:tc>
          <w:tcPr>
            <w:tcW w:w="3213" w:type="dxa"/>
          </w:tcPr>
          <w:p>
            <w:pPr>
              <w:pStyle w:val="Celda"/>
            </w:pPr>
            <w:r>
              <w:t xml:space="preserve">Semanas 12–13.</w:t>
            </w:r>
          </w:p>
        </w:tc>
      </w:tr>
      <w:tr>
        <w:tc>
          <w:tcPr>
            <w:tcW w:w="3213" w:type="dxa"/>
          </w:tcPr>
          <w:p>
            <w:pPr>
              <w:pStyle w:val="Celda"/>
            </w:pPr>
            <w:r>
              <w:t xml:space="preserve">Plan si el consejo no aprueba C2 en la semana 12</w:t>
            </w:r>
          </w:p>
        </w:tc>
        <w:tc>
          <w:tcPr>
            <w:tcW w:w="3213" w:type="dxa"/>
          </w:tcPr>
          <w:p>
            <w:pPr>
              <w:pStyle w:val="Celda"/>
            </w:pPr>
          </w:p>
        </w:tc>
        <w:tc>
          <w:tcPr>
            <w:tcW w:w="3213" w:type="dxa"/>
          </w:tcPr>
          <w:p>
            <w:pPr>
              <w:pStyle w:val="Celda"/>
            </w:pPr>
            <w:r>
              <w:t xml:space="preserve">Criterios provisionales aprobados por el comité, sin aprobar iniciativas de Transformar, y aprobación en la siguiente sesión (90 §4.4).</w:t>
            </w:r>
          </w:p>
        </w:tc>
      </w:tr>
    </w:tbl>
    <w:p>
      <w:pPr>
        <w:pStyle w:val="Espacio"/>
      </w:pPr>
    </w:p>
    <w:p>
      <w:pPr>
        <w:pStyle w:val="Separador"/>
      </w:pPr>
    </w:p>
    <w:p>
      <w:pPr>
        <w:pStyle w:val="Heading1"/>
      </w:pPr>
      <w:r>
        <w:t xml:space="preserve">7. Órganos que se constituyen</w:t>
      </w:r>
    </w:p>
    <w:p>
      <w:r>
        <w:t xml:space="preserve">SEVEN-G no crea un gobierno paralelo: siempre que sea posible, un órgano existente asume la función con el mandato ampliado (01 §8.3; 30 §10). Los mandatos tipo están en 30 §3.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Órgano o función</w:t>
            </w:r>
          </w:p>
        </w:tc>
        <w:tc>
          <w:tcPr>
            <w:tcW w:w="1928" w:type="dxa"/>
            <w:shd w:val="clear" w:color="auto" w:fill="F2DFCE"/>
          </w:tcPr>
          <w:p>
            <w:pPr>
              <w:pStyle w:val="Celda"/>
            </w:pPr>
            <w:r>
              <w:rPr>
                <w:b/>
              </w:rPr>
              <w:t xml:space="preserve">Órgano existente que la asume, o nuevo</w:t>
            </w:r>
          </w:p>
        </w:tc>
        <w:tc>
          <w:tcPr>
            <w:tcW w:w="1928" w:type="dxa"/>
            <w:shd w:val="clear" w:color="auto" w:fill="F2DFCE"/>
          </w:tcPr>
          <w:p>
            <w:pPr>
              <w:pStyle w:val="Celda"/>
            </w:pPr>
            <w:r>
              <w:rPr>
                <w:b/>
              </w:rPr>
              <w:t xml:space="preserve">Presidencia o responsable</w:t>
            </w:r>
          </w:p>
        </w:tc>
        <w:tc>
          <w:tcPr>
            <w:tcW w:w="1928" w:type="dxa"/>
            <w:shd w:val="clear" w:color="auto" w:fill="F2DFCE"/>
          </w:tcPr>
          <w:p>
            <w:pPr>
              <w:pStyle w:val="Celda"/>
            </w:pPr>
            <w:r>
              <w:rPr>
                <w:b/>
              </w:rPr>
              <w:t xml:space="preserve">Fecha prevista del mandato</w:t>
            </w:r>
          </w:p>
        </w:tc>
        <w:tc>
          <w:tcPr>
            <w:tcW w:w="1928" w:type="dxa"/>
            <w:shd w:val="clear" w:color="auto" w:fill="F2DFCE"/>
          </w:tcPr>
          <w:p>
            <w:pPr>
              <w:pStyle w:val="Celda"/>
            </w:pPr>
            <w:r>
              <w:rPr>
                <w:b/>
              </w:rPr>
              <w:t xml:space="preserve">Referencia</w:t>
            </w:r>
          </w:p>
        </w:tc>
      </w:tr>
      <w:tr>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r>
              <w:t xml:space="preserve">Semana 9</w:t>
            </w:r>
          </w:p>
        </w:tc>
        <w:tc>
          <w:tcPr>
            <w:tcW w:w="1928" w:type="dxa"/>
          </w:tcPr>
          <w:p>
            <w:pPr>
              <w:pStyle w:val="Celda"/>
            </w:pPr>
            <w:r>
              <w:t xml:space="preserve">30 §3.3</w:t>
            </w:r>
          </w:p>
        </w:tc>
      </w:tr>
      <w:tr>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r>
              <w:t xml:space="preserve">Semana 9</w:t>
            </w:r>
          </w:p>
        </w:tc>
        <w:tc>
          <w:tcPr>
            <w:tcW w:w="1928" w:type="dxa"/>
          </w:tcPr>
          <w:p>
            <w:pPr>
              <w:pStyle w:val="Celda"/>
            </w:pPr>
            <w:r>
              <w:t xml:space="preserve">30 §3.4</w:t>
            </w:r>
          </w:p>
        </w:tc>
      </w:tr>
      <w:tr>
        <w:tc>
          <w:tcPr>
            <w:tcW w:w="1928" w:type="dxa"/>
          </w:tcPr>
          <w:p>
            <w:pPr>
              <w:pStyle w:val="Celda"/>
            </w:pPr>
            <w:r>
              <w:t xml:space="preserve">Comisión delegada que supervisa la IA</w:t>
            </w:r>
          </w:p>
        </w:tc>
        <w:tc>
          <w:tcPr>
            <w:tcW w:w="1928" w:type="dxa"/>
          </w:tcPr>
          <w:p>
            <w:pPr>
              <w:pStyle w:val="Celda"/>
            </w:pPr>
          </w:p>
        </w:tc>
        <w:tc>
          <w:tcPr>
            <w:tcW w:w="1928" w:type="dxa"/>
          </w:tcPr>
          <w:p>
            <w:pPr>
              <w:pStyle w:val="Celda"/>
            </w:pPr>
          </w:p>
        </w:tc>
        <w:tc>
          <w:tcPr>
            <w:tcW w:w="1928" w:type="dxa"/>
          </w:tcPr>
          <w:p>
            <w:pPr>
              <w:pStyle w:val="Celda"/>
            </w:pPr>
            <w:r>
              <w:t xml:space="preserve">Semana 9</w:t>
            </w:r>
          </w:p>
        </w:tc>
        <w:tc>
          <w:tcPr>
            <w:tcW w:w="1928" w:type="dxa"/>
          </w:tcPr>
          <w:p>
            <w:pPr>
              <w:pStyle w:val="Celda"/>
            </w:pPr>
            <w:r>
              <w:t xml:space="preserve">30 §3.2</w:t>
            </w:r>
          </w:p>
        </w:tc>
      </w:tr>
      <w:tr>
        <w:tc>
          <w:tcPr>
            <w:tcW w:w="1928" w:type="dxa"/>
          </w:tcPr>
          <w:p>
            <w:pPr>
              <w:pStyle w:val="Celda"/>
            </w:pPr>
            <w:r>
              <w:t xml:space="preserve">Coordinador único de la segunda línea para la IA</w:t>
            </w:r>
          </w:p>
        </w:tc>
        <w:tc>
          <w:tcPr>
            <w:tcW w:w="1928" w:type="dxa"/>
          </w:tcPr>
          <w:p>
            <w:pPr>
              <w:pStyle w:val="Celda"/>
            </w:pPr>
          </w:p>
        </w:tc>
        <w:tc>
          <w:tcPr>
            <w:tcW w:w="1928" w:type="dxa"/>
          </w:tcPr>
          <w:p>
            <w:pPr>
              <w:pStyle w:val="Celda"/>
            </w:pPr>
          </w:p>
        </w:tc>
        <w:tc>
          <w:tcPr>
            <w:tcW w:w="1928" w:type="dxa"/>
          </w:tcPr>
          <w:p>
            <w:pPr>
              <w:pStyle w:val="Celda"/>
            </w:pPr>
            <w:r>
              <w:t xml:space="preserve">Semana 9</w:t>
            </w:r>
          </w:p>
        </w:tc>
        <w:tc>
          <w:tcPr>
            <w:tcW w:w="1928" w:type="dxa"/>
          </w:tcPr>
          <w:p>
            <w:pPr>
              <w:pStyle w:val="Celda"/>
            </w:pPr>
            <w:r>
              <w:t xml:space="preserve">30 §3.5</w:t>
            </w:r>
          </w:p>
        </w:tc>
      </w:tr>
      <w:tr>
        <w:tc>
          <w:tcPr>
            <w:tcW w:w="1928" w:type="dxa"/>
          </w:tcPr>
          <w:p>
            <w:pPr>
              <w:pStyle w:val="Celda"/>
            </w:pPr>
            <w:r>
              <w:t xml:space="preserve">Auditor de IA designado</w:t>
            </w:r>
          </w:p>
        </w:tc>
        <w:tc>
          <w:tcPr>
            <w:tcW w:w="1928" w:type="dxa"/>
          </w:tcPr>
          <w:p>
            <w:pPr>
              <w:pStyle w:val="Celda"/>
            </w:pPr>
          </w:p>
        </w:tc>
        <w:tc>
          <w:tcPr>
            <w:tcW w:w="1928" w:type="dxa"/>
          </w:tcPr>
          <w:p>
            <w:pPr>
              <w:pStyle w:val="Celda"/>
            </w:pPr>
          </w:p>
        </w:tc>
        <w:tc>
          <w:tcPr>
            <w:tcW w:w="1928" w:type="dxa"/>
          </w:tcPr>
          <w:p>
            <w:pPr>
              <w:pStyle w:val="Celda"/>
            </w:pPr>
            <w:r>
              <w:t xml:space="preserve">Semana 9</w:t>
            </w:r>
          </w:p>
        </w:tc>
        <w:tc>
          <w:tcPr>
            <w:tcW w:w="1928" w:type="dxa"/>
          </w:tcPr>
          <w:p>
            <w:pPr>
              <w:pStyle w:val="Celda"/>
            </w:pPr>
            <w:r>
              <w:t xml:space="preserve">01 §8.1; 30 §3.5</w:t>
            </w:r>
          </w:p>
        </w:tc>
      </w:tr>
      <w:tr>
        <w:tc>
          <w:tcPr>
            <w:tcW w:w="1928" w:type="dxa"/>
          </w:tcPr>
          <w:p>
            <w:pPr>
              <w:pStyle w:val="Celda"/>
            </w:pPr>
            <w:r>
              <w:rPr>
                <w:i/>
              </w:rPr>
              <w:t xml:space="preserve">(ejemplo ilustrativo)</w:t>
            </w:r>
            <w:r>
              <w:t xml:space="preserve"> Comité de IA</w:t>
            </w:r>
          </w:p>
        </w:tc>
        <w:tc>
          <w:tcPr>
            <w:tcW w:w="1928" w:type="dxa"/>
          </w:tcPr>
          <w:p>
            <w:pPr>
              <w:pStyle w:val="Celda"/>
            </w:pPr>
            <w:r>
              <w:t xml:space="preserve">Comité de dirección, con punto mensual propio</w:t>
            </w:r>
          </w:p>
        </w:tc>
        <w:tc>
          <w:tcPr>
            <w:tcW w:w="1928" w:type="dxa"/>
          </w:tcPr>
          <w:p>
            <w:pPr>
              <w:pStyle w:val="Celda"/>
            </w:pPr>
            <w:r>
              <w:t xml:space="preserve">Director general de operaciones</w:t>
            </w:r>
          </w:p>
        </w:tc>
        <w:tc>
          <w:tcPr>
            <w:tcW w:w="1928" w:type="dxa"/>
          </w:tcPr>
          <w:p>
            <w:pPr>
              <w:pStyle w:val="Celda"/>
            </w:pPr>
            <w:r>
              <w:t xml:space="preserve">04-12-2026</w:t>
            </w:r>
          </w:p>
        </w:tc>
        <w:tc>
          <w:tcPr>
            <w:tcW w:w="1928" w:type="dxa"/>
          </w:tcPr>
          <w:p>
            <w:pPr>
              <w:pStyle w:val="Celda"/>
            </w:pPr>
            <w:r>
              <w:t xml:space="preserve">30 §10</w:t>
            </w:r>
          </w:p>
        </w:tc>
      </w:tr>
    </w:tbl>
    <w:p>
      <w:pPr>
        <w:pStyle w:val="Espacio"/>
      </w:pPr>
    </w:p>
    <w:p>
      <w:pPr>
        <w:pStyle w:val="Separador"/>
      </w:pPr>
    </w:p>
    <w:p>
      <w:pPr>
        <w:pStyle w:val="Heading1"/>
      </w:pPr>
      <w:r>
        <w:t xml:space="preserve">8. Indicadores de implantación</w:t>
      </w:r>
    </w:p>
    <w:p>
      <w:r>
        <w:t xml:space="preserve">Definiciones de 90 §9. Los objetivos los fija la compañía; los de 90 §9 son orientativos.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Indicador</w:t>
            </w:r>
          </w:p>
        </w:tc>
        <w:tc>
          <w:tcPr>
            <w:tcW w:w="1928" w:type="dxa"/>
            <w:shd w:val="clear" w:color="auto" w:fill="F2DFCE"/>
          </w:tcPr>
          <w:p>
            <w:pPr>
              <w:pStyle w:val="Celda"/>
            </w:pPr>
            <w:r>
              <w:rPr>
                <w:b/>
              </w:rPr>
              <w:t xml:space="preserve">Objetivo a 90 días</w:t>
            </w:r>
          </w:p>
        </w:tc>
        <w:tc>
          <w:tcPr>
            <w:tcW w:w="1928" w:type="dxa"/>
            <w:shd w:val="clear" w:color="auto" w:fill="F2DFCE"/>
          </w:tcPr>
          <w:p>
            <w:pPr>
              <w:pStyle w:val="Celda"/>
            </w:pPr>
            <w:r>
              <w:rPr>
                <w:b/>
              </w:rPr>
              <w:t xml:space="preserve">Objetivo a 12 meses</w:t>
            </w:r>
          </w:p>
        </w:tc>
        <w:tc>
          <w:tcPr>
            <w:tcW w:w="1928" w:type="dxa"/>
            <w:shd w:val="clear" w:color="auto" w:fill="F2DFCE"/>
          </w:tcPr>
          <w:p>
            <w:pPr>
              <w:pStyle w:val="Celda"/>
            </w:pPr>
            <w:r>
              <w:rPr>
                <w:b/>
              </w:rPr>
              <w:t xml:space="preserve">Fuente</w:t>
            </w:r>
          </w:p>
        </w:tc>
        <w:tc>
          <w:tcPr>
            <w:tcW w:w="1928" w:type="dxa"/>
            <w:shd w:val="clear" w:color="auto" w:fill="F2DFCE"/>
          </w:tcPr>
          <w:p>
            <w:pPr>
              <w:pStyle w:val="Celda"/>
            </w:pPr>
            <w:r>
              <w:rPr>
                <w:b/>
              </w:rPr>
              <w:t xml:space="preserve">Responsable</w:t>
            </w:r>
          </w:p>
        </w:tc>
      </w:tr>
      <w:tr>
        <w:tc>
          <w:tcPr>
            <w:tcW w:w="1928" w:type="dxa"/>
          </w:tcPr>
          <w:p>
            <w:pPr>
              <w:pStyle w:val="Celda"/>
            </w:pPr>
            <w:r>
              <w:t xml:space="preserve">Cobertura del inventario (áreas con declaración de completitud ÷ total)</w:t>
            </w:r>
          </w:p>
        </w:tc>
        <w:tc>
          <w:tcPr>
            <w:tcW w:w="1928" w:type="dxa"/>
          </w:tcPr>
          <w:p>
            <w:pPr>
              <w:pStyle w:val="Celda"/>
            </w:pPr>
          </w:p>
        </w:tc>
        <w:tc>
          <w:tcPr>
            <w:tcW w:w="1928" w:type="dxa"/>
          </w:tcPr>
          <w:p>
            <w:pPr>
              <w:pStyle w:val="Celda"/>
            </w:pPr>
          </w:p>
        </w:tc>
        <w:tc>
          <w:tcPr>
            <w:tcW w:w="1928" w:type="dxa"/>
          </w:tcPr>
          <w:p>
            <w:pPr>
              <w:pStyle w:val="Celda"/>
            </w:pPr>
            <w:r>
              <w:t xml:space="preserve">T02</w:t>
            </w:r>
          </w:p>
        </w:tc>
        <w:tc>
          <w:tcPr>
            <w:tcW w:w="1928" w:type="dxa"/>
          </w:tcPr>
          <w:p>
            <w:pPr>
              <w:pStyle w:val="Celda"/>
            </w:pPr>
          </w:p>
        </w:tc>
      </w:tr>
      <w:tr>
        <w:tc>
          <w:tcPr>
            <w:tcW w:w="1928" w:type="dxa"/>
          </w:tcPr>
          <w:p>
            <w:pPr>
              <w:pStyle w:val="Celda"/>
            </w:pPr>
            <w:r>
              <w:t xml:space="preserve">Iniciativas nuevas con G0 previo al gasto</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Sistemas con criterios Enterprise clasificados</w:t>
            </w:r>
          </w:p>
        </w:tc>
        <w:tc>
          <w:tcPr>
            <w:tcW w:w="1928" w:type="dxa"/>
          </w:tcPr>
          <w:p>
            <w:pPr>
              <w:pStyle w:val="Celda"/>
            </w:pPr>
          </w:p>
        </w:tc>
        <w:tc>
          <w:tcPr>
            <w:tcW w:w="1928" w:type="dxa"/>
          </w:tcPr>
          <w:p>
            <w:pPr>
              <w:pStyle w:val="Celda"/>
            </w:pPr>
          </w:p>
        </w:tc>
        <w:tc>
          <w:tcPr>
            <w:tcW w:w="1928" w:type="dxa"/>
          </w:tcPr>
          <w:p>
            <w:pPr>
              <w:pStyle w:val="Celda"/>
            </w:pPr>
            <w:r>
              <w:t xml:space="preserve">T02</w:t>
            </w:r>
          </w:p>
        </w:tc>
        <w:tc>
          <w:tcPr>
            <w:tcW w:w="1928" w:type="dxa"/>
          </w:tcPr>
          <w:p>
            <w:pPr>
              <w:pStyle w:val="Celda"/>
            </w:pPr>
          </w:p>
        </w:tc>
      </w:tr>
      <w:tr>
        <w:tc>
          <w:tcPr>
            <w:tcW w:w="1928" w:type="dxa"/>
          </w:tcPr>
          <w:p>
            <w:pPr>
              <w:pStyle w:val="Celda"/>
            </w:pPr>
            <w:r>
              <w:t xml:space="preserve">Regularización de iniciativas en producción</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Roles sin incompatibilidades</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Tiempo de decisión de </w:t>
            </w:r>
            <w:r>
              <w:rPr>
                <w:i/>
              </w:rPr>
              <w:t xml:space="preserve">gates</w:t>
            </w:r>
            <w:r>
              <w:t xml:space="preserve"> frente al plazo de referencia</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R6 vigentes</w:t>
            </w:r>
          </w:p>
        </w:tc>
        <w:tc>
          <w:tcPr>
            <w:tcW w:w="1928" w:type="dxa"/>
          </w:tcPr>
          <w:p>
            <w:pPr>
              <w:pStyle w:val="Celda"/>
            </w:pPr>
          </w:p>
        </w:tc>
        <w:tc>
          <w:tcPr>
            <w:tcW w:w="1928" w:type="dxa"/>
          </w:tcPr>
          <w:p>
            <w:pPr>
              <w:pStyle w:val="Celda"/>
            </w:pPr>
          </w:p>
        </w:tc>
        <w:tc>
          <w:tcPr>
            <w:tcW w:w="1928" w:type="dxa"/>
          </w:tcPr>
          <w:p>
            <w:pPr>
              <w:pStyle w:val="Celda"/>
            </w:pPr>
            <w:r>
              <w:t xml:space="preserve">T01</w:t>
            </w:r>
          </w:p>
        </w:tc>
        <w:tc>
          <w:tcPr>
            <w:tcW w:w="1928" w:type="dxa"/>
          </w:tcPr>
          <w:p>
            <w:pPr>
              <w:pStyle w:val="Celda"/>
            </w:pPr>
          </w:p>
        </w:tc>
      </w:tr>
      <w:tr>
        <w:tc>
          <w:tcPr>
            <w:tcW w:w="1928" w:type="dxa"/>
          </w:tcPr>
          <w:p>
            <w:pPr>
              <w:pStyle w:val="Celda"/>
            </w:pPr>
            <w:r>
              <w:t xml:space="preserve">Importes con fórmula y estado</w:t>
            </w:r>
          </w:p>
        </w:tc>
        <w:tc>
          <w:tcPr>
            <w:tcW w:w="1928" w:type="dxa"/>
          </w:tcPr>
          <w:p>
            <w:pPr>
              <w:pStyle w:val="Celda"/>
            </w:pPr>
          </w:p>
        </w:tc>
        <w:tc>
          <w:tcPr>
            <w:tcW w:w="1928" w:type="dxa"/>
          </w:tcPr>
          <w:p>
            <w:pPr>
              <w:pStyle w:val="Celda"/>
            </w:pPr>
          </w:p>
        </w:tc>
        <w:tc>
          <w:tcPr>
            <w:tcW w:w="1928" w:type="dxa"/>
          </w:tcPr>
          <w:p>
            <w:pPr>
              <w:pStyle w:val="Celda"/>
            </w:pPr>
            <w:r>
              <w:t xml:space="preserve">T12</w:t>
            </w:r>
          </w:p>
        </w:tc>
        <w:tc>
          <w:tcPr>
            <w:tcW w:w="1928" w:type="dxa"/>
          </w:tcPr>
          <w:p>
            <w:pPr>
              <w:pStyle w:val="Celda"/>
            </w:pPr>
          </w:p>
        </w:tc>
      </w:tr>
      <w:tr>
        <w:tc>
          <w:tcPr>
            <w:tcW w:w="1928" w:type="dxa"/>
          </w:tcPr>
          <w:p>
            <w:pPr>
              <w:pStyle w:val="Celda"/>
            </w:pPr>
            <w:r>
              <w:t xml:space="preserve">Proporción de valor validado</w:t>
            </w:r>
          </w:p>
        </w:tc>
        <w:tc>
          <w:tcPr>
            <w:tcW w:w="1928" w:type="dxa"/>
          </w:tcPr>
          <w:p>
            <w:pPr>
              <w:pStyle w:val="Celda"/>
            </w:pPr>
          </w:p>
        </w:tc>
        <w:tc>
          <w:tcPr>
            <w:tcW w:w="1928" w:type="dxa"/>
          </w:tcPr>
          <w:p>
            <w:pPr>
              <w:pStyle w:val="Celda"/>
            </w:pPr>
          </w:p>
        </w:tc>
        <w:tc>
          <w:tcPr>
            <w:tcW w:w="1928" w:type="dxa"/>
          </w:tcPr>
          <w:p>
            <w:pPr>
              <w:pStyle w:val="Celda"/>
            </w:pPr>
            <w:r>
              <w:t xml:space="preserve">T12, T17</w:t>
            </w:r>
          </w:p>
        </w:tc>
        <w:tc>
          <w:tcPr>
            <w:tcW w:w="1928" w:type="dxa"/>
          </w:tcPr>
          <w:p>
            <w:pPr>
              <w:pStyle w:val="Celda"/>
            </w:pPr>
          </w:p>
        </w:tc>
      </w:tr>
      <w:tr>
        <w:tc>
          <w:tcPr>
            <w:tcW w:w="1928" w:type="dxa"/>
          </w:tcPr>
          <w:p>
            <w:pPr>
              <w:pStyle w:val="Celda"/>
            </w:pPr>
            <w:r>
              <w:t xml:space="preserve">No conformidades fuera de plazo</w:t>
            </w:r>
          </w:p>
        </w:tc>
        <w:tc>
          <w:tcPr>
            <w:tcW w:w="1928" w:type="dxa"/>
          </w:tcPr>
          <w:p>
            <w:pPr>
              <w:pStyle w:val="Celda"/>
            </w:pPr>
          </w:p>
        </w:tc>
        <w:tc>
          <w:tcPr>
            <w:tcW w:w="1928" w:type="dxa"/>
          </w:tcPr>
          <w:p>
            <w:pPr>
              <w:pStyle w:val="Celda"/>
            </w:pPr>
          </w:p>
        </w:tc>
        <w:tc>
          <w:tcPr>
            <w:tcW w:w="1928" w:type="dxa"/>
          </w:tcPr>
          <w:p>
            <w:pPr>
              <w:pStyle w:val="Celda"/>
            </w:pPr>
            <w:r>
              <w:t xml:space="preserve">T08</w:t>
            </w:r>
          </w:p>
        </w:tc>
        <w:tc>
          <w:tcPr>
            <w:tcW w:w="1928" w:type="dxa"/>
          </w:tcPr>
          <w:p>
            <w:pPr>
              <w:pStyle w:val="Celda"/>
            </w:pPr>
          </w:p>
        </w:tc>
      </w:tr>
      <w:tr>
        <w:tc>
          <w:tcPr>
            <w:tcW w:w="1928" w:type="dxa"/>
          </w:tcPr>
          <w:p>
            <w:pPr>
              <w:pStyle w:val="Celda"/>
            </w:pPr>
            <w:r>
              <w:t xml:space="preserve">Alfabetización en IA</w:t>
            </w:r>
          </w:p>
        </w:tc>
        <w:tc>
          <w:tcPr>
            <w:tcW w:w="1928" w:type="dxa"/>
          </w:tcPr>
          <w:p>
            <w:pPr>
              <w:pStyle w:val="Celda"/>
            </w:pPr>
          </w:p>
        </w:tc>
        <w:tc>
          <w:tcPr>
            <w:tcW w:w="1928" w:type="dxa"/>
          </w:tcPr>
          <w:p>
            <w:pPr>
              <w:pStyle w:val="Celda"/>
            </w:pPr>
          </w:p>
        </w:tc>
        <w:tc>
          <w:tcPr>
            <w:tcW w:w="1928" w:type="dxa"/>
          </w:tcPr>
          <w:p>
            <w:pPr>
              <w:pStyle w:val="Celda"/>
            </w:pPr>
            <w:r>
              <w:t xml:space="preserve">Registro de formación</w:t>
            </w:r>
          </w:p>
        </w:tc>
        <w:tc>
          <w:tcPr>
            <w:tcW w:w="1928" w:type="dxa"/>
          </w:tcPr>
          <w:p>
            <w:pPr>
              <w:pStyle w:val="Celda"/>
            </w:pPr>
          </w:p>
        </w:tc>
      </w:tr>
      <w:tr>
        <w:tc>
          <w:tcPr>
            <w:tcW w:w="1928" w:type="dxa"/>
          </w:tcPr>
          <w:p>
            <w:pPr>
              <w:pStyle w:val="Celda"/>
            </w:pPr>
            <w:r>
              <w:t xml:space="preserve">Reglas del núcleo (01 §14.1) acreditadas (de 14)</w:t>
            </w:r>
          </w:p>
        </w:tc>
        <w:tc>
          <w:tcPr>
            <w:tcW w:w="1928" w:type="dxa"/>
          </w:tcPr>
          <w:p>
            <w:pPr>
              <w:pStyle w:val="Celda"/>
            </w:pPr>
          </w:p>
        </w:tc>
        <w:tc>
          <w:tcPr>
            <w:tcW w:w="1928" w:type="dxa"/>
          </w:tcPr>
          <w:p>
            <w:pPr>
              <w:pStyle w:val="Celda"/>
            </w:pPr>
          </w:p>
        </w:tc>
        <w:tc>
          <w:tcPr>
            <w:tcW w:w="1928" w:type="dxa"/>
          </w:tcPr>
          <w:p>
            <w:pPr>
              <w:pStyle w:val="Celda"/>
            </w:pPr>
            <w:r>
              <w:t xml:space="preserve">T15</w:t>
            </w:r>
          </w:p>
        </w:tc>
        <w:tc>
          <w:tcPr>
            <w:tcW w:w="1928" w:type="dxa"/>
          </w:tcPr>
          <w:p>
            <w:pPr>
              <w:pStyle w:val="Celda"/>
            </w:pPr>
          </w:p>
        </w:tc>
      </w:tr>
    </w:tbl>
    <w:p>
      <w:pPr>
        <w:pStyle w:val="Espacio"/>
      </w:pPr>
    </w:p>
    <w:p>
      <w:pPr>
        <w:pStyle w:val="Separador"/>
      </w:pPr>
    </w:p>
    <w:p>
      <w:pPr>
        <w:pStyle w:val="Heading1"/>
      </w:pPr>
      <w:r>
        <w:t xml:space="preserve">9. Criterios de finalización de los 90 días</w:t>
      </w:r>
    </w:p>
    <w:p>
      <w:r>
        <w:t xml:space="preserve">Se completa en la semana 13 (90 §4.5).</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Criterio</w:t>
            </w:r>
          </w:p>
        </w:tc>
        <w:tc>
          <w:tcPr>
            <w:tcW w:w="2410" w:type="dxa"/>
            <w:shd w:val="clear" w:color="auto" w:fill="F2DFCE"/>
          </w:tcPr>
          <w:p>
            <w:pPr>
              <w:pStyle w:val="Celda"/>
            </w:pPr>
            <w:r>
              <w:rPr>
                <w:b/>
              </w:rPr>
              <w:t xml:space="preserve">Evidencia</w:t>
            </w:r>
          </w:p>
        </w:tc>
        <w:tc>
          <w:tcPr>
            <w:tcW w:w="2410" w:type="dxa"/>
            <w:shd w:val="clear" w:color="auto" w:fill="F2DFCE"/>
          </w:tcPr>
          <w:p>
            <w:pPr>
              <w:pStyle w:val="Celda"/>
            </w:pPr>
            <w:r>
              <w:rPr>
                <w:b/>
              </w:rPr>
              <w:t xml:space="preserve">Estado</w:t>
            </w:r>
          </w:p>
        </w:tc>
      </w:tr>
      <w:tr>
        <w:tc>
          <w:tcPr>
            <w:tcW w:w="2410" w:type="dxa"/>
          </w:tcPr>
          <w:p>
            <w:pPr>
              <w:pStyle w:val="Celda"/>
            </w:pPr>
            <w:r>
              <w:t xml:space="preserve">1</w:t>
            </w:r>
          </w:p>
        </w:tc>
        <w:tc>
          <w:tcPr>
            <w:tcW w:w="2410" w:type="dxa"/>
          </w:tcPr>
          <w:p>
            <w:pPr>
              <w:pStyle w:val="Celda"/>
            </w:pPr>
            <w:r>
              <w:t xml:space="preserve">Inventario con declaración de completitud de todas las áreas del perímetro.</w:t>
            </w:r>
          </w:p>
        </w:tc>
        <w:tc>
          <w:tcPr>
            <w:tcW w:w="2410" w:type="dxa"/>
          </w:tcPr>
          <w:p>
            <w:pPr>
              <w:pStyle w:val="Celda"/>
            </w:pPr>
            <w:r>
              <w:t xml:space="preserve">T02; anexo firmado.</w:t>
            </w:r>
          </w:p>
        </w:tc>
        <w:tc>
          <w:tcPr>
            <w:tcW w:w="2410" w:type="dxa"/>
          </w:tcPr>
          <w:p>
            <w:pPr>
              <w:pStyle w:val="Celda"/>
            </w:pPr>
            <w:r>
              <w:t xml:space="preserve">Cumple · No cumple · No aplica · Pendiente</w:t>
            </w:r>
          </w:p>
        </w:tc>
      </w:tr>
      <w:tr>
        <w:tc>
          <w:tcPr>
            <w:tcW w:w="2410" w:type="dxa"/>
          </w:tcPr>
          <w:p>
            <w:pPr>
              <w:pStyle w:val="Celda"/>
            </w:pPr>
            <w:r>
              <w:t xml:space="preserve">2</w:t>
            </w:r>
          </w:p>
        </w:tc>
        <w:tc>
          <w:tcPr>
            <w:tcW w:w="2410" w:type="dxa"/>
          </w:tcPr>
          <w:p>
            <w:pPr>
              <w:pStyle w:val="Celda"/>
            </w:pPr>
            <w:r>
              <w:t xml:space="preserve">Evaluación de madurez verificada e índice de transformación calculado.</w:t>
            </w:r>
          </w:p>
        </w:tc>
        <w:tc>
          <w:tcPr>
            <w:tcW w:w="2410" w:type="dxa"/>
          </w:tcPr>
          <w:p>
            <w:pPr>
              <w:pStyle w:val="Celda"/>
            </w:pPr>
            <w:r>
              <w:t xml:space="preserve">P33; T15; T14.</w:t>
            </w: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Riesgos y oportunidades por esfera con responsable, impacto económico y plazo.</w:t>
            </w:r>
          </w:p>
        </w:tc>
        <w:tc>
          <w:tcPr>
            <w:tcW w:w="2410" w:type="dxa"/>
          </w:tcPr>
          <w:p>
            <w:pPr>
              <w:pStyle w:val="Celda"/>
            </w:pPr>
            <w:r>
              <w:t xml:space="preserve">P33, sección 10.</w:t>
            </w: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Tesis, ambición, apetito de riesgo y umbrales aprobados, o fecha fijada con criterios provisionales.</w:t>
            </w:r>
          </w:p>
        </w:tc>
        <w:tc>
          <w:tcPr>
            <w:tcW w:w="2410" w:type="dxa"/>
          </w:tcPr>
          <w:p>
            <w:pPr>
              <w:pStyle w:val="Celda"/>
            </w:pPr>
            <w:r>
              <w:t xml:space="preserve">P35; acta.</w:t>
            </w: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Órganos con mandato, roles sin incompatibilidades y auditor de IA designado.</w:t>
            </w:r>
          </w:p>
        </w:tc>
        <w:tc>
          <w:tcPr>
            <w:tcW w:w="2410" w:type="dxa"/>
          </w:tcPr>
          <w:p>
            <w:pPr>
              <w:pStyle w:val="Celda"/>
            </w:pPr>
            <w:r>
              <w:t xml:space="preserve">Mandatos; P03.</w:t>
            </w:r>
          </w:p>
        </w:tc>
        <w:tc>
          <w:tcPr>
            <w:tcW w:w="2410" w:type="dxa"/>
          </w:tcPr>
          <w:p>
            <w:pPr>
              <w:pStyle w:val="Celda"/>
            </w:pPr>
          </w:p>
        </w:tc>
      </w:tr>
      <w:tr>
        <w:tc>
          <w:tcPr>
            <w:tcW w:w="2410" w:type="dxa"/>
          </w:tcPr>
          <w:p>
            <w:pPr>
              <w:pStyle w:val="Celda"/>
            </w:pPr>
            <w:r>
              <w:t xml:space="preserve">6</w:t>
            </w:r>
          </w:p>
        </w:tc>
        <w:tc>
          <w:tcPr>
            <w:tcW w:w="2410" w:type="dxa"/>
          </w:tcPr>
          <w:p>
            <w:pPr>
              <w:pStyle w:val="Celda"/>
            </w:pPr>
            <w:r>
              <w:rPr>
                <w:i/>
              </w:rPr>
              <w:t xml:space="preserve">Gates</w:t>
            </w:r>
            <w:r>
              <w:t xml:space="preserve">, plazos de referencia y proceso de no conformidades operativos.</w:t>
            </w:r>
          </w:p>
        </w:tc>
        <w:tc>
          <w:tcPr>
            <w:tcW w:w="2410" w:type="dxa"/>
          </w:tcPr>
          <w:p>
            <w:pPr>
              <w:pStyle w:val="Celda"/>
            </w:pPr>
            <w:r>
              <w:t xml:space="preserve">T03; T08.</w:t>
            </w: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Panel del consejo y registro de recomendaciones con datos reales.</w:t>
            </w:r>
          </w:p>
        </w:tc>
        <w:tc>
          <w:tcPr>
            <w:tcW w:w="2410" w:type="dxa"/>
          </w:tcPr>
          <w:p>
            <w:pPr>
              <w:pStyle w:val="Celda"/>
            </w:pPr>
            <w:r>
              <w:t xml:space="preserve">T17; T18.</w:t>
            </w: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Primera cartera priorizada y plan de regularización con plazos.</w:t>
            </w:r>
          </w:p>
        </w:tc>
        <w:tc>
          <w:tcPr>
            <w:tcW w:w="2410" w:type="dxa"/>
          </w:tcPr>
          <w:p>
            <w:pPr>
              <w:pStyle w:val="Celda"/>
            </w:pPr>
            <w:r>
              <w:t xml:space="preserve">P36; acta del comité.</w:t>
            </w:r>
          </w:p>
        </w:tc>
        <w:tc>
          <w:tcPr>
            <w:tcW w:w="2410" w:type="dxa"/>
          </w:tcPr>
          <w:p>
            <w:pPr>
              <w:pStyle w:val="Celda"/>
            </w:pPr>
          </w:p>
        </w:tc>
      </w:tr>
      <w:tr>
        <w:tc>
          <w:tcPr>
            <w:tcW w:w="2410" w:type="dxa"/>
          </w:tcPr>
          <w:p>
            <w:pPr>
              <w:pStyle w:val="Celda"/>
            </w:pPr>
            <w:r>
              <w:t xml:space="preserve">9</w:t>
            </w:r>
          </w:p>
        </w:tc>
        <w:tc>
          <w:tcPr>
            <w:tcW w:w="2410" w:type="dxa"/>
          </w:tcPr>
          <w:p>
            <w:pPr>
              <w:pStyle w:val="Celda"/>
            </w:pPr>
            <w:r>
              <w:t xml:space="preserve">Toda iniciativa nueva pasa por G0 antes de consumir presupuesto desde la semana 13.</w:t>
            </w:r>
          </w:p>
        </w:tc>
        <w:tc>
          <w:tcPr>
            <w:tcW w:w="2410" w:type="dxa"/>
          </w:tcPr>
          <w:p>
            <w:pPr>
              <w:pStyle w:val="Celda"/>
            </w:pPr>
            <w:r>
              <w:t xml:space="preserve">T01.</w:t>
            </w:r>
          </w:p>
        </w:tc>
        <w:tc>
          <w:tcPr>
            <w:tcW w:w="2410" w:type="dxa"/>
          </w:tcPr>
          <w:p>
            <w:pPr>
              <w:pStyle w:val="Celda"/>
            </w:pPr>
          </w:p>
        </w:tc>
      </w:tr>
    </w:tbl>
    <w:p>
      <w:pPr>
        <w:pStyle w:val="Espacio"/>
      </w:pPr>
    </w:p>
    <w:p>
      <w:pPr>
        <w:pStyle w:val="Separador"/>
      </w:pPr>
    </w:p>
    <w:p>
      <w:pPr>
        <w:pStyle w:val="Heading1"/>
      </w:pPr>
      <w:r>
        <w:t xml:space="preserve">10. Anexo · Declaración de completitud del inventario por área</w:t>
      </w:r>
    </w:p>
    <w:p>
      <w:r>
        <w:rPr>
          <w:b/>
        </w:rPr>
        <w:t xml:space="preserve">Instrucciones.</w:t>
      </w:r>
      <w:r>
        <w:t xml:space="preserve"> Cada dirección de área del perímetro firma una declaración en la semana 2 (90 §4.2). Declara que ha comunicado a la oficina de IA </w:t>
      </w:r>
      <w:r>
        <w:rPr>
          <w:b/>
        </w:rPr>
        <w:t xml:space="preserve">todos</w:t>
      </w:r>
      <w:r>
        <w:t xml:space="preserve"> los sistemas de IA que su área usa, desarrolla, contrata o ha detectado: propios, de terceros integrados en procesos, uso corporativo de IA de propósito general y uso no autorizado (01 §1.3). La declaración es una evidencia de la pregunta D6.05 del documento 11 y del criterio 1 de 90 §4.5. Se renueva al menos una vez al año o cuando cambia la dirección del área.</w:t>
      </w:r>
    </w:p>
    <w:p>
      <w:r>
        <w:rPr>
          <w:b/>
        </w:rPr>
        <w:t xml:space="preserve">Texto de la declaración</w:t>
      </w:r>
    </w:p>
    <w:p>
      <w:pPr>
        <w:pStyle w:val="Cita"/>
      </w:pPr>
      <w:r>
        <w:t xml:space="preserve">La dirección del área </w:t>
      </w:r>
      <w:r>
        <w:rPr>
          <w:i/>
        </w:rPr>
        <w:t xml:space="preserve">[nombre del área]</w:t>
      </w:r>
      <w:r>
        <w:t xml:space="preserve"> declara que, a la fecha de </w:t>
      </w:r>
      <w:r>
        <w:rPr>
          <w:i/>
        </w:rPr>
        <w:t xml:space="preserve">[DD-MM-AAAA]</w:t>
      </w:r>
      <w:r>
        <w:t xml:space="preserve">, ha comunicado a la oficina de IA todos los sistemas de IA que conoce en su área, incluidos los de terceros, el uso corporativo de herramientas de IA de propósito general y el uso no autorizado detectado, y que ha revisado para ello las fuentes indicadas en esta declaración. Se compromete a comunicar cualquier sistema nuevo antes de su uso y cualquier uso no autorizado en cuanto lo conozca.</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Área</w:t>
            </w:r>
          </w:p>
        </w:tc>
        <w:tc>
          <w:tcPr>
            <w:tcW w:w="1071" w:type="dxa"/>
            <w:shd w:val="clear" w:color="auto" w:fill="F2DFCE"/>
          </w:tcPr>
          <w:p>
            <w:pPr>
              <w:pStyle w:val="Celda"/>
            </w:pPr>
            <w:r>
              <w:rPr>
                <w:b/>
              </w:rPr>
              <w:t xml:space="preserve">Responsable firmante (nombre y cargo)</w:t>
            </w:r>
          </w:p>
        </w:tc>
        <w:tc>
          <w:tcPr>
            <w:tcW w:w="1071" w:type="dxa"/>
            <w:shd w:val="clear" w:color="auto" w:fill="F2DFCE"/>
          </w:tcPr>
          <w:p>
            <w:pPr>
              <w:pStyle w:val="Celda"/>
            </w:pPr>
            <w:r>
              <w:rPr>
                <w:b/>
              </w:rPr>
              <w:t xml:space="preserve">Sistemas propios</w:t>
            </w:r>
          </w:p>
        </w:tc>
        <w:tc>
          <w:tcPr>
            <w:tcW w:w="1071" w:type="dxa"/>
            <w:shd w:val="clear" w:color="auto" w:fill="F2DFCE"/>
          </w:tcPr>
          <w:p>
            <w:pPr>
              <w:pStyle w:val="Celda"/>
            </w:pPr>
            <w:r>
              <w:rPr>
                <w:b/>
              </w:rPr>
              <w:t xml:space="preserve">IA de terceros integrada</w:t>
            </w:r>
          </w:p>
        </w:tc>
        <w:tc>
          <w:tcPr>
            <w:tcW w:w="1071" w:type="dxa"/>
            <w:shd w:val="clear" w:color="auto" w:fill="F2DFCE"/>
          </w:tcPr>
          <w:p>
            <w:pPr>
              <w:pStyle w:val="Celda"/>
            </w:pPr>
            <w:r>
              <w:rPr>
                <w:b/>
              </w:rPr>
              <w:t xml:space="preserve">Uso corporativo</w:t>
            </w:r>
          </w:p>
        </w:tc>
        <w:tc>
          <w:tcPr>
            <w:tcW w:w="1071" w:type="dxa"/>
            <w:shd w:val="clear" w:color="auto" w:fill="F2DFCE"/>
          </w:tcPr>
          <w:p>
            <w:pPr>
              <w:pStyle w:val="Celda"/>
            </w:pPr>
            <w:r>
              <w:rPr>
                <w:b/>
              </w:rPr>
              <w:t xml:space="preserve">Uso no autorizado detectado</w:t>
            </w:r>
          </w:p>
        </w:tc>
        <w:tc>
          <w:tcPr>
            <w:tcW w:w="1071" w:type="dxa"/>
            <w:shd w:val="clear" w:color="auto" w:fill="F2DFCE"/>
          </w:tcPr>
          <w:p>
            <w:pPr>
              <w:pStyle w:val="Celda"/>
            </w:pPr>
            <w:r>
              <w:rPr>
                <w:b/>
              </w:rPr>
              <w:t xml:space="preserve">Fuentes revisadas</w:t>
            </w:r>
          </w:p>
        </w:tc>
        <w:tc>
          <w:tcPr>
            <w:tcW w:w="1071" w:type="dxa"/>
            <w:shd w:val="clear" w:color="auto" w:fill="F2DFCE"/>
          </w:tcPr>
          <w:p>
            <w:pPr>
              <w:pStyle w:val="Celda"/>
            </w:pPr>
            <w:r>
              <w:rPr>
                <w:b/>
              </w:rPr>
              <w:t xml:space="preserve">Posibles prácticas prohibidas escaladas (Sí · No)</w:t>
            </w:r>
          </w:p>
        </w:tc>
        <w:tc>
          <w:tcPr>
            <w:tcW w:w="1071" w:type="dxa"/>
            <w:shd w:val="clear" w:color="auto" w:fill="F2DFCE"/>
          </w:tcPr>
          <w:p>
            <w:pPr>
              <w:pStyle w:val="Celda"/>
            </w:pPr>
            <w:r>
              <w:rPr>
                <w:b/>
              </w:rPr>
              <w:t xml:space="preserve">Fecha de firma</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Compras · Licencias · Contratos · Controles de seguridad · Entrevistas</w:t>
            </w:r>
          </w:p>
        </w:tc>
        <w:tc>
          <w:tcPr>
            <w:tcW w:w="1071" w:type="dxa"/>
          </w:tcPr>
          <w:p>
            <w:pPr>
              <w:pStyle w:val="Celda"/>
            </w:pPr>
          </w:p>
        </w:tc>
        <w:tc>
          <w:tcPr>
            <w:tcW w:w="1071" w:type="dxa"/>
          </w:tcPr>
          <w:p>
            <w:pPr>
              <w:pStyle w:val="Celda"/>
            </w:pP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(ejemplo ilustrativo)</w:t>
            </w:r>
            <w:r>
              <w:t xml:space="preserve"> Atención al cliente</w:t>
            </w:r>
          </w:p>
        </w:tc>
        <w:tc>
          <w:tcPr>
            <w:tcW w:w="1071" w:type="dxa"/>
          </w:tcPr>
          <w:p>
            <w:pPr>
              <w:pStyle w:val="Celda"/>
            </w:pPr>
            <w:r>
              <w:t xml:space="preserve">Directora de atención al cliente</w:t>
            </w:r>
          </w:p>
        </w:tc>
        <w:tc>
          <w:tcPr>
            <w:tcW w:w="1071" w:type="dxa"/>
          </w:tcPr>
          <w:p>
            <w:pPr>
              <w:pStyle w:val="Celda"/>
            </w:pPr>
            <w:r>
              <w:t xml:space="preserve">1</w:t>
            </w:r>
          </w:p>
        </w:tc>
        <w:tc>
          <w:tcPr>
            <w:tcW w:w="1071" w:type="dxa"/>
          </w:tcPr>
          <w:p>
            <w:pPr>
              <w:pStyle w:val="Celda"/>
            </w:pPr>
            <w:r>
              <w:t xml:space="preserve">2</w:t>
            </w:r>
          </w:p>
        </w:tc>
        <w:tc>
          <w:tcPr>
            <w:tcW w:w="1071" w:type="dxa"/>
          </w:tcPr>
          <w:p>
            <w:pPr>
              <w:pStyle w:val="Celda"/>
            </w:pPr>
            <w:r>
              <w:t xml:space="preserve">1</w:t>
            </w:r>
          </w:p>
        </w:tc>
        <w:tc>
          <w:tcPr>
            <w:tcW w:w="1071" w:type="dxa"/>
          </w:tcPr>
          <w:p>
            <w:pPr>
              <w:pStyle w:val="Celda"/>
            </w:pPr>
            <w:r>
              <w:t xml:space="preserve">1 (asistente de redacción sin contrato)</w:t>
            </w:r>
          </w:p>
        </w:tc>
        <w:tc>
          <w:tcPr>
            <w:tcW w:w="1071" w:type="dxa"/>
          </w:tcPr>
          <w:p>
            <w:pPr>
              <w:pStyle w:val="Celda"/>
            </w:pPr>
            <w:r>
              <w:t xml:space="preserve">Licencias y contratos; registro de accesos</w:t>
            </w:r>
          </w:p>
        </w:tc>
        <w:tc>
          <w:tcPr>
            <w:tcW w:w="1071" w:type="dxa"/>
          </w:tcPr>
          <w:p>
            <w:pPr>
              <w:pStyle w:val="Celda"/>
            </w:pPr>
            <w:r>
              <w:t xml:space="preserve">No</w:t>
            </w:r>
          </w:p>
        </w:tc>
        <w:tc>
          <w:tcPr>
            <w:tcW w:w="1071" w:type="dxa"/>
          </w:tcPr>
          <w:p>
            <w:pPr>
              <w:pStyle w:val="Celda"/>
            </w:pPr>
            <w:r>
              <w:t xml:space="preserve">14-10-2026</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Resumen</w:t>
            </w:r>
          </w:p>
        </w:tc>
        <w:tc>
          <w:tcPr>
            <w:tcW w:w="4819" w:type="dxa"/>
            <w:shd w:val="clear" w:color="auto" w:fill="F2DFCE"/>
          </w:tcPr>
          <w:p>
            <w:pPr>
              <w:pStyle w:val="Celda"/>
            </w:pPr>
            <w:r>
              <w:rPr>
                <w:b/>
              </w:rPr>
              <w:t xml:space="preserve">Valor</w:t>
            </w:r>
          </w:p>
        </w:tc>
      </w:tr>
      <w:tr>
        <w:tc>
          <w:tcPr>
            <w:tcW w:w="4819" w:type="dxa"/>
          </w:tcPr>
          <w:p>
            <w:pPr>
              <w:pStyle w:val="Celda"/>
            </w:pPr>
            <w:r>
              <w:t xml:space="preserve">Áreas del perímetro</w:t>
            </w:r>
          </w:p>
        </w:tc>
        <w:tc>
          <w:tcPr>
            <w:tcW w:w="4819" w:type="dxa"/>
          </w:tcPr>
          <w:p>
            <w:pPr>
              <w:pStyle w:val="Celda"/>
            </w:pPr>
          </w:p>
        </w:tc>
      </w:tr>
      <w:tr>
        <w:tc>
          <w:tcPr>
            <w:tcW w:w="4819" w:type="dxa"/>
          </w:tcPr>
          <w:p>
            <w:pPr>
              <w:pStyle w:val="Celda"/>
            </w:pPr>
            <w:r>
              <w:t xml:space="preserve">Áreas con declaración firmada</w:t>
            </w:r>
          </w:p>
        </w:tc>
        <w:tc>
          <w:tcPr>
            <w:tcW w:w="4819" w:type="dxa"/>
          </w:tcPr>
          <w:p>
            <w:pPr>
              <w:pStyle w:val="Celda"/>
            </w:pPr>
          </w:p>
        </w:tc>
      </w:tr>
      <w:tr>
        <w:tc>
          <w:tcPr>
            <w:tcW w:w="4819" w:type="dxa"/>
          </w:tcPr>
          <w:p>
            <w:pPr>
              <w:pStyle w:val="Celda"/>
            </w:pPr>
            <w:r>
              <w:t xml:space="preserve">Cobertura del inventario (%)</w:t>
            </w:r>
          </w:p>
        </w:tc>
        <w:tc>
          <w:tcPr>
            <w:tcW w:w="4819" w:type="dxa"/>
          </w:tcPr>
          <w:p>
            <w:pPr>
              <w:pStyle w:val="Celda"/>
            </w:pPr>
          </w:p>
        </w:tc>
      </w:tr>
      <w:tr>
        <w:tc>
          <w:tcPr>
            <w:tcW w:w="4819" w:type="dxa"/>
          </w:tcPr>
          <w:p>
            <w:pPr>
              <w:pStyle w:val="Celda"/>
            </w:pPr>
            <w:r>
              <w:t xml:space="preserve">Sistemas dados de alta en T02 (códigos SIA-AAAA-NNN)</w:t>
            </w:r>
          </w:p>
        </w:tc>
        <w:tc>
          <w:tcPr>
            <w:tcW w:w="4819" w:type="dxa"/>
          </w:tcPr>
          <w:p>
            <w:pPr>
              <w:pStyle w:val="Celda"/>
            </w:pPr>
          </w:p>
        </w:tc>
      </w:tr>
      <w:tr>
        <w:tc>
          <w:tcPr>
            <w:tcW w:w="4819" w:type="dxa"/>
          </w:tcPr>
          <w:p>
            <w:pPr>
              <w:pStyle w:val="Celda"/>
            </w:pPr>
            <w:r>
              <w:t xml:space="preserve">Casos de uso no autorizado registrados como no conformidad (NC-AAAA-NNN)</w:t>
            </w:r>
          </w:p>
        </w:tc>
        <w:tc>
          <w:tcPr>
            <w:tcW w:w="4819" w:type="dxa"/>
          </w:tcPr>
          <w:p>
            <w:pPr>
              <w:pStyle w:val="Celda"/>
            </w:pPr>
          </w:p>
        </w:tc>
      </w:tr>
    </w:tbl>
    <w:p>
      <w:pPr>
        <w:pStyle w:val="Espacio"/>
      </w:pPr>
    </w:p>
    <w:p>
      <w:pPr>
        <w:pStyle w:val="Separador"/>
      </w:pPr>
    </w:p>
    <w:p>
      <w:pPr>
        <w:pStyle w:val="Heading1"/>
      </w:pPr>
      <w:r>
        <w:t xml:space="preserve">11.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mandato está firmado por la presidencia ejecutiva o el consejero delegado, con objetivo, perímetro, alcance y plazo (90 §3).</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alcance Lite o Enterprise se justifica criterio a criterio (90 §2.2).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inventario abarca toda la compañía, aunque el perímetro de implantación sea menor.</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Si la adopción es modular, se indica qué componentes quedan fuera y que no se podrá declarar la aplicación hasta cumplir 01 §14.</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Hay un miembro de la alta dirección con responsabilidad escrita sobre la IA (pregunta D1.01 del documento 11).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sesión del consejo para aprobar C2 está reservada en las semanas 12–13.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Cada órgano tiene asignado un órgano existente o nuevo, con fecha de mandato.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Todas las áreas del perímetro han firmado la declaración de completitud (pregunta D6.05 del documento 11).</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implantación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Propone</w:t>
            </w:r>
          </w:p>
        </w:tc>
        <w:tc>
          <w:tcPr>
            <w:tcW w:w="1928" w:type="dxa"/>
          </w:tcPr>
          <w:p>
            <w:pPr>
              <w:pStyle w:val="Celda"/>
            </w:pPr>
            <w:r>
              <w:t xml:space="preserve">Patrocinador de la implantación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Comprueba que está completo</w:t>
            </w:r>
          </w:p>
        </w:tc>
        <w:tc>
          <w:tcPr>
            <w:tcW w:w="1928" w:type="dxa"/>
          </w:tcPr>
          <w:p>
            <w:pPr>
              <w:pStyle w:val="Celda"/>
            </w:pPr>
            <w:r>
              <w:t xml:space="preserve">Oficina de IA o secretaría del consejo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Firma el mandato</w:t>
            </w:r>
          </w:p>
        </w:tc>
        <w:tc>
          <w:tcPr>
            <w:tcW w:w="1928" w:type="dxa"/>
          </w:tcPr>
          <w:p>
            <w:pPr>
              <w:pStyle w:val="Celda"/>
            </w:pPr>
            <w:r>
              <w:t xml:space="preserve">Presidencia ejecutiva o consejero delegado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Toma conocimiento</w:t>
            </w:r>
          </w:p>
        </w:tc>
        <w:tc>
          <w:tcPr>
            <w:tcW w:w="1928" w:type="dxa"/>
          </w:tcPr>
          <w:p>
            <w:pPr>
              <w:pStyle w:val="Celda"/>
            </w:pPr>
            <w:r>
              <w:t xml:space="preserve">Consejo o comisión delegada</w:t>
            </w:r>
          </w:p>
        </w:tc>
        <w:tc>
          <w:tcPr>
            <w:tcW w:w="1928" w:type="dxa"/>
          </w:tcPr>
          <w:p>
            <w:pPr>
              <w:pStyle w:val="Celda"/>
            </w:pPr>
          </w:p>
        </w:tc>
        <w:tc>
          <w:tcPr>
            <w:tcW w:w="1928" w:type="dxa"/>
          </w:tcPr>
          <w:p>
            <w:pPr>
              <w:pStyle w:val="Celda"/>
            </w:pPr>
          </w:p>
        </w:tc>
        <w:tc>
          <w:tcPr>
            <w:tcW w:w="1928" w:type="dxa"/>
          </w:tcPr>
          <w:p>
            <w:pPr>
              <w:pStyle w:val="Celda"/>
            </w:pPr>
            <w:r>
              <w:t xml:space="preserve">Referencia del acta</w:t>
            </w:r>
          </w:p>
        </w:tc>
      </w:tr>
    </w:tbl>
    <w:p>
      <w:pPr>
        <w:pStyle w:val="Espacio"/>
      </w:pPr>
    </w:p>
    <w:p>
      <w:r>
        <w:t xml:space="preserve">Separación de funciones: quien elabora el mandato no lo firma; el verificador de la madurez designado por la tercera línea no forma parte del equipo núcleo.</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Recoge los requisitos previos, el alcance, el plan de 90 días y los indicadores del documento 90, el modelo de adopción integral o modular de 01 §1.2 y, como anexo, la declaración de completitud del inventario por área.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P32 · Mandato de implantación de SEVEN-G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P32 · Mandato de implantación de SEVEN-G</dc:title>
  <dc:creator>Fernando García Varela</dc:creator>
  <dc:language>es</dc:language>
  <dc:description>sha256:403674ed0b82b56904e72f3c05062ef3068109fbc1554083f61a8669aa9fc35a</dc:description>
  <cp:keywords>SEVEN-G</cp:keywords>
</cp:coreProperties>
</file>