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Context and constraints statement</w:t>
      </w:r>
    </w:p>
    <w:p>
      <w:r>
        <w:rPr>
          <w:b/>
        </w:rPr>
        <w:t xml:space="preserve">Records in writing, before investing, the strategic, regulatory, ethical, data, economic and organisational framework within which the initiative must be developed.</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P02 · Context and constraints statement</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16-09-2026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In phase 0, together with the initiative charter (P01). It is reviewed at G3 and whenever a relevant constraint changes (regulation, budget, supplier, data).</w:t>
            </w:r>
          </w:p>
        </w:tc>
      </w:tr>
      <w:tr>
        <w:tc>
          <w:tcPr>
            <w:tcW w:w="4819" w:type="dxa"/>
          </w:tcPr>
          <w:p>
            <w:pPr>
              <w:pStyle w:val="Celda"/>
            </w:pPr>
            <w:r>
              <w:rPr>
                <w:b/>
              </w:rPr>
              <w:t xml:space="preserve">Who completes it</w:t>
            </w:r>
          </w:p>
        </w:tc>
        <w:tc>
          <w:tcPr>
            <w:tcW w:w="4819" w:type="dxa"/>
          </w:tcPr>
          <w:p>
            <w:pPr>
              <w:pStyle w:val="Celda"/>
            </w:pPr>
            <w:r>
              <w:t xml:space="preserve">The AI Product Owner. They consult the risk owner, data protection, information security and legal counsel.</w:t>
            </w:r>
          </w:p>
        </w:tc>
      </w:tr>
      <w:tr>
        <w:tc>
          <w:tcPr>
            <w:tcW w:w="4819" w:type="dxa"/>
          </w:tcPr>
          <w:p>
            <w:pPr>
              <w:pStyle w:val="Celda"/>
            </w:pPr>
            <w:r>
              <w:rPr>
                <w:b/>
              </w:rPr>
              <w:t xml:space="preserve">Who verifies it</w:t>
            </w:r>
          </w:p>
        </w:tc>
        <w:tc>
          <w:tcPr>
            <w:tcW w:w="4819" w:type="dxa"/>
          </w:tcPr>
          <w:p>
            <w:pPr>
              <w:pStyle w:val="Celda"/>
            </w:pPr>
            <w:r>
              <w:t xml:space="preserve">Lite: AI Office. Enterprise: AI Auditor.</w:t>
            </w:r>
          </w:p>
        </w:tc>
      </w:tr>
      <w:tr>
        <w:tc>
          <w:tcPr>
            <w:tcW w:w="4819" w:type="dxa"/>
          </w:tcPr>
          <w:p>
            <w:pPr>
              <w:pStyle w:val="Celda"/>
            </w:pPr>
            <w:r>
              <w:rPr>
                <w:b/>
              </w:rPr>
              <w:t xml:space="preserve">Who decides</w:t>
            </w:r>
          </w:p>
        </w:tc>
        <w:tc>
          <w:tcPr>
            <w:tcW w:w="4819" w:type="dxa"/>
          </w:tcPr>
          <w:p>
            <w:pPr>
              <w:pStyle w:val="Celda"/>
            </w:pPr>
            <w:r>
              <w:t xml:space="preserve">It is approved with G0: sponsor (Lite) · AI Committee (Enterprise).</w:t>
            </w:r>
          </w:p>
        </w:tc>
      </w:tr>
      <w:tr>
        <w:tc>
          <w:tcPr>
            <w:tcW w:w="4819" w:type="dxa"/>
          </w:tcPr>
          <w:p>
            <w:pPr>
              <w:pStyle w:val="Celda"/>
            </w:pPr>
            <w:r>
              <w:rPr>
                <w:b/>
              </w:rPr>
              <w:t xml:space="preserve">Gate at which it is reviewed</w:t>
            </w:r>
          </w:p>
        </w:tc>
        <w:tc>
          <w:tcPr>
            <w:tcW w:w="4819" w:type="dxa"/>
          </w:tcPr>
          <w:p>
            <w:pPr>
              <w:pStyle w:val="Celda"/>
            </w:pPr>
            <w:r>
              <w:t xml:space="preserve">G0 · Authorisation; checked again at G3 · Feasibility.</w:t>
            </w:r>
          </w:p>
        </w:tc>
      </w:tr>
      <w:tr>
        <w:tc>
          <w:tcPr>
            <w:tcW w:w="4819" w:type="dxa"/>
          </w:tcPr>
          <w:p>
            <w:pPr>
              <w:pStyle w:val="Celda"/>
            </w:pPr>
            <w:r>
              <w:rPr>
                <w:b/>
              </w:rPr>
              <w:t xml:space="preserve">Tool</w:t>
            </w:r>
          </w:p>
        </w:tc>
        <w:tc>
          <w:tcPr>
            <w:tcW w:w="4819" w:type="dxa"/>
          </w:tcPr>
          <w:p>
            <w:pPr>
              <w:pStyle w:val="Celda"/>
            </w:pPr>
            <w:r>
              <w:t xml:space="preserve">T01 · Initiative register (link as G0 evidence).</w:t>
            </w:r>
          </w:p>
        </w:tc>
      </w:tr>
      <w:tr>
        <w:tc>
          <w:tcPr>
            <w:tcW w:w="4819" w:type="dxa"/>
          </w:tcPr>
          <w:p>
            <w:pPr>
              <w:pStyle w:val="Celda"/>
            </w:pPr>
            <w:r>
              <w:rPr>
                <w:b/>
              </w:rPr>
              <w:t xml:space="preserve">Lite versus Enterprise</w:t>
            </w:r>
          </w:p>
        </w:tc>
        <w:tc>
          <w:tcPr>
            <w:tcW w:w="4819" w:type="dxa"/>
          </w:tcPr>
          <w:p>
            <w:pPr>
              <w:pStyle w:val="Celda"/>
            </w:pPr>
            <w:r>
              <w:t xml:space="preserve">Lite may omit the fields marked </w:t>
            </w:r>
            <w:r>
              <w:rPr>
                <w:b/>
              </w:rPr>
              <w:t xml:space="preserve">(Enterprise)</w:t>
            </w:r>
            <w:r>
              <w:t xml:space="preserve">. In Lite, constraints that do not apply are marked "Not applicable" with a one-line reason.</w:t>
            </w:r>
          </w:p>
        </w:tc>
      </w:tr>
    </w:tbl>
    <w:p>
      <w:pPr>
        <w:pStyle w:val="Espacio"/>
      </w:pPr>
    </w:p>
    <w:p>
      <w:r>
        <w:t xml:space="preserve">Completion rules:</w:t>
      </w:r>
    </w:p>
    <w:p>
      <w:pPr>
        <w:pStyle w:val="Lista"/>
      </w:pPr>
      <w:r>
        <w:t xml:space="preserve">• A constraint is something the initiative </w:t>
      </w:r>
      <w:r>
        <w:rPr>
          <w:b/>
        </w:rPr>
        <w:t xml:space="preserve">cannot change</w:t>
      </w:r>
      <w:r>
        <w:t xml:space="preserve">. If it can be negotiated, it is an assumption and goes in section 10.</w:t>
      </w:r>
    </w:p>
    <w:p>
      <w:pPr>
        <w:pStyle w:val="Lista"/>
      </w:pPr>
      <w:r>
        <w:t xml:space="preserve">• This statement does not replace the regulatory classification (P11) or the risk matrix (P12): it identifies what is known in phase 0 so that it is not discovered late.</w:t>
      </w:r>
    </w:p>
    <w:p>
      <w:pPr>
        <w:pStyle w:val="Lista"/>
      </w:pPr>
      <w:r>
        <w:t xml:space="preserve">• </w:t>
      </w:r>
      <w:r>
        <w:rPr>
          <w:i/>
        </w:rPr>
        <w:t xml:space="preserve">This document does not constitute legal advice.</w:t>
      </w:r>
      <w:r>
        <w:t xml:space="preserve"> The applicability of each regulation must be confirmed by whoever has legal competence in the company. Regulatory references consulted in September 2026; their currency must be verified.</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Initiative name</w:t>
            </w:r>
          </w:p>
        </w:tc>
        <w:tc>
          <w:tcPr>
            <w:tcW w:w="3213" w:type="dxa"/>
          </w:tcPr>
          <w:p>
            <w:pPr>
              <w:pStyle w:val="Celda"/>
            </w:pPr>
          </w:p>
        </w:tc>
        <w:tc>
          <w:tcPr>
            <w:tcW w:w="3213" w:type="dxa"/>
          </w:tcPr>
          <w:p>
            <w:pPr>
              <w:pStyle w:val="Celda"/>
            </w:pPr>
            <w:r>
              <w:t xml:space="preserve">Same as in P01.</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Author</w:t>
            </w:r>
          </w:p>
        </w:tc>
        <w:tc>
          <w:tcPr>
            <w:tcW w:w="3213" w:type="dxa"/>
          </w:tcPr>
          <w:p>
            <w:pPr>
              <w:pStyle w:val="Celda"/>
            </w:pPr>
          </w:p>
        </w:tc>
        <w:tc>
          <w:tcPr>
            <w:tcW w:w="3213" w:type="dxa"/>
          </w:tcPr>
          <w:p>
            <w:pPr>
              <w:pStyle w:val="Celda"/>
            </w:pPr>
            <w:r>
              <w:t xml:space="preserve">Name and role.</w:t>
            </w:r>
          </w:p>
        </w:tc>
      </w:tr>
      <w:tr>
        <w:tc>
          <w:tcPr>
            <w:tcW w:w="3213" w:type="dxa"/>
          </w:tcPr>
          <w:p>
            <w:pPr>
              <w:pStyle w:val="Celda"/>
            </w:pPr>
            <w:r>
              <w:t xml:space="preserve">People consulted</w:t>
            </w:r>
          </w:p>
        </w:tc>
        <w:tc>
          <w:tcPr>
            <w:tcW w:w="3213" w:type="dxa"/>
          </w:tcPr>
          <w:p>
            <w:pPr>
              <w:pStyle w:val="Celda"/>
            </w:pPr>
          </w:p>
        </w:tc>
        <w:tc>
          <w:tcPr>
            <w:tcW w:w="3213" w:type="dxa"/>
          </w:tcPr>
          <w:p>
            <w:pPr>
              <w:pStyle w:val="Celda"/>
            </w:pPr>
            <w:r>
              <w:t xml:space="preserve">Second-line functions and legal counsel consulted, with date.</w:t>
            </w:r>
          </w:p>
        </w:tc>
      </w:tr>
      <w:tr>
        <w:tc>
          <w:tcPr>
            <w:tcW w:w="3213" w:type="dxa"/>
          </w:tcPr>
          <w:p>
            <w:pPr>
              <w:pStyle w:val="Celda"/>
            </w:pPr>
            <w:r>
              <w:t xml:space="preserve">Applicable intensity</w:t>
            </w:r>
          </w:p>
        </w:tc>
        <w:tc>
          <w:tcPr>
            <w:tcW w:w="3213" w:type="dxa"/>
          </w:tcPr>
          <w:p>
            <w:pPr>
              <w:pStyle w:val="Celda"/>
            </w:pPr>
          </w:p>
        </w:tc>
        <w:tc>
          <w:tcPr>
            <w:tcW w:w="3213" w:type="dxa"/>
          </w:tcPr>
          <w:p>
            <w:pPr>
              <w:pStyle w:val="Celda"/>
            </w:pPr>
            <w:r>
              <w:t xml:space="preserve">Lite · Enterprise (P04).</w:t>
            </w:r>
          </w:p>
        </w:tc>
      </w:tr>
    </w:tbl>
    <w:p>
      <w:pPr>
        <w:pStyle w:val="Espacio"/>
      </w:pPr>
    </w:p>
    <w:p>
      <w:pPr>
        <w:pStyle w:val="Separador"/>
      </w:pPr>
    </w:p>
    <w:p>
      <w:pPr>
        <w:pStyle w:val="Heading1"/>
      </w:pPr>
      <w:r>
        <w:t xml:space="preserve">3. Strategic context</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Applicable AI thesis</w:t>
            </w:r>
          </w:p>
        </w:tc>
        <w:tc>
          <w:tcPr>
            <w:tcW w:w="3213" w:type="dxa"/>
          </w:tcPr>
          <w:p>
            <w:pPr>
              <w:pStyle w:val="Celda"/>
            </w:pPr>
          </w:p>
        </w:tc>
        <w:tc>
          <w:tcPr>
            <w:tcW w:w="3213" w:type="dxa"/>
          </w:tcPr>
          <w:p>
            <w:pPr>
              <w:pStyle w:val="Celda"/>
            </w:pPr>
            <w:r>
              <w:t xml:space="preserve">Extract from or reference to the thesis approved in C2 that supports the initiative.</w:t>
            </w:r>
          </w:p>
        </w:tc>
      </w:tr>
      <w:tr>
        <w:tc>
          <w:tcPr>
            <w:tcW w:w="3213" w:type="dxa"/>
          </w:tcPr>
          <w:p>
            <w:pPr>
              <w:pStyle w:val="Celda"/>
            </w:pPr>
            <w:r>
              <w:t xml:space="preserve">Ambition approved for the sphere</w:t>
            </w:r>
          </w:p>
        </w:tc>
        <w:tc>
          <w:tcPr>
            <w:tcW w:w="3213" w:type="dxa"/>
          </w:tcPr>
          <w:p>
            <w:pPr>
              <w:pStyle w:val="Celda"/>
            </w:pPr>
          </w:p>
        </w:tc>
        <w:tc>
          <w:tcPr>
            <w:tcW w:w="3213" w:type="dxa"/>
          </w:tcPr>
          <w:p>
            <w:pPr>
              <w:pStyle w:val="Celda"/>
            </w:pPr>
            <w:r>
              <w:t xml:space="preserve">Ambition level set by the board in C2 for the primary sphere.</w:t>
            </w:r>
          </w:p>
        </w:tc>
      </w:tr>
      <w:tr>
        <w:tc>
          <w:tcPr>
            <w:tcW w:w="3213" w:type="dxa"/>
          </w:tcPr>
          <w:p>
            <w:pPr>
              <w:pStyle w:val="Celda"/>
            </w:pPr>
            <w:r>
              <w:t xml:space="preserve">Applicable risk appetite</w:t>
            </w:r>
          </w:p>
        </w:tc>
        <w:tc>
          <w:tcPr>
            <w:tcW w:w="3213" w:type="dxa"/>
          </w:tcPr>
          <w:p>
            <w:pPr>
              <w:pStyle w:val="Celda"/>
            </w:pPr>
          </w:p>
        </w:tc>
        <w:tc>
          <w:tcPr>
            <w:tcW w:w="3213" w:type="dxa"/>
          </w:tcPr>
          <w:p>
            <w:pPr>
              <w:pStyle w:val="Celda"/>
            </w:pPr>
            <w:r>
              <w:t xml:space="preserve">C2 limits affecting this initiative: acceptable residual risk level, maximum autonomy, customer exposure, economic thresholds.</w:t>
            </w:r>
          </w:p>
        </w:tc>
      </w:tr>
      <w:tr>
        <w:tc>
          <w:tcPr>
            <w:tcW w:w="3213" w:type="dxa"/>
          </w:tcPr>
          <w:p>
            <w:pPr>
              <w:pStyle w:val="Celda"/>
            </w:pPr>
            <w:r>
              <w:t xml:space="preserve">Current state of the process</w:t>
            </w:r>
          </w:p>
        </w:tc>
        <w:tc>
          <w:tcPr>
            <w:tcW w:w="3213" w:type="dxa"/>
          </w:tcPr>
          <w:p>
            <w:pPr>
              <w:pStyle w:val="Celda"/>
            </w:pPr>
          </w:p>
        </w:tc>
        <w:tc>
          <w:tcPr>
            <w:tcW w:w="3213" w:type="dxa"/>
          </w:tcPr>
          <w:p>
            <w:pPr>
              <w:pStyle w:val="Celda"/>
            </w:pPr>
            <w:r>
              <w:t xml:space="preserve">How it is done today, with what resources and with what known problems.</w:t>
            </w:r>
          </w:p>
        </w:tc>
      </w:tr>
      <w:tr>
        <w:tc>
          <w:tcPr>
            <w:tcW w:w="3213" w:type="dxa"/>
          </w:tcPr>
          <w:p>
            <w:pPr>
              <w:pStyle w:val="Celda"/>
            </w:pPr>
            <w:r>
              <w:t xml:space="preserve">Existing initiatives or systems</w:t>
            </w:r>
          </w:p>
        </w:tc>
        <w:tc>
          <w:tcPr>
            <w:tcW w:w="3213" w:type="dxa"/>
          </w:tcPr>
          <w:p>
            <w:pPr>
              <w:pStyle w:val="Celda"/>
            </w:pPr>
          </w:p>
        </w:tc>
        <w:tc>
          <w:tcPr>
            <w:tcW w:w="3213" w:type="dxa"/>
          </w:tcPr>
          <w:p>
            <w:pPr>
              <w:pStyle w:val="Celda"/>
            </w:pPr>
            <w:r>
              <w:t xml:space="preserve">Other AI systems in the inventory that already cover part of the process.</w:t>
            </w:r>
          </w:p>
        </w:tc>
      </w:tr>
      <w:tr>
        <w:tc>
          <w:tcPr>
            <w:tcW w:w="3213" w:type="dxa"/>
          </w:tcPr>
          <w:p>
            <w:pPr>
              <w:pStyle w:val="Celda"/>
            </w:pPr>
            <w:r>
              <w:t xml:space="preserve">Return horizon set in C2 </w:t>
            </w:r>
            <w:r>
              <w:rPr>
                <w:b/>
              </w:rPr>
              <w:t xml:space="preserve">(Enterprise)</w:t>
            </w:r>
          </w:p>
        </w:tc>
        <w:tc>
          <w:tcPr>
            <w:tcW w:w="3213" w:type="dxa"/>
          </w:tcPr>
          <w:p>
            <w:pPr>
              <w:pStyle w:val="Celda"/>
            </w:pPr>
          </w:p>
        </w:tc>
        <w:tc>
          <w:tcPr>
            <w:tcW w:w="3213" w:type="dxa"/>
          </w:tcPr>
          <w:p>
            <w:pPr>
              <w:pStyle w:val="Celda"/>
            </w:pPr>
            <w:r>
              <w:t xml:space="preserve">Period within which the expected net value must be positive for Optimise and Augment.</w:t>
            </w:r>
          </w:p>
        </w:tc>
      </w:tr>
    </w:tbl>
    <w:p>
      <w:pPr>
        <w:pStyle w:val="Espacio"/>
      </w:pPr>
    </w:p>
    <w:p>
      <w:pPr>
        <w:pStyle w:val="Separador"/>
      </w:pPr>
    </w:p>
    <w:p>
      <w:pPr>
        <w:pStyle w:val="Heading1"/>
      </w:pPr>
      <w:r>
        <w:t xml:space="preserve">4. Regulatory constraints</w:t>
      </w:r>
    </w:p>
    <w:p>
      <w:r>
        <w:t xml:space="preserve">State for each reference whether it applies. "To be determined" requires it to be resolved before G3.</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Reference</w:t>
            </w:r>
          </w:p>
        </w:tc>
        <w:tc>
          <w:tcPr>
            <w:tcW w:w="1928" w:type="dxa"/>
            <w:shd w:val="clear" w:color="auto" w:fill="F2DFCE"/>
          </w:tcPr>
          <w:p>
            <w:pPr>
              <w:pStyle w:val="Celda"/>
            </w:pPr>
            <w:r>
              <w:rPr>
                <w:b/>
              </w:rPr>
              <w:t xml:space="preserve">Does it apply?</w:t>
            </w:r>
          </w:p>
        </w:tc>
        <w:tc>
          <w:tcPr>
            <w:tcW w:w="1928" w:type="dxa"/>
            <w:shd w:val="clear" w:color="auto" w:fill="F2DFCE"/>
          </w:tcPr>
          <w:p>
            <w:pPr>
              <w:pStyle w:val="Celda"/>
            </w:pPr>
            <w:r>
              <w:rPr>
                <w:b/>
              </w:rPr>
              <w:t xml:space="preserve">Reason</w:t>
            </w:r>
          </w:p>
        </w:tc>
        <w:tc>
          <w:tcPr>
            <w:tcW w:w="1928" w:type="dxa"/>
            <w:shd w:val="clear" w:color="auto" w:fill="F2DFCE"/>
          </w:tcPr>
          <w:p>
            <w:pPr>
              <w:pStyle w:val="Celda"/>
            </w:pPr>
            <w:r>
              <w:rPr>
                <w:b/>
              </w:rPr>
              <w:t xml:space="preserve">Implication for the initiative</w:t>
            </w:r>
          </w:p>
        </w:tc>
        <w:tc>
          <w:tcPr>
            <w:tcW w:w="1928" w:type="dxa"/>
            <w:shd w:val="clear" w:color="auto" w:fill="F2DFCE"/>
          </w:tcPr>
          <w:p>
            <w:pPr>
              <w:pStyle w:val="Celda"/>
            </w:pPr>
            <w:r>
              <w:rPr>
                <w:b/>
              </w:rPr>
              <w:t xml:space="preserve">Who confirms it</w:t>
            </w:r>
          </w:p>
        </w:tc>
      </w:tr>
      <w:tr>
        <w:tc>
          <w:tcPr>
            <w:tcW w:w="1928" w:type="dxa"/>
          </w:tcPr>
          <w:p>
            <w:pPr>
              <w:pStyle w:val="Celda"/>
            </w:pPr>
            <w:r>
              <w:t xml:space="preserve">EU AI Act (Regulation (EU) 2024/1689)</w:t>
            </w:r>
          </w:p>
        </w:tc>
        <w:tc>
          <w:tcPr>
            <w:tcW w:w="1928" w:type="dxa"/>
          </w:tcPr>
          <w:p>
            <w:pPr>
              <w:pStyle w:val="Celda"/>
            </w:pPr>
            <w:r>
              <w:t xml:space="preserve">Yes · No · To be determined</w:t>
            </w:r>
          </w:p>
        </w:tc>
        <w:tc>
          <w:tcPr>
            <w:tcW w:w="1928" w:type="dxa"/>
          </w:tcPr>
          <w:p>
            <w:pPr>
              <w:pStyle w:val="Celda"/>
            </w:pPr>
          </w:p>
        </w:tc>
        <w:tc>
          <w:tcPr>
            <w:tcW w:w="1928" w:type="dxa"/>
          </w:tcPr>
          <w:p>
            <w:pPr>
              <w:pStyle w:val="Celda"/>
            </w:pPr>
            <w:r>
              <w:t xml:space="preserve">Classification and obligations according to the company's role (P11).</w:t>
            </w:r>
          </w:p>
        </w:tc>
        <w:tc>
          <w:tcPr>
            <w:tcW w:w="1928" w:type="dxa"/>
          </w:tcPr>
          <w:p>
            <w:pPr>
              <w:pStyle w:val="Celda"/>
            </w:pPr>
          </w:p>
        </w:tc>
      </w:tr>
      <w:tr>
        <w:tc>
          <w:tcPr>
            <w:tcW w:w="1928" w:type="dxa"/>
          </w:tcPr>
          <w:p>
            <w:pPr>
              <w:pStyle w:val="Celda"/>
            </w:pPr>
            <w:r>
              <w:t xml:space="preserve">GDPR (Regulation (EU) 2016/679) and national data protection legislation</w:t>
            </w:r>
          </w:p>
        </w:tc>
        <w:tc>
          <w:tcPr>
            <w:tcW w:w="1928" w:type="dxa"/>
          </w:tcPr>
          <w:p>
            <w:pPr>
              <w:pStyle w:val="Celda"/>
            </w:pPr>
          </w:p>
        </w:tc>
        <w:tc>
          <w:tcPr>
            <w:tcW w:w="1928" w:type="dxa"/>
          </w:tcPr>
          <w:p>
            <w:pPr>
              <w:pStyle w:val="Celda"/>
            </w:pPr>
          </w:p>
        </w:tc>
        <w:tc>
          <w:tcPr>
            <w:tcW w:w="1928" w:type="dxa"/>
          </w:tcPr>
          <w:p>
            <w:pPr>
              <w:pStyle w:val="Celda"/>
            </w:pPr>
            <w:r>
              <w:t xml:space="preserve">Legal basis, minimisation, data protection impact assessment, automated decision-making.</w:t>
            </w:r>
          </w:p>
        </w:tc>
        <w:tc>
          <w:tcPr>
            <w:tcW w:w="1928" w:type="dxa"/>
          </w:tcPr>
          <w:p>
            <w:pPr>
              <w:pStyle w:val="Celda"/>
            </w:pPr>
          </w:p>
        </w:tc>
      </w:tr>
      <w:tr>
        <w:tc>
          <w:tcPr>
            <w:tcW w:w="1928" w:type="dxa"/>
          </w:tcPr>
          <w:p>
            <w:pPr>
              <w:pStyle w:val="Celda"/>
            </w:pPr>
            <w:r>
              <w:t xml:space="preserve">DORA (Regulation (EU) 2022/2554)</w:t>
            </w:r>
          </w:p>
        </w:tc>
        <w:tc>
          <w:tcPr>
            <w:tcW w:w="1928" w:type="dxa"/>
          </w:tcPr>
          <w:p>
            <w:pPr>
              <w:pStyle w:val="Celda"/>
            </w:pPr>
          </w:p>
        </w:tc>
        <w:tc>
          <w:tcPr>
            <w:tcW w:w="1928" w:type="dxa"/>
          </w:tcPr>
          <w:p>
            <w:pPr>
              <w:pStyle w:val="Celda"/>
            </w:pPr>
            <w:r>
              <w:t xml:space="preserve">Only financial entities within its scope.</w:t>
            </w:r>
          </w:p>
        </w:tc>
        <w:tc>
          <w:tcPr>
            <w:tcW w:w="1928" w:type="dxa"/>
          </w:tcPr>
          <w:p>
            <w:pPr>
              <w:pStyle w:val="Celda"/>
            </w:pPr>
            <w:r>
              <w:t xml:space="preserve">ICT third-party risk, incidents, critical or important functions.</w:t>
            </w:r>
          </w:p>
        </w:tc>
        <w:tc>
          <w:tcPr>
            <w:tcW w:w="1928" w:type="dxa"/>
          </w:tcPr>
          <w:p>
            <w:pPr>
              <w:pStyle w:val="Celda"/>
            </w:pPr>
          </w:p>
        </w:tc>
      </w:tr>
      <w:tr>
        <w:tc>
          <w:tcPr>
            <w:tcW w:w="1928" w:type="dxa"/>
          </w:tcPr>
          <w:p>
            <w:pPr>
              <w:pStyle w:val="Celda"/>
            </w:pPr>
            <w:r>
              <w:t xml:space="preserve">NIS2 (Directive (EU) 2022/2555) and its national transposition</w:t>
            </w:r>
          </w:p>
        </w:tc>
        <w:tc>
          <w:tcPr>
            <w:tcW w:w="1928" w:type="dxa"/>
          </w:tcPr>
          <w:p>
            <w:pPr>
              <w:pStyle w:val="Celda"/>
            </w:pPr>
          </w:p>
        </w:tc>
        <w:tc>
          <w:tcPr>
            <w:tcW w:w="1928" w:type="dxa"/>
          </w:tcPr>
          <w:p>
            <w:pPr>
              <w:pStyle w:val="Celda"/>
            </w:pPr>
            <w:r>
              <w:t xml:space="preserve">Essential or important entities.</w:t>
            </w:r>
          </w:p>
        </w:tc>
        <w:tc>
          <w:tcPr>
            <w:tcW w:w="1928" w:type="dxa"/>
          </w:tcPr>
          <w:p>
            <w:pPr>
              <w:pStyle w:val="Celda"/>
            </w:pPr>
            <w:r>
              <w:t xml:space="preserve">Cybersecurity risk management and incident notification.</w:t>
            </w:r>
          </w:p>
        </w:tc>
        <w:tc>
          <w:tcPr>
            <w:tcW w:w="1928" w:type="dxa"/>
          </w:tcPr>
          <w:p>
            <w:pPr>
              <w:pStyle w:val="Celda"/>
            </w:pPr>
          </w:p>
        </w:tc>
      </w:tr>
      <w:tr>
        <w:tc>
          <w:tcPr>
            <w:tcW w:w="1928" w:type="dxa"/>
          </w:tcPr>
          <w:p>
            <w:pPr>
              <w:pStyle w:val="Celda"/>
            </w:pPr>
            <w:r>
              <w:t xml:space="preserve">Sector regulation</w:t>
            </w:r>
          </w:p>
        </w:tc>
        <w:tc>
          <w:tcPr>
            <w:tcW w:w="1928" w:type="dxa"/>
          </w:tcPr>
          <w:p>
            <w:pPr>
              <w:pStyle w:val="Celda"/>
            </w:pPr>
          </w:p>
        </w:tc>
        <w:tc>
          <w:tcPr>
            <w:tcW w:w="1928" w:type="dxa"/>
          </w:tcPr>
          <w:p>
            <w:pPr>
              <w:pStyle w:val="Celda"/>
            </w:pPr>
            <w:r>
              <w:t xml:space="preserve">Supervisors and sector rules.</w:t>
            </w:r>
          </w:p>
        </w:tc>
        <w:tc>
          <w:tcPr>
            <w:tcW w:w="1928" w:type="dxa"/>
          </w:tcPr>
          <w:p>
            <w:pPr>
              <w:pStyle w:val="Celda"/>
            </w:pPr>
          </w:p>
        </w:tc>
        <w:tc>
          <w:tcPr>
            <w:tcW w:w="1928" w:type="dxa"/>
          </w:tcPr>
          <w:p>
            <w:pPr>
              <w:pStyle w:val="Celda"/>
            </w:pPr>
          </w:p>
        </w:tc>
      </w:tr>
      <w:tr>
        <w:tc>
          <w:tcPr>
            <w:tcW w:w="1928" w:type="dxa"/>
          </w:tcPr>
          <w:p>
            <w:pPr>
              <w:pStyle w:val="Celda"/>
            </w:pPr>
            <w:r>
              <w:t xml:space="preserve">Employment legislation</w:t>
            </w:r>
          </w:p>
        </w:tc>
        <w:tc>
          <w:tcPr>
            <w:tcW w:w="1928" w:type="dxa"/>
          </w:tcPr>
          <w:p>
            <w:pPr>
              <w:pStyle w:val="Celda"/>
            </w:pPr>
          </w:p>
        </w:tc>
        <w:tc>
          <w:tcPr>
            <w:tcW w:w="1928" w:type="dxa"/>
          </w:tcPr>
          <w:p>
            <w:pPr>
              <w:pStyle w:val="Celda"/>
            </w:pPr>
            <w:r>
              <w:t xml:space="preserve">If the system affects working conditions, access to employment or the evaluation of workers.</w:t>
            </w:r>
          </w:p>
        </w:tc>
        <w:tc>
          <w:tcPr>
            <w:tcW w:w="1928" w:type="dxa"/>
          </w:tcPr>
          <w:p>
            <w:pPr>
              <w:pStyle w:val="Celda"/>
            </w:pPr>
            <w:r>
              <w:t xml:space="preserve">Information to the workers' legal representatives (in Spain, Article 64.4.d of the Workers' Statute).</w:t>
            </w:r>
          </w:p>
        </w:tc>
        <w:tc>
          <w:tcPr>
            <w:tcW w:w="1928" w:type="dxa"/>
          </w:tcPr>
          <w:p>
            <w:pPr>
              <w:pStyle w:val="Celda"/>
            </w:pPr>
          </w:p>
        </w:tc>
      </w:tr>
      <w:tr>
        <w:tc>
          <w:tcPr>
            <w:tcW w:w="1928" w:type="dxa"/>
          </w:tcPr>
          <w:p>
            <w:pPr>
              <w:pStyle w:val="Celda"/>
            </w:pPr>
            <w:r>
              <w:t xml:space="preserve">Consumer protection, advertising and distance contracts</w:t>
            </w:r>
          </w:p>
        </w:tc>
        <w:tc>
          <w:tcPr>
            <w:tcW w:w="1928" w:type="dxa"/>
          </w:tcPr>
          <w:p>
            <w:pPr>
              <w:pStyle w:val="Celda"/>
            </w:pPr>
          </w:p>
        </w:tc>
        <w:tc>
          <w:tcPr>
            <w:tcW w:w="1928" w:type="dxa"/>
          </w:tcPr>
          <w:p>
            <w:pPr>
              <w:pStyle w:val="Celda"/>
            </w:pPr>
            <w:r>
              <w:t xml:space="preserve">If there is interaction with customers.</w:t>
            </w:r>
          </w:p>
        </w:tc>
        <w:tc>
          <w:tcPr>
            <w:tcW w:w="1928" w:type="dxa"/>
          </w:tcPr>
          <w:p>
            <w:pPr>
              <w:pStyle w:val="Celda"/>
            </w:pPr>
            <w:r>
              <w:t xml:space="preserve">Pre-contractual information, commercial practices, complaints.</w:t>
            </w:r>
          </w:p>
        </w:tc>
        <w:tc>
          <w:tcPr>
            <w:tcW w:w="1928" w:type="dxa"/>
          </w:tcPr>
          <w:p>
            <w:pPr>
              <w:pStyle w:val="Celda"/>
            </w:pPr>
          </w:p>
        </w:tc>
      </w:tr>
      <w:tr>
        <w:tc>
          <w:tcPr>
            <w:tcW w:w="1928" w:type="dxa"/>
          </w:tcPr>
          <w:p>
            <w:pPr>
              <w:pStyle w:val="Celda"/>
            </w:pPr>
            <w:r>
              <w:t xml:space="preserve">Intellectual property and trade secrets </w:t>
            </w:r>
            <w:r>
              <w:rPr>
                <w:b/>
              </w:rPr>
              <w:t xml:space="preserve">(Enterprise)</w:t>
            </w:r>
          </w:p>
        </w:tc>
        <w:tc>
          <w:tcPr>
            <w:tcW w:w="1928" w:type="dxa"/>
          </w:tcPr>
          <w:p>
            <w:pPr>
              <w:pStyle w:val="Celda"/>
            </w:pPr>
          </w:p>
        </w:tc>
        <w:tc>
          <w:tcPr>
            <w:tcW w:w="1928" w:type="dxa"/>
          </w:tcPr>
          <w:p>
            <w:pPr>
              <w:pStyle w:val="Celda"/>
            </w:pPr>
            <w:r>
              <w:t xml:space="preserve">Use of third-party content or content generation.</w:t>
            </w:r>
          </w:p>
        </w:tc>
        <w:tc>
          <w:tcPr>
            <w:tcW w:w="1928" w:type="dxa"/>
          </w:tcPr>
          <w:p>
            <w:pPr>
              <w:pStyle w:val="Celda"/>
            </w:pPr>
            <w:r>
              <w:t xml:space="preserve">Licences for data and outputs.</w:t>
            </w:r>
          </w:p>
        </w:tc>
        <w:tc>
          <w:tcPr>
            <w:tcW w:w="1928" w:type="dxa"/>
          </w:tcPr>
          <w:p>
            <w:pPr>
              <w:pStyle w:val="Celda"/>
            </w:pPr>
          </w:p>
        </w:tc>
      </w:tr>
      <w:tr>
        <w:tc>
          <w:tcPr>
            <w:tcW w:w="1928" w:type="dxa"/>
          </w:tcPr>
          <w:p>
            <w:pPr>
              <w:pStyle w:val="Celda"/>
            </w:pPr>
            <w:r>
              <w:t xml:space="preserve">Accessibility </w:t>
            </w:r>
            <w:r>
              <w:rPr>
                <w:b/>
              </w:rPr>
              <w:t xml:space="preserve">(Enterprise)</w:t>
            </w:r>
          </w:p>
        </w:tc>
        <w:tc>
          <w:tcPr>
            <w:tcW w:w="1928" w:type="dxa"/>
          </w:tcPr>
          <w:p>
            <w:pPr>
              <w:pStyle w:val="Celda"/>
            </w:pPr>
          </w:p>
        </w:tc>
        <w:tc>
          <w:tcPr>
            <w:tcW w:w="1928" w:type="dxa"/>
          </w:tcPr>
          <w:p>
            <w:pPr>
              <w:pStyle w:val="Celda"/>
            </w:pPr>
            <w:r>
              <w:t xml:space="preserve">Products or services covered by Directive (EU) 2019/882 on accessibility requirements (in Spain, Law 11/2023).</w:t>
            </w:r>
          </w:p>
        </w:tc>
        <w:tc>
          <w:tcPr>
            <w:tcW w:w="1928" w:type="dxa"/>
          </w:tcPr>
          <w:p>
            <w:pPr>
              <w:pStyle w:val="Celda"/>
            </w:pPr>
          </w:p>
        </w:tc>
        <w:tc>
          <w:tcPr>
            <w:tcW w:w="1928" w:type="dxa"/>
          </w:tcPr>
          <w:p>
            <w:pPr>
              <w:pStyle w:val="Celda"/>
            </w:pPr>
          </w:p>
        </w:tc>
      </w:tr>
      <w:tr>
        <w:tc>
          <w:tcPr>
            <w:tcW w:w="1928" w:type="dxa"/>
          </w:tcPr>
          <w:p>
            <w:pPr>
              <w:pStyle w:val="Celda"/>
            </w:pPr>
            <w:r>
              <w:t xml:space="preserve">Internal rules</w:t>
            </w:r>
          </w:p>
        </w:tc>
        <w:tc>
          <w:tcPr>
            <w:tcW w:w="1928" w:type="dxa"/>
          </w:tcPr>
          <w:p>
            <w:pPr>
              <w:pStyle w:val="Celda"/>
            </w:pPr>
          </w:p>
        </w:tc>
        <w:tc>
          <w:tcPr>
            <w:tcW w:w="1928" w:type="dxa"/>
          </w:tcPr>
          <w:p>
            <w:pPr>
              <w:pStyle w:val="Celda"/>
            </w:pPr>
            <w:r>
              <w:t xml:space="preserve">Corporate AI and acceptable use policy (document 31), security, data protection, procurement.</w:t>
            </w: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5. Ethical and usage constraints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Applicable corporate principles</w:t>
            </w:r>
          </w:p>
        </w:tc>
        <w:tc>
          <w:tcPr>
            <w:tcW w:w="3213" w:type="dxa"/>
          </w:tcPr>
          <w:p>
            <w:pPr>
              <w:pStyle w:val="Celda"/>
            </w:pPr>
          </w:p>
        </w:tc>
        <w:tc>
          <w:tcPr>
            <w:tcW w:w="3213" w:type="dxa"/>
          </w:tcPr>
          <w:p>
            <w:pPr>
              <w:pStyle w:val="Celda"/>
            </w:pPr>
            <w:r>
              <w:t xml:space="preserve">Principles of the corporate AI policy that shape the design.</w:t>
            </w:r>
          </w:p>
        </w:tc>
      </w:tr>
      <w:tr>
        <w:tc>
          <w:tcPr>
            <w:tcW w:w="3213" w:type="dxa"/>
          </w:tcPr>
          <w:p>
            <w:pPr>
              <w:pStyle w:val="Celda"/>
            </w:pPr>
            <w:r>
              <w:t xml:space="preserve">Non-permitted uses</w:t>
            </w:r>
          </w:p>
        </w:tc>
        <w:tc>
          <w:tcPr>
            <w:tcW w:w="3213" w:type="dxa"/>
          </w:tcPr>
          <w:p>
            <w:pPr>
              <w:pStyle w:val="Celda"/>
            </w:pPr>
          </w:p>
        </w:tc>
        <w:tc>
          <w:tcPr>
            <w:tcW w:w="3213" w:type="dxa"/>
          </w:tcPr>
          <w:p>
            <w:pPr>
              <w:pStyle w:val="Celda"/>
            </w:pPr>
            <w:r>
              <w:t xml:space="preserve">Uses expressly prohibited by the company, in addition to the practices prohibited by regulation.</w:t>
            </w:r>
          </w:p>
        </w:tc>
      </w:tr>
      <w:tr>
        <w:tc>
          <w:tcPr>
            <w:tcW w:w="3213" w:type="dxa"/>
          </w:tcPr>
          <w:p>
            <w:pPr>
              <w:pStyle w:val="Celda"/>
            </w:pPr>
            <w:r>
              <w:t xml:space="preserve">Vulnerable persons or groups</w:t>
            </w:r>
          </w:p>
        </w:tc>
        <w:tc>
          <w:tcPr>
            <w:tcW w:w="3213" w:type="dxa"/>
          </w:tcPr>
          <w:p>
            <w:pPr>
              <w:pStyle w:val="Celda"/>
            </w:pPr>
          </w:p>
        </w:tc>
        <w:tc>
          <w:tcPr>
            <w:tcW w:w="3213" w:type="dxa"/>
          </w:tcPr>
          <w:p>
            <w:pPr>
              <w:pStyle w:val="Celda"/>
            </w:pPr>
            <w:r>
              <w:t xml:space="preserve">Minors, older people, persons with disabilities, situations of financial hardship.</w:t>
            </w:r>
          </w:p>
        </w:tc>
      </w:tr>
      <w:tr>
        <w:tc>
          <w:tcPr>
            <w:tcW w:w="3213" w:type="dxa"/>
          </w:tcPr>
          <w:p>
            <w:pPr>
              <w:pStyle w:val="Celda"/>
            </w:pPr>
            <w:r>
              <w:t xml:space="preserve">Minimum human oversight required</w:t>
            </w:r>
          </w:p>
        </w:tc>
        <w:tc>
          <w:tcPr>
            <w:tcW w:w="3213" w:type="dxa"/>
          </w:tcPr>
          <w:p>
            <w:pPr>
              <w:pStyle w:val="Celda"/>
            </w:pPr>
          </w:p>
        </w:tc>
        <w:tc>
          <w:tcPr>
            <w:tcW w:w="3213" w:type="dxa"/>
          </w:tcPr>
          <w:p>
            <w:pPr>
              <w:pStyle w:val="Celda"/>
            </w:pPr>
            <w:r>
              <w:t xml:space="preserve">Which decisions must always remain in the hands of a person.</w:t>
            </w:r>
          </w:p>
        </w:tc>
      </w:tr>
      <w:tr>
        <w:tc>
          <w:tcPr>
            <w:tcW w:w="3213" w:type="dxa"/>
          </w:tcPr>
          <w:p>
            <w:pPr>
              <w:pStyle w:val="Celda"/>
            </w:pPr>
            <w:r>
              <w:t xml:space="preserve">Maximum autonomy permitted</w:t>
            </w:r>
          </w:p>
        </w:tc>
        <w:tc>
          <w:tcPr>
            <w:tcW w:w="3213" w:type="dxa"/>
          </w:tcPr>
          <w:p>
            <w:pPr>
              <w:pStyle w:val="Celda"/>
            </w:pPr>
          </w:p>
        </w:tc>
        <w:tc>
          <w:tcPr>
            <w:tcW w:w="3213" w:type="dxa"/>
          </w:tcPr>
          <w:p>
            <w:pPr>
              <w:pStyle w:val="Celda"/>
            </w:pPr>
            <w:r>
              <w:t xml:space="preserve">A0 Assistance · A1 Recommendation · A2 Supervised action · A3 Autonomous action (document 35).</w:t>
            </w:r>
          </w:p>
        </w:tc>
      </w:tr>
      <w:tr>
        <w:tc>
          <w:tcPr>
            <w:tcW w:w="3213" w:type="dxa"/>
          </w:tcPr>
          <w:p>
            <w:pPr>
              <w:pStyle w:val="Celda"/>
            </w:pPr>
            <w:r>
              <w:t xml:space="preserve">Red lines</w:t>
            </w:r>
          </w:p>
        </w:tc>
        <w:tc>
          <w:tcPr>
            <w:tcW w:w="3213" w:type="dxa"/>
          </w:tcPr>
          <w:p>
            <w:pPr>
              <w:pStyle w:val="Celda"/>
            </w:pPr>
          </w:p>
        </w:tc>
        <w:tc>
          <w:tcPr>
            <w:tcW w:w="3213" w:type="dxa"/>
          </w:tcPr>
          <w:p>
            <w:pPr>
              <w:pStyle w:val="Celda"/>
            </w:pPr>
            <w:r>
              <w:t xml:space="preserve">What the initiative will not do under any circumstances. </w:t>
            </w:r>
            <w:r>
              <w:rPr>
                <w:i/>
              </w:rPr>
              <w:t xml:space="preserve">Illustrative example: the assistant will not modify orders or issue refunds.</w:t>
            </w:r>
          </w:p>
        </w:tc>
      </w:tr>
    </w:tbl>
    <w:p>
      <w:pPr>
        <w:pStyle w:val="Espacio"/>
      </w:pPr>
    </w:p>
    <w:p>
      <w:pPr>
        <w:pStyle w:val="Separador"/>
      </w:pPr>
    </w:p>
    <w:p>
      <w:pPr>
        <w:pStyle w:val="Heading1"/>
      </w:pPr>
      <w:r>
        <w:t xml:space="preserve">6. Data constraints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Planned data sources</w:t>
            </w:r>
          </w:p>
        </w:tc>
        <w:tc>
          <w:tcPr>
            <w:tcW w:w="3213" w:type="dxa"/>
          </w:tcPr>
          <w:p>
            <w:pPr>
              <w:pStyle w:val="Celda"/>
            </w:pPr>
          </w:p>
        </w:tc>
        <w:tc>
          <w:tcPr>
            <w:tcW w:w="3213" w:type="dxa"/>
          </w:tcPr>
          <w:p>
            <w:pPr>
              <w:pStyle w:val="Celda"/>
            </w:pPr>
            <w:r>
              <w:t xml:space="preserve">Systems, files or suppliers.</w:t>
            </w:r>
          </w:p>
        </w:tc>
      </w:tr>
      <w:tr>
        <w:tc>
          <w:tcPr>
            <w:tcW w:w="3213" w:type="dxa"/>
          </w:tcPr>
          <w:p>
            <w:pPr>
              <w:pStyle w:val="Celda"/>
            </w:pPr>
            <w:r>
              <w:t xml:space="preserve">Personal data</w:t>
            </w:r>
          </w:p>
        </w:tc>
        <w:tc>
          <w:tcPr>
            <w:tcW w:w="3213" w:type="dxa"/>
          </w:tcPr>
          <w:p>
            <w:pPr>
              <w:pStyle w:val="Celda"/>
            </w:pPr>
          </w:p>
        </w:tc>
        <w:tc>
          <w:tcPr>
            <w:tcW w:w="3213" w:type="dxa"/>
          </w:tcPr>
          <w:p>
            <w:pPr>
              <w:pStyle w:val="Celda"/>
            </w:pPr>
            <w:r>
              <w:t xml:space="preserve">Yes · No. If yes, categories of data subjects.</w:t>
            </w:r>
          </w:p>
        </w:tc>
      </w:tr>
      <w:tr>
        <w:tc>
          <w:tcPr>
            <w:tcW w:w="3213" w:type="dxa"/>
          </w:tcPr>
          <w:p>
            <w:pPr>
              <w:pStyle w:val="Celda"/>
            </w:pPr>
            <w:r>
              <w:t xml:space="preserve">Special categories or specially protected data</w:t>
            </w:r>
          </w:p>
        </w:tc>
        <w:tc>
          <w:tcPr>
            <w:tcW w:w="3213" w:type="dxa"/>
          </w:tcPr>
          <w:p>
            <w:pPr>
              <w:pStyle w:val="Celda"/>
            </w:pPr>
          </w:p>
        </w:tc>
        <w:tc>
          <w:tcPr>
            <w:tcW w:w="3213" w:type="dxa"/>
          </w:tcPr>
          <w:p>
            <w:pPr>
              <w:pStyle w:val="Celda"/>
            </w:pPr>
            <w:r>
              <w:t xml:space="preserve">Yes · No · To be determined. If yes, it triggers Enterprise criterion 5 in P04.</w:t>
            </w:r>
          </w:p>
        </w:tc>
      </w:tr>
      <w:tr>
        <w:tc>
          <w:tcPr>
            <w:tcW w:w="3213" w:type="dxa"/>
          </w:tcPr>
          <w:p>
            <w:pPr>
              <w:pStyle w:val="Celda"/>
            </w:pPr>
            <w:r>
              <w:t xml:space="preserve">Critical confidential information</w:t>
            </w:r>
          </w:p>
        </w:tc>
        <w:tc>
          <w:tcPr>
            <w:tcW w:w="3213" w:type="dxa"/>
          </w:tcPr>
          <w:p>
            <w:pPr>
              <w:pStyle w:val="Celda"/>
            </w:pPr>
          </w:p>
        </w:tc>
        <w:tc>
          <w:tcPr>
            <w:tcW w:w="3213" w:type="dxa"/>
          </w:tcPr>
          <w:p>
            <w:pPr>
              <w:pStyle w:val="Celda"/>
            </w:pPr>
            <w:r>
              <w:t xml:space="preserve">Trade secrets, inside information, customer data subject to secrecy.</w:t>
            </w:r>
          </w:p>
        </w:tc>
      </w:tr>
      <w:tr>
        <w:tc>
          <w:tcPr>
            <w:tcW w:w="3213" w:type="dxa"/>
          </w:tcPr>
          <w:p>
            <w:pPr>
              <w:pStyle w:val="Celda"/>
            </w:pPr>
            <w:r>
              <w:t xml:space="preserve">Legal basis and purpose</w:t>
            </w:r>
          </w:p>
        </w:tc>
        <w:tc>
          <w:tcPr>
            <w:tcW w:w="3213" w:type="dxa"/>
          </w:tcPr>
          <w:p>
            <w:pPr>
              <w:pStyle w:val="Celda"/>
            </w:pPr>
          </w:p>
        </w:tc>
        <w:tc>
          <w:tcPr>
            <w:tcW w:w="3213" w:type="dxa"/>
          </w:tcPr>
          <w:p>
            <w:pPr>
              <w:pStyle w:val="Celda"/>
            </w:pPr>
            <w:r>
              <w:t xml:space="preserve">Reference to the record of processing activities. Use compatible with the original purpose.</w:t>
            </w:r>
          </w:p>
        </w:tc>
      </w:tr>
      <w:tr>
        <w:tc>
          <w:tcPr>
            <w:tcW w:w="3213" w:type="dxa"/>
          </w:tcPr>
          <w:p>
            <w:pPr>
              <w:pStyle w:val="Celda"/>
            </w:pPr>
            <w:r>
              <w:t xml:space="preserve">Location and international transfers</w:t>
            </w:r>
          </w:p>
        </w:tc>
        <w:tc>
          <w:tcPr>
            <w:tcW w:w="3213" w:type="dxa"/>
          </w:tcPr>
          <w:p>
            <w:pPr>
              <w:pStyle w:val="Celda"/>
            </w:pPr>
          </w:p>
        </w:tc>
        <w:tc>
          <w:tcPr>
            <w:tcW w:w="3213" w:type="dxa"/>
          </w:tcPr>
          <w:p>
            <w:pPr>
              <w:pStyle w:val="Celda"/>
            </w:pPr>
            <w:r>
              <w:t xml:space="preserve">Where the data will be processed and whether it leaves the European Economic Area.</w:t>
            </w:r>
          </w:p>
        </w:tc>
      </w:tr>
      <w:tr>
        <w:tc>
          <w:tcPr>
            <w:tcW w:w="3213" w:type="dxa"/>
          </w:tcPr>
          <w:p>
            <w:pPr>
              <w:pStyle w:val="Celda"/>
            </w:pPr>
            <w:r>
              <w:t xml:space="preserve">Use of data by suppliers</w:t>
            </w:r>
          </w:p>
        </w:tc>
        <w:tc>
          <w:tcPr>
            <w:tcW w:w="3213" w:type="dxa"/>
          </w:tcPr>
          <w:p>
            <w:pPr>
              <w:pStyle w:val="Celda"/>
            </w:pPr>
          </w:p>
        </w:tc>
        <w:tc>
          <w:tcPr>
            <w:tcW w:w="3213" w:type="dxa"/>
          </w:tcPr>
          <w:p>
            <w:pPr>
              <w:pStyle w:val="Celda"/>
            </w:pPr>
            <w:r>
              <w:t xml:space="preserve">Whether the supplier may use data or prompts to train or improve its models. It must be prohibited or regulated by contract.</w:t>
            </w:r>
          </w:p>
        </w:tc>
      </w:tr>
      <w:tr>
        <w:tc>
          <w:tcPr>
            <w:tcW w:w="3213" w:type="dxa"/>
          </w:tcPr>
          <w:p>
            <w:pPr>
              <w:pStyle w:val="Celda"/>
            </w:pPr>
            <w:r>
              <w:t xml:space="preserve">Known quality</w:t>
            </w:r>
          </w:p>
        </w:tc>
        <w:tc>
          <w:tcPr>
            <w:tcW w:w="3213" w:type="dxa"/>
          </w:tcPr>
          <w:p>
            <w:pPr>
              <w:pStyle w:val="Celda"/>
            </w:pPr>
          </w:p>
        </w:tc>
        <w:tc>
          <w:tcPr>
            <w:tcW w:w="3213" w:type="dxa"/>
          </w:tcPr>
          <w:p>
            <w:pPr>
              <w:pStyle w:val="Celda"/>
            </w:pPr>
            <w:r>
              <w:t xml:space="preserve">Quality, completeness or bias problems already known.</w:t>
            </w:r>
          </w:p>
        </w:tc>
      </w:tr>
      <w:tr>
        <w:tc>
          <w:tcPr>
            <w:tcW w:w="3213" w:type="dxa"/>
          </w:tcPr>
          <w:p>
            <w:pPr>
              <w:pStyle w:val="Celda"/>
            </w:pPr>
            <w:r>
              <w:t xml:space="preserve">Retention and deletion </w:t>
            </w:r>
            <w:r>
              <w:rPr>
                <w:b/>
              </w:rPr>
              <w:t xml:space="preserve">(Enterprise)</w:t>
            </w:r>
          </w:p>
        </w:tc>
        <w:tc>
          <w:tcPr>
            <w:tcW w:w="3213" w:type="dxa"/>
          </w:tcPr>
          <w:p>
            <w:pPr>
              <w:pStyle w:val="Celda"/>
            </w:pPr>
          </w:p>
        </w:tc>
        <w:tc>
          <w:tcPr>
            <w:tcW w:w="3213" w:type="dxa"/>
          </w:tcPr>
          <w:p>
            <w:pPr>
              <w:pStyle w:val="Celda"/>
            </w:pPr>
            <w:r>
              <w:t xml:space="preserve">Retention periods for inputs, outputs and logs.</w:t>
            </w:r>
          </w:p>
        </w:tc>
      </w:tr>
    </w:tbl>
    <w:p>
      <w:pPr>
        <w:pStyle w:val="Espacio"/>
      </w:pPr>
    </w:p>
    <w:p>
      <w:pPr>
        <w:pStyle w:val="Separador"/>
      </w:pPr>
    </w:p>
    <w:p>
      <w:pPr>
        <w:pStyle w:val="Heading1"/>
      </w:pPr>
      <w:r>
        <w:t xml:space="preserve">7. Budgetary and time constraints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Maximum budget</w:t>
            </w:r>
          </w:p>
        </w:tc>
        <w:tc>
          <w:tcPr>
            <w:tcW w:w="3213" w:type="dxa"/>
          </w:tcPr>
          <w:p>
            <w:pPr>
              <w:pStyle w:val="Celda"/>
            </w:pPr>
          </w:p>
        </w:tc>
        <w:tc>
          <w:tcPr>
            <w:tcW w:w="3213" w:type="dxa"/>
          </w:tcPr>
          <w:p>
            <w:pPr>
              <w:pStyle w:val="Celda"/>
            </w:pPr>
            <w:r>
              <w:t xml:space="preserve">Authorised cap and review point (consistent with P01).</w:t>
            </w:r>
          </w:p>
        </w:tc>
      </w:tr>
      <w:tr>
        <w:tc>
          <w:tcPr>
            <w:tcW w:w="3213" w:type="dxa"/>
          </w:tcPr>
          <w:p>
            <w:pPr>
              <w:pStyle w:val="Celda"/>
            </w:pPr>
            <w:r>
              <w:t xml:space="preserve">Recurring cost constraints</w:t>
            </w:r>
          </w:p>
        </w:tc>
        <w:tc>
          <w:tcPr>
            <w:tcW w:w="3213" w:type="dxa"/>
          </w:tcPr>
          <w:p>
            <w:pPr>
              <w:pStyle w:val="Celda"/>
            </w:pPr>
          </w:p>
        </w:tc>
        <w:tc>
          <w:tcPr>
            <w:tcW w:w="3213" w:type="dxa"/>
          </w:tcPr>
          <w:p>
            <w:pPr>
              <w:pStyle w:val="Celda"/>
            </w:pPr>
            <w:r>
              <w:t xml:space="preserve">Maximum acceptable annual cost in operation.</w:t>
            </w:r>
          </w:p>
        </w:tc>
      </w:tr>
      <w:tr>
        <w:tc>
          <w:tcPr>
            <w:tcW w:w="3213" w:type="dxa"/>
          </w:tcPr>
          <w:p>
            <w:pPr>
              <w:pStyle w:val="Celda"/>
            </w:pPr>
            <w:r>
              <w:t xml:space="preserve">External deadlines</w:t>
            </w:r>
          </w:p>
        </w:tc>
        <w:tc>
          <w:tcPr>
            <w:tcW w:w="3213" w:type="dxa"/>
          </w:tcPr>
          <w:p>
            <w:pPr>
              <w:pStyle w:val="Celda"/>
            </w:pPr>
          </w:p>
        </w:tc>
        <w:tc>
          <w:tcPr>
            <w:tcW w:w="3213" w:type="dxa"/>
          </w:tcPr>
          <w:p>
            <w:pPr>
              <w:pStyle w:val="Celda"/>
            </w:pPr>
            <w:r>
              <w:t xml:space="preserve">Regulatory, contractual or business dates that cannot be moved.</w:t>
            </w:r>
          </w:p>
        </w:tc>
      </w:tr>
      <w:tr>
        <w:tc>
          <w:tcPr>
            <w:tcW w:w="3213" w:type="dxa"/>
          </w:tcPr>
          <w:p>
            <w:pPr>
              <w:pStyle w:val="Celda"/>
            </w:pPr>
            <w:r>
              <w:t xml:space="preserve">Change windows</w:t>
            </w:r>
          </w:p>
        </w:tc>
        <w:tc>
          <w:tcPr>
            <w:tcW w:w="3213" w:type="dxa"/>
          </w:tcPr>
          <w:p>
            <w:pPr>
              <w:pStyle w:val="Celda"/>
            </w:pPr>
          </w:p>
        </w:tc>
        <w:tc>
          <w:tcPr>
            <w:tcW w:w="3213" w:type="dxa"/>
          </w:tcPr>
          <w:p>
            <w:pPr>
              <w:pStyle w:val="Celda"/>
            </w:pPr>
            <w:r>
              <w:t xml:space="preserve">Periods during which deployments cannot be made (closings, campaigns).</w:t>
            </w:r>
          </w:p>
        </w:tc>
      </w:tr>
    </w:tbl>
    <w:p>
      <w:pPr>
        <w:pStyle w:val="Espacio"/>
      </w:pPr>
    </w:p>
    <w:p>
      <w:pPr>
        <w:pStyle w:val="Separador"/>
      </w:pPr>
    </w:p>
    <w:p>
      <w:pPr>
        <w:pStyle w:val="Heading1"/>
      </w:pPr>
      <w:r>
        <w:t xml:space="preserve">8. Technological and third-party constraints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Corporate architecture and platforms</w:t>
            </w:r>
          </w:p>
        </w:tc>
        <w:tc>
          <w:tcPr>
            <w:tcW w:w="3213" w:type="dxa"/>
          </w:tcPr>
          <w:p>
            <w:pPr>
              <w:pStyle w:val="Celda"/>
            </w:pPr>
          </w:p>
        </w:tc>
        <w:tc>
          <w:tcPr>
            <w:tcW w:w="3213" w:type="dxa"/>
          </w:tcPr>
          <w:p>
            <w:pPr>
              <w:pStyle w:val="Celda"/>
            </w:pPr>
            <w:r>
              <w:t xml:space="preserve">Mandatory or excluded platforms.</w:t>
            </w:r>
          </w:p>
        </w:tc>
      </w:tr>
      <w:tr>
        <w:tc>
          <w:tcPr>
            <w:tcW w:w="3213" w:type="dxa"/>
          </w:tcPr>
          <w:p>
            <w:pPr>
              <w:pStyle w:val="Celda"/>
            </w:pPr>
            <w:r>
              <w:t xml:space="preserve">Approved suppliers</w:t>
            </w:r>
          </w:p>
        </w:tc>
        <w:tc>
          <w:tcPr>
            <w:tcW w:w="3213" w:type="dxa"/>
          </w:tcPr>
          <w:p>
            <w:pPr>
              <w:pStyle w:val="Celda"/>
            </w:pPr>
          </w:p>
        </w:tc>
        <w:tc>
          <w:tcPr>
            <w:tcW w:w="3213" w:type="dxa"/>
          </w:tcPr>
          <w:p>
            <w:pPr>
              <w:pStyle w:val="Celda"/>
            </w:pPr>
            <w:r>
              <w:t xml:space="preserve">Whether the company requires already approved suppliers or a specific procurement process.</w:t>
            </w:r>
          </w:p>
        </w:tc>
      </w:tr>
      <w:tr>
        <w:tc>
          <w:tcPr>
            <w:tcW w:w="3213" w:type="dxa"/>
          </w:tcPr>
          <w:p>
            <w:pPr>
              <w:pStyle w:val="Celda"/>
            </w:pPr>
            <w:r>
              <w:t xml:space="preserve">Security requirements</w:t>
            </w:r>
          </w:p>
        </w:tc>
        <w:tc>
          <w:tcPr>
            <w:tcW w:w="3213" w:type="dxa"/>
          </w:tcPr>
          <w:p>
            <w:pPr>
              <w:pStyle w:val="Celda"/>
            </w:pPr>
          </w:p>
        </w:tc>
        <w:tc>
          <w:tcPr>
            <w:tcW w:w="3213" w:type="dxa"/>
          </w:tcPr>
          <w:p>
            <w:pPr>
              <w:pStyle w:val="Celda"/>
            </w:pPr>
            <w:r>
              <w:t xml:space="preserve">Information classification, identity and access requirements, permitted environments.</w:t>
            </w:r>
          </w:p>
        </w:tc>
      </w:tr>
      <w:tr>
        <w:tc>
          <w:tcPr>
            <w:tcW w:w="3213" w:type="dxa"/>
          </w:tcPr>
          <w:p>
            <w:pPr>
              <w:pStyle w:val="Celda"/>
            </w:pPr>
            <w:r>
              <w:t xml:space="preserve">Dependency and substitutability </w:t>
            </w:r>
            <w:r>
              <w:rPr>
                <w:b/>
              </w:rPr>
              <w:t xml:space="preserve">(Enterprise)</w:t>
            </w:r>
          </w:p>
        </w:tc>
        <w:tc>
          <w:tcPr>
            <w:tcW w:w="3213" w:type="dxa"/>
          </w:tcPr>
          <w:p>
            <w:pPr>
              <w:pStyle w:val="Celda"/>
            </w:pPr>
          </w:p>
        </w:tc>
        <w:tc>
          <w:tcPr>
            <w:tcW w:w="3213" w:type="dxa"/>
          </w:tcPr>
          <w:p>
            <w:pPr>
              <w:pStyle w:val="Celda"/>
            </w:pPr>
            <w:r>
              <w:t xml:space="preserve">Limits on concentration in one supplier; requirement for an exit plan.</w:t>
            </w:r>
          </w:p>
        </w:tc>
      </w:tr>
      <w:tr>
        <w:tc>
          <w:tcPr>
            <w:tcW w:w="3213" w:type="dxa"/>
          </w:tcPr>
          <w:p>
            <w:pPr>
              <w:pStyle w:val="Celda"/>
            </w:pPr>
            <w:r>
              <w:t xml:space="preserve">Critical or important functions </w:t>
            </w:r>
            <w:r>
              <w:rPr>
                <w:b/>
              </w:rPr>
              <w:t xml:space="preserve">(Enterprise)</w:t>
            </w:r>
          </w:p>
        </w:tc>
        <w:tc>
          <w:tcPr>
            <w:tcW w:w="3213" w:type="dxa"/>
          </w:tcPr>
          <w:p>
            <w:pPr>
              <w:pStyle w:val="Celda"/>
            </w:pPr>
          </w:p>
        </w:tc>
        <w:tc>
          <w:tcPr>
            <w:tcW w:w="3213" w:type="dxa"/>
          </w:tcPr>
          <w:p>
            <w:pPr>
              <w:pStyle w:val="Celda"/>
            </w:pPr>
            <w:r>
              <w:t xml:space="preserve">Whether the system will support a critical function, with the corresponding resilience requirements.</w:t>
            </w:r>
          </w:p>
        </w:tc>
      </w:tr>
    </w:tbl>
    <w:p>
      <w:pPr>
        <w:pStyle w:val="Espacio"/>
      </w:pPr>
    </w:p>
    <w:p>
      <w:pPr>
        <w:pStyle w:val="Separador"/>
      </w:pPr>
    </w:p>
    <w:p>
      <w:pPr>
        <w:pStyle w:val="Heading1"/>
      </w:pPr>
      <w:r>
        <w:t xml:space="preserve">9. Organisational and people constraints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Available capacity</w:t>
            </w:r>
          </w:p>
        </w:tc>
        <w:tc>
          <w:tcPr>
            <w:tcW w:w="3213" w:type="dxa"/>
          </w:tcPr>
          <w:p>
            <w:pPr>
              <w:pStyle w:val="Celda"/>
            </w:pPr>
          </w:p>
        </w:tc>
        <w:tc>
          <w:tcPr>
            <w:tcW w:w="3213" w:type="dxa"/>
          </w:tcPr>
          <w:p>
            <w:pPr>
              <w:pStyle w:val="Celda"/>
            </w:pPr>
            <w:r>
              <w:t xml:space="preserve">People and time commitment the area can contribute.</w:t>
            </w:r>
          </w:p>
        </w:tc>
      </w:tr>
      <w:tr>
        <w:tc>
          <w:tcPr>
            <w:tcW w:w="3213" w:type="dxa"/>
          </w:tcPr>
          <w:p>
            <w:pPr>
              <w:pStyle w:val="Celda"/>
            </w:pPr>
            <w:r>
              <w:t xml:space="preserve">Expected effect on work</w:t>
            </w:r>
          </w:p>
        </w:tc>
        <w:tc>
          <w:tcPr>
            <w:tcW w:w="3213" w:type="dxa"/>
          </w:tcPr>
          <w:p>
            <w:pPr>
              <w:pStyle w:val="Celda"/>
            </w:pPr>
          </w:p>
        </w:tc>
        <w:tc>
          <w:tcPr>
            <w:tcW w:w="3213" w:type="dxa"/>
          </w:tcPr>
          <w:p>
            <w:pPr>
              <w:pStyle w:val="Celda"/>
            </w:pPr>
            <w:r>
              <w:t xml:space="preserve">Tasks, roles or jobs that could change.</w:t>
            </w:r>
          </w:p>
        </w:tc>
      </w:tr>
      <w:tr>
        <w:tc>
          <w:tcPr>
            <w:tcW w:w="3213" w:type="dxa"/>
          </w:tcPr>
          <w:p>
            <w:pPr>
              <w:pStyle w:val="Celda"/>
            </w:pPr>
            <w:r>
              <w:t xml:space="preserve">Training and AI literacy</w:t>
            </w:r>
          </w:p>
        </w:tc>
        <w:tc>
          <w:tcPr>
            <w:tcW w:w="3213" w:type="dxa"/>
          </w:tcPr>
          <w:p>
            <w:pPr>
              <w:pStyle w:val="Celda"/>
            </w:pPr>
          </w:p>
        </w:tc>
        <w:tc>
          <w:tcPr>
            <w:tcW w:w="3213" w:type="dxa"/>
          </w:tcPr>
          <w:p>
            <w:pPr>
              <w:pStyle w:val="Celda"/>
            </w:pPr>
            <w:r>
              <w:t xml:space="preserve">Level of knowledge required for users and supervisors.</w:t>
            </w:r>
          </w:p>
        </w:tc>
      </w:tr>
      <w:tr>
        <w:tc>
          <w:tcPr>
            <w:tcW w:w="3213" w:type="dxa"/>
          </w:tcPr>
          <w:p>
            <w:pPr>
              <w:pStyle w:val="Celda"/>
            </w:pPr>
            <w:r>
              <w:t xml:space="preserve">Labour relations</w:t>
            </w:r>
          </w:p>
        </w:tc>
        <w:tc>
          <w:tcPr>
            <w:tcW w:w="3213" w:type="dxa"/>
          </w:tcPr>
          <w:p>
            <w:pPr>
              <w:pStyle w:val="Celda"/>
            </w:pPr>
          </w:p>
        </w:tc>
        <w:tc>
          <w:tcPr>
            <w:tcW w:w="3213" w:type="dxa"/>
          </w:tcPr>
          <w:p>
            <w:pPr>
              <w:pStyle w:val="Celda"/>
            </w:pPr>
            <w:r>
              <w:t xml:space="preserve">Obligations to inform or consult workers' representatives.</w:t>
            </w:r>
          </w:p>
        </w:tc>
      </w:tr>
      <w:tr>
        <w:tc>
          <w:tcPr>
            <w:tcW w:w="3213" w:type="dxa"/>
          </w:tcPr>
          <w:p>
            <w:pPr>
              <w:pStyle w:val="Celda"/>
            </w:pPr>
            <w:r>
              <w:t xml:space="preserve">Languages, channels and accessibility</w:t>
            </w:r>
          </w:p>
        </w:tc>
        <w:tc>
          <w:tcPr>
            <w:tcW w:w="3213" w:type="dxa"/>
          </w:tcPr>
          <w:p>
            <w:pPr>
              <w:pStyle w:val="Celda"/>
            </w:pPr>
          </w:p>
        </w:tc>
        <w:tc>
          <w:tcPr>
            <w:tcW w:w="3213" w:type="dxa"/>
          </w:tcPr>
          <w:p>
            <w:pPr>
              <w:pStyle w:val="Celda"/>
            </w:pPr>
            <w:r>
              <w:t xml:space="preserve">Usage requirements for internal or external users.</w:t>
            </w:r>
          </w:p>
        </w:tc>
      </w:tr>
    </w:tbl>
    <w:p>
      <w:pPr>
        <w:pStyle w:val="Espacio"/>
      </w:pPr>
    </w:p>
    <w:p>
      <w:pPr>
        <w:pStyle w:val="Separador"/>
      </w:pPr>
    </w:p>
    <w:p>
      <w:pPr>
        <w:pStyle w:val="Heading1"/>
      </w:pPr>
      <w:r>
        <w:t xml:space="preserve">10. Assumptions and open questions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No.</w:t>
            </w:r>
          </w:p>
        </w:tc>
        <w:tc>
          <w:tcPr>
            <w:tcW w:w="1606" w:type="dxa"/>
            <w:shd w:val="clear" w:color="auto" w:fill="F2DFCE"/>
          </w:tcPr>
          <w:p>
            <w:pPr>
              <w:pStyle w:val="Celda"/>
            </w:pPr>
            <w:r>
              <w:rPr>
                <w:b/>
              </w:rPr>
              <w:t xml:space="preserve">Assumption or open question</w:t>
            </w:r>
          </w:p>
        </w:tc>
        <w:tc>
          <w:tcPr>
            <w:tcW w:w="1606" w:type="dxa"/>
            <w:shd w:val="clear" w:color="auto" w:fill="F2DFCE"/>
          </w:tcPr>
          <w:p>
            <w:pPr>
              <w:pStyle w:val="Celda"/>
            </w:pPr>
            <w:r>
              <w:rPr>
                <w:b/>
              </w:rPr>
              <w:t xml:space="preserve">Effect if it proves false</w:t>
            </w:r>
          </w:p>
        </w:tc>
        <w:tc>
          <w:tcPr>
            <w:tcW w:w="1606" w:type="dxa"/>
            <w:shd w:val="clear" w:color="auto" w:fill="F2DFCE"/>
          </w:tcPr>
          <w:p>
            <w:pPr>
              <w:pStyle w:val="Celda"/>
            </w:pPr>
            <w:r>
              <w:rPr>
                <w:b/>
              </w:rPr>
              <w:t xml:space="preserve">Owner</w:t>
            </w:r>
          </w:p>
        </w:tc>
        <w:tc>
          <w:tcPr>
            <w:tcW w:w="1606" w:type="dxa"/>
            <w:shd w:val="clear" w:color="auto" w:fill="F2DFCE"/>
          </w:tcPr>
          <w:p>
            <w:pPr>
              <w:pStyle w:val="Celda"/>
            </w:pPr>
            <w:r>
              <w:rPr>
                <w:b/>
              </w:rPr>
              <w:t xml:space="preserve">Deadline</w:t>
            </w:r>
          </w:p>
        </w:tc>
        <w:tc>
          <w:tcPr>
            <w:tcW w:w="1606" w:type="dxa"/>
            <w:shd w:val="clear" w:color="auto" w:fill="F2DFCE"/>
          </w:tcPr>
          <w:p>
            <w:pPr>
              <w:pStyle w:val="Celda"/>
            </w:pPr>
            <w:r>
              <w:rPr>
                <w:b/>
              </w:rPr>
              <w:t xml:space="preserve">Status</w:t>
            </w:r>
          </w:p>
        </w:tc>
      </w:tr>
      <w:tr>
        <w:tc>
          <w:tcPr>
            <w:tcW w:w="1606" w:type="dxa"/>
          </w:tcPr>
          <w:p>
            <w:pPr>
              <w:pStyle w:val="Celda"/>
            </w:pPr>
            <w:r>
              <w:t xml:space="preserve">1</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Open · Resolved</w:t>
            </w:r>
          </w:p>
        </w:tc>
      </w:tr>
      <w:tr>
        <w:tc>
          <w:tcPr>
            <w:tcW w:w="1606" w:type="dxa"/>
          </w:tcPr>
          <w:p>
            <w:pPr>
              <w:pStyle w:val="Celda"/>
            </w:pPr>
            <w:r>
              <w:t xml:space="preserve">2</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i/>
              </w:rPr>
              <w:t xml:space="preserve">(illustrative example)</w:t>
            </w:r>
          </w:p>
        </w:tc>
        <w:tc>
          <w:tcPr>
            <w:tcW w:w="1606" w:type="dxa"/>
          </w:tcPr>
          <w:p>
            <w:pPr>
              <w:pStyle w:val="Celda"/>
            </w:pPr>
            <w:r>
              <w:t xml:space="preserve">The customer service platform supplier allows the use of conversations for training to be disabled.</w:t>
            </w:r>
          </w:p>
        </w:tc>
        <w:tc>
          <w:tcPr>
            <w:tcW w:w="1606" w:type="dxa"/>
          </w:tcPr>
          <w:p>
            <w:pPr>
              <w:pStyle w:val="Celda"/>
            </w:pPr>
            <w:r>
              <w:t xml:space="preserve">The supplier would have to be changed or data anonymised before sending.</w:t>
            </w:r>
          </w:p>
        </w:tc>
        <w:tc>
          <w:tcPr>
            <w:tcW w:w="1606" w:type="dxa"/>
          </w:tcPr>
          <w:p>
            <w:pPr>
              <w:pStyle w:val="Celda"/>
            </w:pPr>
            <w:r>
              <w:t xml:space="preserve">Technical owner</w:t>
            </w:r>
          </w:p>
        </w:tc>
        <w:tc>
          <w:tcPr>
            <w:tcW w:w="1606" w:type="dxa"/>
          </w:tcPr>
          <w:p>
            <w:pPr>
              <w:pStyle w:val="Celda"/>
            </w:pPr>
            <w:r>
              <w:t xml:space="preserve">Before G3</w:t>
            </w:r>
          </w:p>
        </w:tc>
        <w:tc>
          <w:tcPr>
            <w:tcW w:w="1606" w:type="dxa"/>
          </w:tcPr>
          <w:p>
            <w:pPr>
              <w:pStyle w:val="Celda"/>
            </w:pPr>
            <w:r>
              <w:t xml:space="preserve">Open</w:t>
            </w:r>
          </w:p>
        </w:tc>
      </w:tr>
    </w:tbl>
    <w:p>
      <w:pPr>
        <w:pStyle w:val="Espacio"/>
      </w:pPr>
    </w:p>
    <w:p>
      <w:pPr>
        <w:pStyle w:val="Separador"/>
      </w:pPr>
    </w:p>
    <w:p>
      <w:pPr>
        <w:pStyle w:val="Heading1"/>
      </w:pPr>
      <w:r>
        <w:t xml:space="preserve">11. Quality criteria</w:t>
      </w:r>
    </w:p>
    <w:p>
      <w:r>
        <w:t xml:space="preserve">The formal G0 and G3 criteria are in document 21 (see criteria G0.xx and G3.xx).</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All regulatory references have an answer; those marked "To be determined" have an owner and a date before G3.</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The data constraints identify personal data, special categories and transfers.</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maximum autonomy permitted and the decisions that are not delegated are declared.</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 red lines are specific and verifiable.</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economic limits are consistent with P01.</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second-line functions consulted and the date are recorded.</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Assumptions are kept separate from constraints.</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The document has an author, date and version, and existed before the </w:t>
            </w:r>
            <w:r>
              <w:rPr>
                <w:i/>
              </w:rPr>
              <w:t xml:space="preserve">gate</w:t>
            </w:r>
            <w:r>
              <w:t xml:space="preserve"> was requested.</w:t>
            </w:r>
          </w:p>
        </w:tc>
        <w:tc>
          <w:tcPr>
            <w:tcW w:w="3213" w:type="dxa"/>
          </w:tcPr>
          <w:p>
            <w:pPr>
              <w:pStyle w:val="Celda"/>
            </w:pPr>
          </w:p>
        </w:tc>
      </w:tr>
    </w:tbl>
    <w:p>
      <w:pPr>
        <w:pStyle w:val="Espacio"/>
      </w:pPr>
    </w:p>
    <w:p>
      <w:pPr>
        <w:pStyle w:val="Separador"/>
      </w:pPr>
    </w:p>
    <w:p>
      <w:pPr>
        <w:pStyle w:val="Heading1"/>
      </w:pPr>
      <w:r>
        <w:t xml:space="preserve">12.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w:t>
            </w:r>
          </w:p>
        </w:tc>
        <w:tc>
          <w:tcPr>
            <w:tcW w:w="1928" w:type="dxa"/>
          </w:tcPr>
          <w:p>
            <w:pPr>
              <w:pStyle w:val="Celda"/>
            </w:pPr>
            <w:r>
              <w:t xml:space="preserve">AI Product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Consulted</w:t>
            </w:r>
          </w:p>
        </w:tc>
        <w:tc>
          <w:tcPr>
            <w:tcW w:w="1928" w:type="dxa"/>
          </w:tcPr>
          <w:p>
            <w:pPr>
              <w:pStyle w:val="Celda"/>
            </w:pPr>
            <w:r>
              <w:t xml:space="preserve">AI Risk Owner · data protection · security · legal counsel</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Decides</w:t>
            </w:r>
          </w:p>
        </w:tc>
        <w:tc>
          <w:tcPr>
            <w:tcW w:w="1928" w:type="dxa"/>
          </w:tcPr>
          <w:p>
            <w:pPr>
              <w:pStyle w:val="Celda"/>
            </w:pPr>
            <w:r>
              <w:t xml:space="preserve">AI Sponsor (Lite) · AI Committee (Enterprise), with G0</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consulting the second line is not equivalent to verification. The verifier has not prepared the document.</w:t>
      </w:r>
    </w:p>
    <w:p>
      <w:pPr>
        <w:pStyle w:val="Separador"/>
      </w:pPr>
    </w:p>
    <w:p>
      <w:pPr>
        <w:pStyle w:val="Heading1"/>
      </w:pPr>
      <w:r>
        <w:t xml:space="preserve">13.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Structure aligned with 01 §6.2 and §13.</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P02 · Context and constraints statement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P02 · Context and constraints statement</dc:title>
  <dc:creator>Fernando García Varela</dc:creator>
  <dc:language>en</dc:language>
  <dc:description>sha256:57b6e32a2ca812bd2d6f578926a165b2fbd0919ebf05089d29c341d11f01b0f8</dc:description>
  <cp:keywords>SEVEN-G</cp:keywords>
</cp:coreProperties>
</file>