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supplier assessment</w:t>
      </w:r>
    </w:p>
    <w:p>
      <w:r>
        <w:rPr>
          <w:b/>
        </w:rPr>
        <w:t xml:space="preserve">Determines the requirement level of an AI supplier, summarises its due diligence assessment, the dependency it creates and its exit plan, and checks that the contract includes the key clauses.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P14 · AI supplier assessment</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3, before G3, for each supplier that provides AI models, platforms, data or services to the initiative. It is reviewed before signing or renewing the contract, upon any reassessment trigger (36 §5) and at the frequency set by the requirement level.</w:t>
            </w:r>
          </w:p>
        </w:tc>
      </w:tr>
      <w:tr>
        <w:tc>
          <w:tcPr>
            <w:tcW w:w="4819" w:type="dxa"/>
          </w:tcPr>
          <w:p>
            <w:pPr>
              <w:pStyle w:val="Celda"/>
            </w:pPr>
            <w:r>
              <w:rPr>
                <w:b/>
              </w:rPr>
              <w:t xml:space="preserve">Who completes it</w:t>
            </w:r>
          </w:p>
        </w:tc>
        <w:tc>
          <w:tcPr>
            <w:tcW w:w="4819" w:type="dxa"/>
          </w:tcPr>
          <w:p>
            <w:pPr>
              <w:pStyle w:val="Celda"/>
            </w:pPr>
            <w:r>
              <w:t xml:space="preserve">The AI Technical Owner, with procurement and the AI Risk Owner. Information security, data protection and legal counsel are consulted.</w:t>
            </w:r>
          </w:p>
        </w:tc>
      </w:tr>
      <w:tr>
        <w:tc>
          <w:tcPr>
            <w:tcW w:w="4819" w:type="dxa"/>
          </w:tcPr>
          <w:p>
            <w:pPr>
              <w:pStyle w:val="Celda"/>
            </w:pPr>
            <w:r>
              <w:rPr>
                <w:b/>
              </w:rPr>
              <w:t xml:space="preserve">Who verifies it</w:t>
            </w:r>
          </w:p>
        </w:tc>
        <w:tc>
          <w:tcPr>
            <w:tcW w:w="4819" w:type="dxa"/>
          </w:tcPr>
          <w:p>
            <w:pPr>
              <w:pStyle w:val="Celda"/>
            </w:pPr>
            <w:r>
              <w:t xml:space="preserve">Lite: AI Risk Owner; if the AI Risk Owner has prepared the assessment, the AI Office or the AI Auditor verifies it. Enterprise: AI Auditor.</w:t>
            </w:r>
          </w:p>
        </w:tc>
      </w:tr>
      <w:tr>
        <w:tc>
          <w:tcPr>
            <w:tcW w:w="4819" w:type="dxa"/>
          </w:tcPr>
          <w:p>
            <w:pPr>
              <w:pStyle w:val="Celda"/>
            </w:pPr>
            <w:r>
              <w:rPr>
                <w:b/>
              </w:rPr>
              <w:t xml:space="preserve">Who decides</w:t>
            </w:r>
          </w:p>
        </w:tc>
        <w:tc>
          <w:tcPr>
            <w:tcW w:w="4819" w:type="dxa"/>
          </w:tcPr>
          <w:p>
            <w:pPr>
              <w:pStyle w:val="Celda"/>
            </w:pPr>
            <w:r>
              <w:t xml:space="preserve">It is approved with G3, according to the requirement level (36 §4.2): N1, AI Product Owner with procurement clearance · N2, AI Sponsor with risk and data protection clearance · N3, AI Committee with clearance from risk, information security, data protection and legal.</w:t>
            </w:r>
          </w:p>
        </w:tc>
      </w:tr>
      <w:tr>
        <w:tc>
          <w:tcPr>
            <w:tcW w:w="4819" w:type="dxa"/>
          </w:tcPr>
          <w:p>
            <w:pPr>
              <w:pStyle w:val="Celda"/>
            </w:pPr>
            <w:r>
              <w:rPr>
                <w:b/>
              </w:rPr>
              <w:t xml:space="preserve">Gate at which it is reviewed</w:t>
            </w:r>
          </w:p>
        </w:tc>
        <w:tc>
          <w:tcPr>
            <w:tcW w:w="4819" w:type="dxa"/>
          </w:tcPr>
          <w:p>
            <w:pPr>
              <w:pStyle w:val="Celda"/>
            </w:pPr>
            <w:r>
              <w:t xml:space="preserve">G3 · Feasibility; check of signed clauses at G5.</w:t>
            </w:r>
          </w:p>
        </w:tc>
      </w:tr>
      <w:tr>
        <w:tc>
          <w:tcPr>
            <w:tcW w:w="4819" w:type="dxa"/>
          </w:tcPr>
          <w:p>
            <w:pPr>
              <w:pStyle w:val="Celda"/>
            </w:pPr>
            <w:r>
              <w:rPr>
                <w:b/>
              </w:rPr>
              <w:t xml:space="preserve">Tool</w:t>
            </w:r>
          </w:p>
        </w:tc>
        <w:tc>
          <w:tcPr>
            <w:tcW w:w="4819" w:type="dxa"/>
          </w:tcPr>
          <w:p>
            <w:pPr>
              <w:pStyle w:val="Celda"/>
            </w:pPr>
            <w:r>
              <w:t xml:space="preserve">T09 · AI supplier register (working format in P57).</w:t>
            </w:r>
          </w:p>
        </w:tc>
      </w:tr>
      <w:tr>
        <w:tc>
          <w:tcPr>
            <w:tcW w:w="4819" w:type="dxa"/>
          </w:tcPr>
          <w:p>
            <w:pPr>
              <w:pStyle w:val="Celda"/>
            </w:pPr>
            <w:r>
              <w:rPr>
                <w:b/>
              </w:rPr>
              <w:t xml:space="preserve">Supporting documents</w:t>
            </w:r>
          </w:p>
        </w:tc>
        <w:tc>
          <w:tcPr>
            <w:tcW w:w="4819" w:type="dxa"/>
          </w:tcPr>
          <w:p>
            <w:pPr>
              <w:pStyle w:val="Celda"/>
            </w:pPr>
            <w:r>
              <w:t xml:space="preserve">P55 · Due diligence questionnaire (detail of the twelve blocks summarised in section 4) · P56 · Standard contractual clauses (model text of the clauses in section 5) · P57 · Supplier register and exit plan.</w:t>
            </w:r>
          </w:p>
        </w:tc>
      </w:tr>
      <w:tr>
        <w:tc>
          <w:tcPr>
            <w:tcW w:w="4819" w:type="dxa"/>
          </w:tcPr>
          <w:p>
            <w:pPr>
              <w:pStyle w:val="Celda"/>
            </w:pPr>
            <w:r>
              <w:rPr>
                <w:b/>
              </w:rPr>
              <w:t xml:space="preserve">Lite versus Enterprise</w:t>
            </w:r>
          </w:p>
        </w:tc>
        <w:tc>
          <w:tcPr>
            <w:tcW w:w="4819" w:type="dxa"/>
          </w:tcPr>
          <w:p>
            <w:pPr>
              <w:pStyle w:val="Celda"/>
            </w:pPr>
            <w:r>
              <w:t xml:space="preserve">The depth depends on the requirement level (N1, N2, N3), not on the intensity (36 §2, principle 2). An N3 supplier normally implies Enterprise intensity (01 §9.2).</w:t>
            </w:r>
          </w:p>
        </w:tc>
      </w:tr>
    </w:tbl>
    <w:p>
      <w:pPr>
        <w:pStyle w:val="Espacio"/>
      </w:pPr>
    </w:p>
    <w:p>
      <w:r>
        <w:t xml:space="preserve">Completion rules:</w:t>
      </w:r>
    </w:p>
    <w:p>
      <w:pPr>
        <w:pStyle w:val="Lista"/>
      </w:pPr>
      <w:r>
        <w:t xml:space="preserve">• The requirement level is determined by the </w:t>
      </w:r>
      <w:r>
        <w:rPr>
          <w:b/>
        </w:rPr>
        <w:t xml:space="preserve">most demanding factor</w:t>
      </w:r>
      <w:r>
        <w:t xml:space="preserve"> (36 §4.1).</w:t>
      </w:r>
    </w:p>
    <w:p>
      <w:pPr>
        <w:pStyle w:val="Lista"/>
      </w:pPr>
      <w:r>
        <w:t xml:space="preserve">• The requirements by level are those of document 36 §4.2: due diligence, security, contract, approval, audit, monitoring, exit, incidents and register.</w:t>
      </w:r>
    </w:p>
    <w:p>
      <w:pPr>
        <w:pStyle w:val="Lista"/>
      </w:pPr>
      <w:r>
        <w:t xml:space="preserve">• This template </w:t>
      </w:r>
      <w:r>
        <w:rPr>
          <w:b/>
        </w:rPr>
        <w:t xml:space="preserve">summarises</w:t>
      </w:r>
      <w:r>
        <w:t xml:space="preserve"> the assessment: the detail of the questions, answers and evidence is in P55.</w:t>
      </w:r>
    </w:p>
    <w:p>
      <w:pPr>
        <w:pStyle w:val="Lista"/>
      </w:pPr>
      <w:r>
        <w:t xml:space="preserve">• </w:t>
      </w:r>
      <w:r>
        <w:rPr>
          <w:i/>
        </w:rPr>
        <w:t xml:space="preserve">This document does not constitute legal advice.</w:t>
      </w:r>
      <w:r>
        <w:t xml:space="preserve"> References consulted in September 2026; their currency must be verified.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AI systems affected</w:t>
            </w:r>
          </w:p>
        </w:tc>
        <w:tc>
          <w:tcPr>
            <w:tcW w:w="3213" w:type="dxa"/>
          </w:tcPr>
          <w:p>
            <w:pPr>
              <w:pStyle w:val="Celda"/>
            </w:pPr>
          </w:p>
        </w:tc>
        <w:tc>
          <w:tcPr>
            <w:tcW w:w="3213" w:type="dxa"/>
          </w:tcPr>
          <w:p>
            <w:pPr>
              <w:pStyle w:val="Celda"/>
            </w:pPr>
            <w:r>
              <w:t xml:space="preserve">Codes from P05.</w:t>
            </w:r>
          </w:p>
        </w:tc>
      </w:tr>
      <w:tr>
        <w:tc>
          <w:tcPr>
            <w:tcW w:w="3213" w:type="dxa"/>
          </w:tcPr>
          <w:p>
            <w:pPr>
              <w:pStyle w:val="Celda"/>
            </w:pPr>
            <w:r>
              <w:t xml:space="preserve">Supplier–service relationship code</w:t>
            </w:r>
          </w:p>
        </w:tc>
        <w:tc>
          <w:tcPr>
            <w:tcW w:w="3213" w:type="dxa"/>
          </w:tcPr>
          <w:p>
            <w:pPr>
              <w:pStyle w:val="Celda"/>
            </w:pPr>
          </w:p>
        </w:tc>
        <w:tc>
          <w:tcPr>
            <w:tcW w:w="3213" w:type="dxa"/>
          </w:tcPr>
          <w:p>
            <w:pPr>
              <w:pStyle w:val="Celda"/>
            </w:pPr>
            <w:r>
              <w:t xml:space="preserve">PRV-AAAA-NNN from the T09 register (P57).</w:t>
            </w:r>
          </w:p>
        </w:tc>
      </w:tr>
      <w:tr>
        <w:tc>
          <w:tcPr>
            <w:tcW w:w="3213" w:type="dxa"/>
          </w:tcPr>
          <w:p>
            <w:pPr>
              <w:pStyle w:val="Celda"/>
            </w:pPr>
            <w:r>
              <w:t xml:space="preserve">Supplier</w:t>
            </w:r>
          </w:p>
        </w:tc>
        <w:tc>
          <w:tcPr>
            <w:tcW w:w="3213" w:type="dxa"/>
          </w:tcPr>
          <w:p>
            <w:pPr>
              <w:pStyle w:val="Celda"/>
            </w:pPr>
          </w:p>
        </w:tc>
        <w:tc>
          <w:tcPr>
            <w:tcW w:w="3213" w:type="dxa"/>
          </w:tcPr>
          <w:p>
            <w:pPr>
              <w:pStyle w:val="Celda"/>
            </w:pPr>
            <w:r>
              <w:t xml:space="preserve">Registered name and country of establishment.</w:t>
            </w:r>
          </w:p>
        </w:tc>
      </w:tr>
      <w:tr>
        <w:tc>
          <w:tcPr>
            <w:tcW w:w="3213" w:type="dxa"/>
          </w:tcPr>
          <w:p>
            <w:pPr>
              <w:pStyle w:val="Celda"/>
            </w:pPr>
            <w:r>
              <w:t xml:space="preserve">Service or component assessed</w:t>
            </w:r>
          </w:p>
        </w:tc>
        <w:tc>
          <w:tcPr>
            <w:tcW w:w="3213" w:type="dxa"/>
          </w:tcPr>
          <w:p>
            <w:pPr>
              <w:pStyle w:val="Celda"/>
            </w:pPr>
          </w:p>
        </w:tc>
        <w:tc>
          <w:tcPr>
            <w:tcW w:w="3213" w:type="dxa"/>
          </w:tcPr>
          <w:p>
            <w:pPr>
              <w:pStyle w:val="Celda"/>
            </w:pPr>
            <w:r>
              <w:t xml:space="preserve">Model via API, platform, software with embedded AI, data, professional services.</w:t>
            </w:r>
          </w:p>
        </w:tc>
      </w:tr>
      <w:tr>
        <w:tc>
          <w:tcPr>
            <w:tcW w:w="3213" w:type="dxa"/>
          </w:tcPr>
          <w:p>
            <w:pPr>
              <w:pStyle w:val="Celda"/>
            </w:pPr>
            <w:r>
              <w:t xml:space="preserve">Sourcing option</w:t>
            </w:r>
          </w:p>
        </w:tc>
        <w:tc>
          <w:tcPr>
            <w:tcW w:w="3213" w:type="dxa"/>
          </w:tcPr>
          <w:p>
            <w:pPr>
              <w:pStyle w:val="Celda"/>
            </w:pPr>
          </w:p>
        </w:tc>
        <w:tc>
          <w:tcPr>
            <w:tcW w:w="3213" w:type="dxa"/>
          </w:tcPr>
          <w:p>
            <w:pPr>
              <w:pStyle w:val="Celda"/>
            </w:pPr>
            <w:r>
              <w:t xml:space="preserve">Build · Buy · Adapt · Partner (36 §3.1).</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Requirement level</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N1 · Standard</w:t>
            </w:r>
          </w:p>
        </w:tc>
        <w:tc>
          <w:tcPr>
            <w:tcW w:w="1928" w:type="dxa"/>
            <w:shd w:val="clear" w:color="auto" w:fill="F2DFCE"/>
          </w:tcPr>
          <w:p>
            <w:pPr>
              <w:pStyle w:val="Celda"/>
            </w:pPr>
            <w:r>
              <w:rPr>
                <w:b/>
              </w:rPr>
              <w:t xml:space="preserve">N2 · Enhanced</w:t>
            </w:r>
          </w:p>
        </w:tc>
        <w:tc>
          <w:tcPr>
            <w:tcW w:w="1928" w:type="dxa"/>
            <w:shd w:val="clear" w:color="auto" w:fill="F2DFCE"/>
          </w:tcPr>
          <w:p>
            <w:pPr>
              <w:pStyle w:val="Celda"/>
            </w:pPr>
            <w:r>
              <w:rPr>
                <w:b/>
              </w:rPr>
              <w:t xml:space="preserve">N3 · Critical</w:t>
            </w:r>
          </w:p>
        </w:tc>
        <w:tc>
          <w:tcPr>
            <w:tcW w:w="1928" w:type="dxa"/>
            <w:shd w:val="clear" w:color="auto" w:fill="F2DFCE"/>
          </w:tcPr>
          <w:p>
            <w:pPr>
              <w:pStyle w:val="Celda"/>
            </w:pPr>
            <w:r>
              <w:rPr>
                <w:b/>
              </w:rPr>
              <w:t xml:space="preserve">Assessment</w:t>
            </w:r>
          </w:p>
        </w:tc>
      </w:tr>
      <w:tr>
        <w:tc>
          <w:tcPr>
            <w:tcW w:w="1928" w:type="dxa"/>
          </w:tcPr>
          <w:p>
            <w:pPr>
              <w:pStyle w:val="Celda"/>
            </w:pPr>
            <w:r>
              <w:rPr>
                <w:b/>
              </w:rPr>
              <w:t xml:space="preserve">Service criticality</w:t>
            </w:r>
          </w:p>
        </w:tc>
        <w:tc>
          <w:tcPr>
            <w:tcW w:w="1928" w:type="dxa"/>
          </w:tcPr>
          <w:p>
            <w:pPr>
              <w:pStyle w:val="Celda"/>
            </w:pPr>
            <w:r>
              <w:t xml:space="preserve">Internal process whose interruption would have an impact of 1–2 (document 33).</w:t>
            </w:r>
          </w:p>
        </w:tc>
        <w:tc>
          <w:tcPr>
            <w:tcW w:w="1928" w:type="dxa"/>
          </w:tcPr>
          <w:p>
            <w:pPr>
              <w:pStyle w:val="Celda"/>
            </w:pPr>
            <w:r>
              <w:t xml:space="preserve">Relevant process with impact 3; direct exposure to customers; decisions about people.</w:t>
            </w:r>
          </w:p>
        </w:tc>
        <w:tc>
          <w:tcPr>
            <w:tcW w:w="1928" w:type="dxa"/>
          </w:tcPr>
          <w:p>
            <w:pPr>
              <w:pStyle w:val="Celda"/>
            </w:pPr>
            <w:r>
              <w:t xml:space="preserve">Critical or important function (including the DORA definition where applicable); impact 4–5; high-risk system under the AI Act.</w:t>
            </w:r>
          </w:p>
        </w:tc>
        <w:tc>
          <w:tcPr>
            <w:tcW w:w="1928" w:type="dxa"/>
          </w:tcPr>
          <w:p>
            <w:pPr>
              <w:pStyle w:val="Celda"/>
            </w:pPr>
            <w:r>
              <w:t xml:space="preserve">N1 · N2 · N3</w:t>
            </w:r>
          </w:p>
        </w:tc>
      </w:tr>
      <w:tr>
        <w:tc>
          <w:tcPr>
            <w:tcW w:w="1928" w:type="dxa"/>
          </w:tcPr>
          <w:p>
            <w:pPr>
              <w:pStyle w:val="Celda"/>
            </w:pPr>
            <w:r>
              <w:rPr>
                <w:b/>
              </w:rPr>
              <w:t xml:space="preserve">Data processed</w:t>
            </w:r>
          </w:p>
        </w:tc>
        <w:tc>
          <w:tcPr>
            <w:tcW w:w="1928" w:type="dxa"/>
          </w:tcPr>
          <w:p>
            <w:pPr>
              <w:pStyle w:val="Celda"/>
            </w:pPr>
            <w:r>
              <w:t xml:space="preserve">Public or non-sensitive internal data.</w:t>
            </w:r>
          </w:p>
        </w:tc>
        <w:tc>
          <w:tcPr>
            <w:tcW w:w="1928" w:type="dxa"/>
          </w:tcPr>
          <w:p>
            <w:pPr>
              <w:pStyle w:val="Celda"/>
            </w:pPr>
            <w:r>
              <w:t xml:space="preserve">Personal data or confidential information.</w:t>
            </w:r>
          </w:p>
        </w:tc>
        <w:tc>
          <w:tcPr>
            <w:tcW w:w="1928" w:type="dxa"/>
          </w:tcPr>
          <w:p>
            <w:pPr>
              <w:pStyle w:val="Celda"/>
            </w:pPr>
            <w:r>
              <w:t xml:space="preserve">Special categories of data, large-scale personal data, trade secrets or critical confidential information.</w:t>
            </w:r>
          </w:p>
        </w:tc>
        <w:tc>
          <w:tcPr>
            <w:tcW w:w="1928" w:type="dxa"/>
          </w:tcPr>
          <w:p>
            <w:pPr>
              <w:pStyle w:val="Celda"/>
            </w:pPr>
          </w:p>
        </w:tc>
      </w:tr>
      <w:tr>
        <w:tc>
          <w:tcPr>
            <w:tcW w:w="1928" w:type="dxa"/>
          </w:tcPr>
          <w:p>
            <w:pPr>
              <w:pStyle w:val="Celda"/>
            </w:pPr>
            <w:r>
              <w:rPr>
                <w:b/>
              </w:rPr>
              <w:t xml:space="preserve">Autonomy</w:t>
            </w:r>
          </w:p>
        </w:tc>
        <w:tc>
          <w:tcPr>
            <w:tcW w:w="1928" w:type="dxa"/>
          </w:tcPr>
          <w:p>
            <w:pPr>
              <w:pStyle w:val="Celda"/>
            </w:pPr>
            <w:r>
              <w:t xml:space="preserve">A0: the supplier's system assists.</w:t>
            </w:r>
          </w:p>
        </w:tc>
        <w:tc>
          <w:tcPr>
            <w:tcW w:w="1928" w:type="dxa"/>
          </w:tcPr>
          <w:p>
            <w:pPr>
              <w:pStyle w:val="Celda"/>
            </w:pPr>
            <w:r>
              <w:t xml:space="preserve">A1, or A2 without effects on third parties, money, personal data or production.</w:t>
            </w:r>
          </w:p>
        </w:tc>
        <w:tc>
          <w:tcPr>
            <w:tcW w:w="1928" w:type="dxa"/>
          </w:tcPr>
          <w:p>
            <w:pPr>
              <w:pStyle w:val="Celda"/>
            </w:pPr>
            <w:r>
              <w:t xml:space="preserve">A2 or A3 with effects on third parties, money, personal data or production systems.</w:t>
            </w:r>
          </w:p>
        </w:tc>
        <w:tc>
          <w:tcPr>
            <w:tcW w:w="1928" w:type="dxa"/>
          </w:tcPr>
          <w:p>
            <w:pPr>
              <w:pStyle w:val="Celda"/>
            </w:pPr>
          </w:p>
        </w:tc>
      </w:tr>
      <w:tr>
        <w:tc>
          <w:tcPr>
            <w:tcW w:w="1928" w:type="dxa"/>
          </w:tcPr>
          <w:p>
            <w:pPr>
              <w:pStyle w:val="Celda"/>
            </w:pPr>
            <w:r>
              <w:rPr>
                <w:b/>
              </w:rPr>
              <w:t xml:space="preserve">Substitutability</w:t>
            </w:r>
          </w:p>
        </w:tc>
        <w:tc>
          <w:tcPr>
            <w:tcW w:w="1928" w:type="dxa"/>
          </w:tcPr>
          <w:p>
            <w:pPr>
              <w:pStyle w:val="Celda"/>
            </w:pPr>
            <w:r>
              <w:t xml:space="preserve">Replaceable in less than 3 months without relevant cost.</w:t>
            </w:r>
          </w:p>
        </w:tc>
        <w:tc>
          <w:tcPr>
            <w:tcW w:w="1928" w:type="dxa"/>
          </w:tcPr>
          <w:p>
            <w:pPr>
              <w:pStyle w:val="Celda"/>
            </w:pPr>
            <w:r>
              <w:t xml:space="preserve">Replaceable in 3 to 12 months or with relevant cost.</w:t>
            </w:r>
          </w:p>
        </w:tc>
        <w:tc>
          <w:tcPr>
            <w:tcW w:w="1928" w:type="dxa"/>
          </w:tcPr>
          <w:p>
            <w:pPr>
              <w:pStyle w:val="Celda"/>
            </w:pPr>
            <w:r>
              <w:t xml:space="preserve">More than 12 months, cost above the materiality threshold M, or no alternative.</w:t>
            </w:r>
          </w:p>
        </w:tc>
        <w:tc>
          <w:tcPr>
            <w:tcW w:w="1928" w:type="dxa"/>
          </w:tcPr>
          <w:p>
            <w:pPr>
              <w:pStyle w:val="Celda"/>
            </w:pPr>
          </w:p>
        </w:tc>
      </w:tr>
    </w:tbl>
    <w:p>
      <w:pPr>
        <w:pStyle w:val="Espacio"/>
      </w:pPr>
    </w:p>
    <w:p>
      <w:r>
        <w:t xml:space="preserve">The substitutability time frames are indicative and are approved in C2 (document 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Requirement level</w:t>
            </w:r>
          </w:p>
        </w:tc>
        <w:tc>
          <w:tcPr>
            <w:tcW w:w="3213" w:type="dxa"/>
          </w:tcPr>
          <w:p>
            <w:pPr>
              <w:pStyle w:val="Celda"/>
            </w:pPr>
          </w:p>
        </w:tc>
        <w:tc>
          <w:tcPr>
            <w:tcW w:w="3213" w:type="dxa"/>
          </w:tcPr>
          <w:p>
            <w:pPr>
              <w:pStyle w:val="Celda"/>
            </w:pPr>
            <w:r>
              <w:t xml:space="preserve">N1 Standard · N2 Enhanced · N3 Critical. The highest of the four factors.</w:t>
            </w:r>
          </w:p>
        </w:tc>
      </w:tr>
      <w:tr>
        <w:tc>
          <w:tcPr>
            <w:tcW w:w="3213" w:type="dxa"/>
          </w:tcPr>
          <w:p>
            <w:pPr>
              <w:pStyle w:val="Celda"/>
            </w:pPr>
            <w:r>
              <w:t xml:space="preserve">Justification</w:t>
            </w:r>
          </w:p>
        </w:tc>
        <w:tc>
          <w:tcPr>
            <w:tcW w:w="3213" w:type="dxa"/>
          </w:tcPr>
          <w:p>
            <w:pPr>
              <w:pStyle w:val="Celda"/>
            </w:pPr>
          </w:p>
        </w:tc>
        <w:tc>
          <w:tcPr>
            <w:tcW w:w="3213" w:type="dxa"/>
          </w:tcPr>
          <w:p>
            <w:pPr>
              <w:pStyle w:val="Celda"/>
            </w:pPr>
          </w:p>
        </w:tc>
      </w:tr>
      <w:tr>
        <w:tc>
          <w:tcPr>
            <w:tcW w:w="3213" w:type="dxa"/>
          </w:tcPr>
          <w:p>
            <w:pPr>
              <w:pStyle w:val="Celda"/>
            </w:pPr>
            <w:r>
              <w:t xml:space="preserve">ICT third-party service provider supporting critical or important functions (DORA)</w:t>
            </w:r>
          </w:p>
        </w:tc>
        <w:tc>
          <w:tcPr>
            <w:tcW w:w="3213" w:type="dxa"/>
          </w:tcPr>
          <w:p>
            <w:pPr>
              <w:pStyle w:val="Celda"/>
            </w:pPr>
          </w:p>
        </w:tc>
        <w:tc>
          <w:tcPr>
            <w:tcW w:w="3213" w:type="dxa"/>
          </w:tcPr>
          <w:p>
            <w:pPr>
              <w:pStyle w:val="Celda"/>
            </w:pPr>
            <w:r>
              <w:t xml:space="preserve">Yes · No · Not applicable. Only entities subject to DORA.</w:t>
            </w:r>
          </w:p>
        </w:tc>
      </w:tr>
    </w:tbl>
    <w:p>
      <w:pPr>
        <w:pStyle w:val="Espacio"/>
      </w:pPr>
    </w:p>
    <w:p>
      <w:r>
        <w:rPr>
          <w:i/>
        </w:rPr>
        <w:t xml:space="preserve">(illustrative example)</w:t>
      </w:r>
      <w:r>
        <w:t xml:space="preserve"> Supplier of a language model via API for the enquiries assistant: criticality N2 (direct exposure to customers), data N2 (personal data from orders), autonomy N1 (A0), substitutability N2 (replaceable in about six months). Level: </w:t>
      </w:r>
      <w:r>
        <w:rPr>
          <w:b/>
        </w:rPr>
        <w:t xml:space="preserve">N2 Enhanced</w:t>
      </w:r>
      <w:r>
        <w:t xml:space="preserve">.</w:t>
      </w:r>
    </w:p>
    <w:p>
      <w:pPr>
        <w:pStyle w:val="Separador"/>
      </w:pPr>
    </w:p>
    <w:p>
      <w:pPr>
        <w:pStyle w:val="Heading1"/>
      </w:pPr>
      <w:r>
        <w:t xml:space="preserve">4. Supplier assessment</w:t>
      </w:r>
    </w:p>
    <w:p>
      <w:pPr>
        <w:pStyle w:val="Heading2"/>
      </w:pPr>
      <w:r>
        <w:t xml:space="preserve">4.1 Result by due diligence block</w:t>
      </w:r>
    </w:p>
    <w:p>
      <w:r>
        <w:t xml:space="preserve">Completed from the summary in P55 §5, with the twelve blocks of document 36 §4.3. Result: </w:t>
      </w:r>
      <w:r>
        <w:rPr>
          <w:b/>
        </w:rPr>
        <w:t xml:space="preserve">Conformant · Conformant with observations · Nonconformant · Not assessed</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Block</w:t>
            </w:r>
          </w:p>
        </w:tc>
        <w:tc>
          <w:tcPr>
            <w:tcW w:w="3213" w:type="dxa"/>
            <w:shd w:val="clear" w:color="auto" w:fill="F2DFCE"/>
          </w:tcPr>
          <w:p>
            <w:pPr>
              <w:pStyle w:val="Celda"/>
            </w:pPr>
            <w:r>
              <w:rPr>
                <w:b/>
              </w:rPr>
              <w:t xml:space="preserve">Result</w:t>
            </w:r>
          </w:p>
        </w:tc>
        <w:tc>
          <w:tcPr>
            <w:tcW w:w="3213" w:type="dxa"/>
            <w:shd w:val="clear" w:color="auto" w:fill="F2DFCE"/>
          </w:tcPr>
          <w:p>
            <w:pPr>
              <w:pStyle w:val="Celda"/>
            </w:pPr>
            <w:r>
              <w:rPr>
                <w:b/>
              </w:rPr>
              <w:t xml:space="preserve">Observations</w:t>
            </w:r>
          </w:p>
        </w:tc>
      </w:tr>
      <w:tr>
        <w:tc>
          <w:tcPr>
            <w:tcW w:w="3213" w:type="dxa"/>
          </w:tcPr>
          <w:p>
            <w:pPr>
              <w:pStyle w:val="Celda"/>
            </w:pPr>
            <w:r>
              <w:t xml:space="preserve">1 · Identity and soundness</w:t>
            </w:r>
          </w:p>
        </w:tc>
        <w:tc>
          <w:tcPr>
            <w:tcW w:w="3213" w:type="dxa"/>
          </w:tcPr>
          <w:p>
            <w:pPr>
              <w:pStyle w:val="Celda"/>
            </w:pPr>
          </w:p>
        </w:tc>
        <w:tc>
          <w:tcPr>
            <w:tcW w:w="3213" w:type="dxa"/>
          </w:tcPr>
          <w:p>
            <w:pPr>
              <w:pStyle w:val="Celda"/>
            </w:pPr>
          </w:p>
        </w:tc>
      </w:tr>
      <w:tr>
        <w:tc>
          <w:tcPr>
            <w:tcW w:w="3213" w:type="dxa"/>
          </w:tcPr>
          <w:p>
            <w:pPr>
              <w:pStyle w:val="Celda"/>
            </w:pPr>
            <w:r>
              <w:t xml:space="preserve">2 · Service and model</w:t>
            </w:r>
          </w:p>
        </w:tc>
        <w:tc>
          <w:tcPr>
            <w:tcW w:w="3213" w:type="dxa"/>
          </w:tcPr>
          <w:p>
            <w:pPr>
              <w:pStyle w:val="Celda"/>
            </w:pPr>
          </w:p>
        </w:tc>
        <w:tc>
          <w:tcPr>
            <w:tcW w:w="3213" w:type="dxa"/>
          </w:tcPr>
          <w:p>
            <w:pPr>
              <w:pStyle w:val="Celda"/>
            </w:pPr>
          </w:p>
        </w:tc>
      </w:tr>
      <w:tr>
        <w:tc>
          <w:tcPr>
            <w:tcW w:w="3213" w:type="dxa"/>
          </w:tcPr>
          <w:p>
            <w:pPr>
              <w:pStyle w:val="Celda"/>
            </w:pPr>
            <w:r>
              <w:t xml:space="preserve">3 · Data</w:t>
            </w:r>
          </w:p>
        </w:tc>
        <w:tc>
          <w:tcPr>
            <w:tcW w:w="3213" w:type="dxa"/>
          </w:tcPr>
          <w:p>
            <w:pPr>
              <w:pStyle w:val="Celda"/>
            </w:pPr>
          </w:p>
        </w:tc>
        <w:tc>
          <w:tcPr>
            <w:tcW w:w="3213" w:type="dxa"/>
          </w:tcPr>
          <w:p>
            <w:pPr>
              <w:pStyle w:val="Celda"/>
            </w:pPr>
          </w:p>
        </w:tc>
      </w:tr>
      <w:tr>
        <w:tc>
          <w:tcPr>
            <w:tcW w:w="3213" w:type="dxa"/>
          </w:tcPr>
          <w:p>
            <w:pPr>
              <w:pStyle w:val="Celda"/>
            </w:pPr>
            <w:r>
              <w:t xml:space="preserve">4 · Sub-processors and supply chain</w:t>
            </w:r>
          </w:p>
        </w:tc>
        <w:tc>
          <w:tcPr>
            <w:tcW w:w="3213" w:type="dxa"/>
          </w:tcPr>
          <w:p>
            <w:pPr>
              <w:pStyle w:val="Celda"/>
            </w:pPr>
          </w:p>
        </w:tc>
        <w:tc>
          <w:tcPr>
            <w:tcW w:w="3213" w:type="dxa"/>
          </w:tcPr>
          <w:p>
            <w:pPr>
              <w:pStyle w:val="Celda"/>
            </w:pPr>
          </w:p>
        </w:tc>
      </w:tr>
      <w:tr>
        <w:tc>
          <w:tcPr>
            <w:tcW w:w="3213" w:type="dxa"/>
          </w:tcPr>
          <w:p>
            <w:pPr>
              <w:pStyle w:val="Celda"/>
            </w:pPr>
            <w:r>
              <w:t xml:space="preserve">5 · Security</w:t>
            </w:r>
          </w:p>
        </w:tc>
        <w:tc>
          <w:tcPr>
            <w:tcW w:w="3213" w:type="dxa"/>
          </w:tcPr>
          <w:p>
            <w:pPr>
              <w:pStyle w:val="Celda"/>
            </w:pPr>
          </w:p>
        </w:tc>
        <w:tc>
          <w:tcPr>
            <w:tcW w:w="3213" w:type="dxa"/>
          </w:tcPr>
          <w:p>
            <w:pPr>
              <w:pStyle w:val="Celda"/>
            </w:pPr>
          </w:p>
        </w:tc>
      </w:tr>
      <w:tr>
        <w:tc>
          <w:tcPr>
            <w:tcW w:w="3213" w:type="dxa"/>
          </w:tcPr>
          <w:p>
            <w:pPr>
              <w:pStyle w:val="Celda"/>
            </w:pPr>
            <w:r>
              <w:t xml:space="preserve">6 · AI Act compliance</w:t>
            </w:r>
          </w:p>
        </w:tc>
        <w:tc>
          <w:tcPr>
            <w:tcW w:w="3213" w:type="dxa"/>
          </w:tcPr>
          <w:p>
            <w:pPr>
              <w:pStyle w:val="Celda"/>
            </w:pPr>
          </w:p>
        </w:tc>
        <w:tc>
          <w:tcPr>
            <w:tcW w:w="3213" w:type="dxa"/>
          </w:tcPr>
          <w:p>
            <w:pPr>
              <w:pStyle w:val="Celda"/>
            </w:pPr>
          </w:p>
        </w:tc>
      </w:tr>
      <w:tr>
        <w:tc>
          <w:tcPr>
            <w:tcW w:w="3213" w:type="dxa"/>
          </w:tcPr>
          <w:p>
            <w:pPr>
              <w:pStyle w:val="Celda"/>
            </w:pPr>
            <w:r>
              <w:t xml:space="preserve">7 · Data protection</w:t>
            </w:r>
          </w:p>
        </w:tc>
        <w:tc>
          <w:tcPr>
            <w:tcW w:w="3213" w:type="dxa"/>
          </w:tcPr>
          <w:p>
            <w:pPr>
              <w:pStyle w:val="Celda"/>
            </w:pPr>
          </w:p>
        </w:tc>
        <w:tc>
          <w:tcPr>
            <w:tcW w:w="3213" w:type="dxa"/>
          </w:tcPr>
          <w:p>
            <w:pPr>
              <w:pStyle w:val="Celda"/>
            </w:pPr>
          </w:p>
        </w:tc>
      </w:tr>
      <w:tr>
        <w:tc>
          <w:tcPr>
            <w:tcW w:w="3213" w:type="dxa"/>
          </w:tcPr>
          <w:p>
            <w:pPr>
              <w:pStyle w:val="Celda"/>
            </w:pPr>
            <w:r>
              <w:t xml:space="preserve">8 · Intellectual property</w:t>
            </w:r>
          </w:p>
        </w:tc>
        <w:tc>
          <w:tcPr>
            <w:tcW w:w="3213" w:type="dxa"/>
          </w:tcPr>
          <w:p>
            <w:pPr>
              <w:pStyle w:val="Celda"/>
            </w:pPr>
          </w:p>
        </w:tc>
        <w:tc>
          <w:tcPr>
            <w:tcW w:w="3213" w:type="dxa"/>
          </w:tcPr>
          <w:p>
            <w:pPr>
              <w:pStyle w:val="Celda"/>
            </w:pPr>
          </w:p>
        </w:tc>
      </w:tr>
      <w:tr>
        <w:tc>
          <w:tcPr>
            <w:tcW w:w="3213" w:type="dxa"/>
          </w:tcPr>
          <w:p>
            <w:pPr>
              <w:pStyle w:val="Celda"/>
            </w:pPr>
            <w:r>
              <w:t xml:space="preserve">9 · Continuity</w:t>
            </w:r>
          </w:p>
        </w:tc>
        <w:tc>
          <w:tcPr>
            <w:tcW w:w="3213" w:type="dxa"/>
          </w:tcPr>
          <w:p>
            <w:pPr>
              <w:pStyle w:val="Celda"/>
            </w:pPr>
          </w:p>
        </w:tc>
        <w:tc>
          <w:tcPr>
            <w:tcW w:w="3213" w:type="dxa"/>
          </w:tcPr>
          <w:p>
            <w:pPr>
              <w:pStyle w:val="Celda"/>
            </w:pPr>
          </w:p>
        </w:tc>
      </w:tr>
      <w:tr>
        <w:tc>
          <w:tcPr>
            <w:tcW w:w="3213" w:type="dxa"/>
          </w:tcPr>
          <w:p>
            <w:pPr>
              <w:pStyle w:val="Celda"/>
            </w:pPr>
            <w:r>
              <w:t xml:space="preserve">10 · Incidents</w:t>
            </w:r>
          </w:p>
        </w:tc>
        <w:tc>
          <w:tcPr>
            <w:tcW w:w="3213" w:type="dxa"/>
          </w:tcPr>
          <w:p>
            <w:pPr>
              <w:pStyle w:val="Celda"/>
            </w:pPr>
          </w:p>
        </w:tc>
        <w:tc>
          <w:tcPr>
            <w:tcW w:w="3213" w:type="dxa"/>
          </w:tcPr>
          <w:p>
            <w:pPr>
              <w:pStyle w:val="Celda"/>
            </w:pPr>
          </w:p>
        </w:tc>
      </w:tr>
      <w:tr>
        <w:tc>
          <w:tcPr>
            <w:tcW w:w="3213" w:type="dxa"/>
          </w:tcPr>
          <w:p>
            <w:pPr>
              <w:pStyle w:val="Celda"/>
            </w:pPr>
            <w:r>
              <w:t xml:space="preserve">11 · Exit</w:t>
            </w:r>
          </w:p>
        </w:tc>
        <w:tc>
          <w:tcPr>
            <w:tcW w:w="3213" w:type="dxa"/>
          </w:tcPr>
          <w:p>
            <w:pPr>
              <w:pStyle w:val="Celda"/>
            </w:pPr>
          </w:p>
        </w:tc>
        <w:tc>
          <w:tcPr>
            <w:tcW w:w="3213" w:type="dxa"/>
          </w:tcPr>
          <w:p>
            <w:pPr>
              <w:pStyle w:val="Celda"/>
            </w:pPr>
          </w:p>
        </w:tc>
      </w:tr>
      <w:tr>
        <w:tc>
          <w:tcPr>
            <w:tcW w:w="3213" w:type="dxa"/>
          </w:tcPr>
          <w:p>
            <w:pPr>
              <w:pStyle w:val="Celda"/>
            </w:pPr>
            <w:r>
              <w:t xml:space="preserve">12 · Ethics and responsible use</w:t>
            </w:r>
          </w:p>
        </w:tc>
        <w:tc>
          <w:tcPr>
            <w:tcW w:w="3213" w:type="dxa"/>
          </w:tcPr>
          <w:p>
            <w:pPr>
              <w:pStyle w:val="Celda"/>
            </w:pPr>
          </w:p>
        </w:tc>
        <w:tc>
          <w:tcPr>
            <w:tcW w:w="3213" w:type="dxa"/>
          </w:tcPr>
          <w:p>
            <w:pPr>
              <w:pStyle w:val="Celda"/>
            </w:pPr>
          </w:p>
        </w:tc>
      </w:tr>
      <w:tr>
        <w:tc>
          <w:tcPr>
            <w:tcW w:w="3213" w:type="dxa"/>
          </w:tcPr>
          <w:p>
            <w:pPr>
              <w:pStyle w:val="Celda"/>
            </w:pPr>
            <w:r>
              <w:t xml:space="preserve">Performance in in-house tests (P10)</w:t>
            </w:r>
          </w:p>
        </w:tc>
        <w:tc>
          <w:tcPr>
            <w:tcW w:w="3213" w:type="dxa"/>
          </w:tcPr>
          <w:p>
            <w:pPr>
              <w:pStyle w:val="Celda"/>
            </w:pPr>
          </w:p>
        </w:tc>
        <w:tc>
          <w:tcPr>
            <w:tcW w:w="3213" w:type="dxa"/>
          </w:tcPr>
          <w:p>
            <w:pPr>
              <w:pStyle w:val="Celda"/>
            </w:pPr>
            <w:r>
              <w:t xml:space="preserve">Results of in-house tests with representative data, not only the supplier's figures.</w:t>
            </w:r>
          </w:p>
        </w:tc>
      </w:tr>
    </w:tbl>
    <w:p>
      <w:pPr>
        <w:pStyle w:val="Espacio"/>
      </w:pPr>
    </w:p>
    <w:p>
      <w:pPr>
        <w:pStyle w:val="Heading2"/>
      </w:pPr>
      <w:r>
        <w:t xml:space="preserve">4.2 Dependency and exit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Concentration</w:t>
            </w:r>
          </w:p>
        </w:tc>
        <w:tc>
          <w:tcPr>
            <w:tcW w:w="3213" w:type="dxa"/>
          </w:tcPr>
          <w:p>
            <w:pPr>
              <w:pStyle w:val="Celda"/>
            </w:pPr>
          </w:p>
        </w:tc>
        <w:tc>
          <w:tcPr>
            <w:tcW w:w="3213" w:type="dxa"/>
          </w:tcPr>
          <w:p>
            <w:pPr>
              <w:pStyle w:val="Celda"/>
            </w:pPr>
            <w:r>
              <w:t xml:space="preserve">Other company systems that depend on the same supplier (T09; 36 §7.2).</w:t>
            </w:r>
          </w:p>
        </w:tc>
      </w:tr>
      <w:tr>
        <w:tc>
          <w:tcPr>
            <w:tcW w:w="3213" w:type="dxa"/>
          </w:tcPr>
          <w:p>
            <w:pPr>
              <w:pStyle w:val="Celda"/>
            </w:pPr>
            <w:r>
              <w:t xml:space="preserve">Alternatives</w:t>
            </w:r>
          </w:p>
        </w:tc>
        <w:tc>
          <w:tcPr>
            <w:tcW w:w="3213" w:type="dxa"/>
          </w:tcPr>
          <w:p>
            <w:pPr>
              <w:pStyle w:val="Celda"/>
            </w:pPr>
          </w:p>
        </w:tc>
        <w:tc>
          <w:tcPr>
            <w:tcW w:w="3213" w:type="dxa"/>
          </w:tcPr>
          <w:p>
            <w:pPr>
              <w:pStyle w:val="Celda"/>
            </w:pPr>
            <w:r>
              <w:t xml:space="preserve">Alternative suppliers or solutions identified.</w:t>
            </w:r>
          </w:p>
        </w:tc>
      </w:tr>
      <w:tr>
        <w:tc>
          <w:tcPr>
            <w:tcW w:w="3213" w:type="dxa"/>
          </w:tcPr>
          <w:p>
            <w:pPr>
              <w:pStyle w:val="Celda"/>
            </w:pPr>
            <w:r>
              <w:rPr>
                <w:b/>
              </w:rPr>
              <w:t xml:space="preserve">Exit required by the level</w:t>
            </w:r>
          </w:p>
        </w:tc>
        <w:tc>
          <w:tcPr>
            <w:tcW w:w="3213" w:type="dxa"/>
          </w:tcPr>
          <w:p>
            <w:pPr>
              <w:pStyle w:val="Celda"/>
            </w:pPr>
          </w:p>
        </w:tc>
        <w:tc>
          <w:tcPr>
            <w:tcW w:w="3213" w:type="dxa"/>
          </w:tcPr>
          <w:p>
            <w:pPr>
              <w:pStyle w:val="Celda"/>
            </w:pPr>
            <w:r>
              <w:t xml:space="preserve">N1: guaranteed data export · N2: documented exit plan · N3: exit plan with an identified alternative and a documented rehearsal or test (36 §4.2).</w:t>
            </w:r>
          </w:p>
        </w:tc>
      </w:tr>
      <w:tr>
        <w:tc>
          <w:tcPr>
            <w:tcW w:w="3213" w:type="dxa"/>
          </w:tcPr>
          <w:p>
            <w:pPr>
              <w:pStyle w:val="Celda"/>
            </w:pPr>
            <w:r>
              <w:t xml:space="preserve">Exit plan</w:t>
            </w:r>
          </w:p>
        </w:tc>
        <w:tc>
          <w:tcPr>
            <w:tcW w:w="3213" w:type="dxa"/>
          </w:tcPr>
          <w:p>
            <w:pPr>
              <w:pStyle w:val="Celda"/>
            </w:pPr>
          </w:p>
        </w:tc>
        <w:tc>
          <w:tcPr>
            <w:tcW w:w="3213" w:type="dxa"/>
          </w:tcPr>
          <w:p>
            <w:pPr>
              <w:pStyle w:val="Celda"/>
            </w:pPr>
            <w:r>
              <w:t xml:space="preserve">Reference to the exit plan and, at N3, to the portability test in P57 §6 and §7.</w:t>
            </w:r>
          </w:p>
        </w:tc>
      </w:tr>
    </w:tbl>
    <w:p>
      <w:pPr>
        <w:pStyle w:val="Espacio"/>
      </w:pPr>
    </w:p>
    <w:p>
      <w:pPr>
        <w:pStyle w:val="Separador"/>
      </w:pPr>
    </w:p>
    <w:p>
      <w:pPr>
        <w:pStyle w:val="Heading1"/>
      </w:pPr>
      <w:r>
        <w:t xml:space="preserve">5. Key contractual clauses</w:t>
      </w:r>
    </w:p>
    <w:p>
      <w:r>
        <w:t xml:space="preserve">The sixteen clauses of document 36 §6. </w:t>
      </w:r>
      <w:r>
        <w:rPr>
          <w:b/>
        </w:rPr>
        <w:t xml:space="preserve">Yes</w:t>
      </w:r>
      <w:r>
        <w:t xml:space="preserve"> = must be included · </w:t>
      </w:r>
      <w:r>
        <w:rPr>
          <w:b/>
        </w:rPr>
        <w:t xml:space="preserve">Rec.</w:t>
      </w:r>
      <w:r>
        <w:t xml:space="preserve"> = recommended · </w:t>
      </w:r>
      <w:r>
        <w:rPr>
          <w:b/>
        </w:rPr>
        <w:t xml:space="preserve">—</w:t>
      </w:r>
      <w:r>
        <w:t xml:space="preserve"> = not required. Status: </w:t>
      </w:r>
      <w:r>
        <w:rPr>
          <w:b/>
        </w:rPr>
        <w:t xml:space="preserve">Present · Partial · Absent · Not applicable</w:t>
      </w:r>
      <w:r>
        <w:t xml:space="preserve"> (36 §9). The model text of each clause is in P56.</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Clause</w:t>
            </w:r>
          </w:p>
        </w:tc>
        <w:tc>
          <w:tcPr>
            <w:tcW w:w="1606" w:type="dxa"/>
            <w:shd w:val="clear" w:color="auto" w:fill="F2DFCE"/>
          </w:tcPr>
          <w:p>
            <w:pPr>
              <w:pStyle w:val="Celda"/>
            </w:pPr>
            <w:r>
              <w:rPr>
                <w:b/>
              </w:rPr>
              <w:t xml:space="preserve">N1</w:t>
            </w:r>
          </w:p>
        </w:tc>
        <w:tc>
          <w:tcPr>
            <w:tcW w:w="1606" w:type="dxa"/>
            <w:shd w:val="clear" w:color="auto" w:fill="F2DFCE"/>
          </w:tcPr>
          <w:p>
            <w:pPr>
              <w:pStyle w:val="Celda"/>
            </w:pPr>
            <w:r>
              <w:rPr>
                <w:b/>
              </w:rPr>
              <w:t xml:space="preserve">N2</w:t>
            </w:r>
          </w:p>
        </w:tc>
        <w:tc>
          <w:tcPr>
            <w:tcW w:w="1606" w:type="dxa"/>
            <w:shd w:val="clear" w:color="auto" w:fill="F2DFCE"/>
          </w:tcPr>
          <w:p>
            <w:pPr>
              <w:pStyle w:val="Celda"/>
            </w:pPr>
            <w:r>
              <w:rPr>
                <w:b/>
              </w:rPr>
              <w:t xml:space="preserve">N3</w:t>
            </w:r>
          </w:p>
        </w:tc>
        <w:tc>
          <w:tcPr>
            <w:tcW w:w="1606" w:type="dxa"/>
            <w:shd w:val="clear" w:color="auto" w:fill="F2DFCE"/>
          </w:tcPr>
          <w:p>
            <w:pPr>
              <w:pStyle w:val="Celda"/>
            </w:pPr>
            <w:r>
              <w:rPr>
                <w:b/>
              </w:rPr>
              <w:t xml:space="preserve">Status</w:t>
            </w:r>
          </w:p>
        </w:tc>
      </w:tr>
      <w:tr>
        <w:tc>
          <w:tcPr>
            <w:tcW w:w="1606" w:type="dxa"/>
          </w:tcPr>
          <w:p>
            <w:pPr>
              <w:pStyle w:val="Celda"/>
            </w:pPr>
            <w:r>
              <w:t xml:space="preserve">1</w:t>
            </w:r>
          </w:p>
        </w:tc>
        <w:tc>
          <w:tcPr>
            <w:tcW w:w="1606" w:type="dxa"/>
          </w:tcPr>
          <w:p>
            <w:pPr>
              <w:pStyle w:val="Celda"/>
            </w:pPr>
            <w:r>
              <w:t xml:space="preserve">Use of data for training</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2</w:t>
            </w:r>
          </w:p>
        </w:tc>
        <w:tc>
          <w:tcPr>
            <w:tcW w:w="1606" w:type="dxa"/>
          </w:tcPr>
          <w:p>
            <w:pPr>
              <w:pStyle w:val="Celda"/>
            </w:pPr>
            <w:r>
              <w:t xml:space="preserve">Confidentiality and data processing</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Location and transfers</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4</w:t>
            </w:r>
          </w:p>
        </w:tc>
        <w:tc>
          <w:tcPr>
            <w:tcW w:w="1606" w:type="dxa"/>
          </w:tcPr>
          <w:p>
            <w:pPr>
              <w:pStyle w:val="Celda"/>
            </w:pPr>
            <w:r>
              <w:t xml:space="preserve">Security</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5</w:t>
            </w:r>
          </w:p>
        </w:tc>
        <w:tc>
          <w:tcPr>
            <w:tcW w:w="1606" w:type="dxa"/>
          </w:tcPr>
          <w:p>
            <w:pPr>
              <w:pStyle w:val="Celda"/>
            </w:pPr>
            <w:r>
              <w:t xml:space="preserve">Sub-processors</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6</w:t>
            </w:r>
          </w:p>
        </w:tc>
        <w:tc>
          <w:tcPr>
            <w:tcW w:w="1606" w:type="dxa"/>
          </w:tcPr>
          <w:p>
            <w:pPr>
              <w:pStyle w:val="Celda"/>
            </w:pPr>
            <w:r>
              <w:t xml:space="preserve">Intellectual property and outputs</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Incident notification</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8</w:t>
            </w:r>
          </w:p>
        </w:tc>
        <w:tc>
          <w:tcPr>
            <w:tcW w:w="1606" w:type="dxa"/>
          </w:tcPr>
          <w:p>
            <w:pPr>
              <w:pStyle w:val="Celda"/>
            </w:pPr>
            <w:r>
              <w:t xml:space="preserve">Model changes</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9</w:t>
            </w:r>
          </w:p>
        </w:tc>
        <w:tc>
          <w:tcPr>
            <w:tcW w:w="1606" w:type="dxa"/>
          </w:tcPr>
          <w:p>
            <w:pPr>
              <w:pStyle w:val="Celda"/>
            </w:pPr>
            <w:r>
              <w:t xml:space="preserve">Service levels</w:t>
            </w:r>
          </w:p>
        </w:tc>
        <w:tc>
          <w:tcPr>
            <w:tcW w:w="1606" w:type="dxa"/>
          </w:tcPr>
          <w:p>
            <w:pPr>
              <w:pStyle w:val="Celda"/>
            </w:pPr>
            <w:r>
              <w:t xml:space="preserve">—</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10</w:t>
            </w:r>
          </w:p>
        </w:tc>
        <w:tc>
          <w:tcPr>
            <w:tcW w:w="1606" w:type="dxa"/>
          </w:tcPr>
          <w:p>
            <w:pPr>
              <w:pStyle w:val="Celda"/>
            </w:pPr>
            <w:r>
              <w:t xml:space="preserve">Logs and traceability</w:t>
            </w:r>
          </w:p>
        </w:tc>
        <w:tc>
          <w:tcPr>
            <w:tcW w:w="1606" w:type="dxa"/>
          </w:tcPr>
          <w:p>
            <w:pPr>
              <w:pStyle w:val="Celda"/>
            </w:pPr>
            <w:r>
              <w:t xml:space="preserve">—</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11</w:t>
            </w:r>
          </w:p>
        </w:tc>
        <w:tc>
          <w:tcPr>
            <w:tcW w:w="1606" w:type="dxa"/>
          </w:tcPr>
          <w:p>
            <w:pPr>
              <w:pStyle w:val="Celda"/>
            </w:pPr>
            <w:r>
              <w:t xml:space="preserve">Audit and access</w:t>
            </w:r>
          </w:p>
        </w:tc>
        <w:tc>
          <w:tcPr>
            <w:tcW w:w="1606" w:type="dxa"/>
          </w:tcPr>
          <w:p>
            <w:pPr>
              <w:pStyle w:val="Celda"/>
            </w:pPr>
            <w:r>
              <w:t xml:space="preserve">—</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12</w:t>
            </w:r>
          </w:p>
        </w:tc>
        <w:tc>
          <w:tcPr>
            <w:tcW w:w="1606" w:type="dxa"/>
          </w:tcPr>
          <w:p>
            <w:pPr>
              <w:pStyle w:val="Celda"/>
            </w:pPr>
            <w:r>
              <w:t xml:space="preserve">AI Act obligations along the value chain</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13</w:t>
            </w:r>
          </w:p>
        </w:tc>
        <w:tc>
          <w:tcPr>
            <w:tcW w:w="1606" w:type="dxa"/>
          </w:tcPr>
          <w:p>
            <w:pPr>
              <w:pStyle w:val="Celda"/>
            </w:pPr>
            <w:r>
              <w:t xml:space="preserve">Transparency on AI features</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14</w:t>
            </w:r>
          </w:p>
        </w:tc>
        <w:tc>
          <w:tcPr>
            <w:tcW w:w="1606" w:type="dxa"/>
          </w:tcPr>
          <w:p>
            <w:pPr>
              <w:pStyle w:val="Celda"/>
            </w:pPr>
            <w:r>
              <w:t xml:space="preserve">Continuity</w:t>
            </w:r>
          </w:p>
        </w:tc>
        <w:tc>
          <w:tcPr>
            <w:tcW w:w="1606" w:type="dxa"/>
          </w:tcPr>
          <w:p>
            <w:pPr>
              <w:pStyle w:val="Celda"/>
            </w:pPr>
            <w:r>
              <w:t xml:space="preserve">—</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15</w:t>
            </w:r>
          </w:p>
        </w:tc>
        <w:tc>
          <w:tcPr>
            <w:tcW w:w="1606" w:type="dxa"/>
          </w:tcPr>
          <w:p>
            <w:pPr>
              <w:pStyle w:val="Celda"/>
            </w:pPr>
            <w:r>
              <w:t xml:space="preserve">Exit and transition</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r>
        <w:tc>
          <w:tcPr>
            <w:tcW w:w="1606" w:type="dxa"/>
          </w:tcPr>
          <w:p>
            <w:pPr>
              <w:pStyle w:val="Celda"/>
            </w:pPr>
            <w:r>
              <w:t xml:space="preserve">16</w:t>
            </w:r>
          </w:p>
        </w:tc>
        <w:tc>
          <w:tcPr>
            <w:tcW w:w="1606" w:type="dxa"/>
          </w:tcPr>
          <w:p>
            <w:pPr>
              <w:pStyle w:val="Celda"/>
            </w:pPr>
            <w:r>
              <w:t xml:space="preserve">Termination</w:t>
            </w:r>
          </w:p>
        </w:tc>
        <w:tc>
          <w:tcPr>
            <w:tcW w:w="1606" w:type="dxa"/>
          </w:tcPr>
          <w:p>
            <w:pPr>
              <w:pStyle w:val="Celda"/>
            </w:pPr>
            <w:r>
              <w:t xml:space="preserve">Rec.</w:t>
            </w:r>
          </w:p>
        </w:tc>
        <w:tc>
          <w:tcPr>
            <w:tcW w:w="1606" w:type="dxa"/>
          </w:tcPr>
          <w:p>
            <w:pPr>
              <w:pStyle w:val="Celda"/>
            </w:pPr>
            <w:r>
              <w:t xml:space="preserve">Yes</w:t>
            </w:r>
          </w:p>
        </w:tc>
        <w:tc>
          <w:tcPr>
            <w:tcW w:w="1606" w:type="dxa"/>
          </w:tcPr>
          <w:p>
            <w:pPr>
              <w:pStyle w:val="Celda"/>
            </w:pPr>
            <w:r>
              <w:t xml:space="preserve">Yes</w:t>
            </w:r>
          </w:p>
        </w:tc>
        <w:tc>
          <w:tcPr>
            <w:tcW w:w="1606" w:type="dxa"/>
          </w:tcPr>
          <w:p>
            <w:pPr>
              <w:pStyle w:val="Celda"/>
            </w:pPr>
          </w:p>
        </w:tc>
      </w:tr>
    </w:tbl>
    <w:p>
      <w:pPr>
        <w:pStyle w:val="Espacio"/>
      </w:pPr>
    </w:p>
    <w:p>
      <w:r>
        <w:t xml:space="preserve">At N1 many clauses are not negotiable: they are checked in the standard terms and, if missing, the risk and who accepts it are recorded (36 §6; P56 §9). For entities subject to DORA, every N3 service is reviewed against Art. 30(3) of that regulation (36 §6.2).</w:t>
      </w:r>
    </w:p>
    <w:p>
      <w:pPr>
        <w:pStyle w:val="Separador"/>
      </w:pPr>
    </w:p>
    <w:p>
      <w:pPr>
        <w:pStyle w:val="Heading1"/>
      </w:pPr>
      <w:r>
        <w:t xml:space="preserve">6. Conclusion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Overall result</w:t>
            </w:r>
          </w:p>
        </w:tc>
        <w:tc>
          <w:tcPr>
            <w:tcW w:w="3213" w:type="dxa"/>
          </w:tcPr>
          <w:p>
            <w:pPr>
              <w:pStyle w:val="Celda"/>
            </w:pPr>
          </w:p>
        </w:tc>
        <w:tc>
          <w:tcPr>
            <w:tcW w:w="3213" w:type="dxa"/>
          </w:tcPr>
          <w:p>
            <w:pPr>
              <w:pStyle w:val="Celda"/>
            </w:pPr>
            <w:r>
              <w:t xml:space="preserve">Conformant · Conformant with observations · Nonconformant.</w:t>
            </w:r>
          </w:p>
        </w:tc>
      </w:tr>
      <w:tr>
        <w:tc>
          <w:tcPr>
            <w:tcW w:w="3213" w:type="dxa"/>
          </w:tcPr>
          <w:p>
            <w:pPr>
              <w:pStyle w:val="Celda"/>
            </w:pPr>
            <w:r>
              <w:t xml:space="preserve">Observations and conditions</w:t>
            </w:r>
          </w:p>
        </w:tc>
        <w:tc>
          <w:tcPr>
            <w:tcW w:w="3213" w:type="dxa"/>
          </w:tcPr>
          <w:p>
            <w:pPr>
              <w:pStyle w:val="Celda"/>
            </w:pPr>
          </w:p>
        </w:tc>
        <w:tc>
          <w:tcPr>
            <w:tcW w:w="3213" w:type="dxa"/>
          </w:tcPr>
          <w:p>
            <w:pPr>
              <w:pStyle w:val="Celda"/>
            </w:pPr>
            <w:r>
              <w:t xml:space="preserve">What must be resolved, owner and deadline (before signature or before G5).</w:t>
            </w:r>
          </w:p>
        </w:tc>
      </w:tr>
      <w:tr>
        <w:tc>
          <w:tcPr>
            <w:tcW w:w="3213" w:type="dxa"/>
          </w:tcPr>
          <w:p>
            <w:pPr>
              <w:pStyle w:val="Celda"/>
            </w:pPr>
            <w:r>
              <w:t xml:space="preserve">Risks for P12</w:t>
            </w:r>
          </w:p>
        </w:tc>
        <w:tc>
          <w:tcPr>
            <w:tcW w:w="3213" w:type="dxa"/>
          </w:tcPr>
          <w:p>
            <w:pPr>
              <w:pStyle w:val="Celda"/>
            </w:pPr>
          </w:p>
        </w:tc>
        <w:tc>
          <w:tcPr>
            <w:tcW w:w="3213" w:type="dxa"/>
          </w:tcPr>
          <w:p>
            <w:pPr>
              <w:pStyle w:val="Celda"/>
            </w:pPr>
            <w:r>
              <w:t xml:space="preserve">Risks in the TER category or others identified in the assessment.</w:t>
            </w:r>
          </w:p>
        </w:tc>
      </w:tr>
      <w:tr>
        <w:tc>
          <w:tcPr>
            <w:tcW w:w="3213" w:type="dxa"/>
          </w:tcPr>
          <w:p>
            <w:pPr>
              <w:pStyle w:val="Celda"/>
            </w:pPr>
            <w:r>
              <w:t xml:space="preserve">Review frequency</w:t>
            </w:r>
          </w:p>
        </w:tc>
        <w:tc>
          <w:tcPr>
            <w:tcW w:w="3213" w:type="dxa"/>
          </w:tcPr>
          <w:p>
            <w:pPr>
              <w:pStyle w:val="Celda"/>
            </w:pPr>
          </w:p>
        </w:tc>
        <w:tc>
          <w:tcPr>
            <w:tcW w:w="3213" w:type="dxa"/>
          </w:tcPr>
          <w:p>
            <w:pPr>
              <w:pStyle w:val="Celda"/>
            </w:pPr>
            <w:r>
              <w:t xml:space="preserve">According to the level (36 §4.2): N1 annual review · N2 half-yearly review and service indicators · N3 quarterly review, monthly indicators and relationship governance meeting.</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Date.</w:t>
            </w:r>
          </w:p>
        </w:tc>
      </w:tr>
    </w:tbl>
    <w:p>
      <w:pPr>
        <w:pStyle w:val="Espacio"/>
      </w:pPr>
    </w:p>
    <w:p>
      <w:r>
        <w:t xml:space="preserve">A </w:t>
      </w:r>
      <w:r>
        <w:rPr>
          <w:b/>
        </w:rPr>
        <w:t xml:space="preserve">Nonconformant</w:t>
      </w:r>
      <w:r>
        <w:t xml:space="preserve"> result in blocks 3 (data), 5 (security) or 7 (data protection) of P55 prevents the supplier from being used with production data until it is resolved (P55 §5). Nor is it used with production data while a required clause (</w:t>
      </w:r>
      <w:r>
        <w:rPr>
          <w:b/>
        </w:rPr>
        <w:t xml:space="preserve">Yes</w:t>
      </w:r>
      <w:r>
        <w:t xml:space="preserve">) is absent without the risk being recorded and accepted by the competent body.</w:t>
      </w:r>
    </w:p>
    <w:p>
      <w:pPr>
        <w:pStyle w:val="Separador"/>
      </w:pPr>
    </w:p>
    <w:p>
      <w:pPr>
        <w:pStyle w:val="Heading1"/>
      </w:pPr>
      <w:r>
        <w:t xml:space="preserve">7. Quality criteria</w:t>
      </w:r>
    </w:p>
    <w:p>
      <w:r>
        <w:t xml:space="preserve">The formal G3 criteria are in document 21 (see criteria G3.xx) and the third-party requirements in document 36.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requirement level is justified with the four factors.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twelve blocks have a result carried over from P55 and performance has been checked with in-house tests.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supplier's use of data is resolved by contract.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required clauses for the level are present or under negotiation with a date before G5; absent ones have a recorded and accepted risk.</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Dependency and exit have been assessed according to the level: at N2 there is a documented exit plan and at N3 an identified alternative and a documented test.</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risks identified have been carried over to P12.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supplier is registered in T09 and in record P05.</w:t>
            </w:r>
          </w:p>
        </w:tc>
        <w:tc>
          <w:tcPr>
            <w:tcW w:w="3213" w:type="dxa"/>
          </w:tcPr>
          <w:p>
            <w:pPr>
              <w:pStyle w:val="Celda"/>
            </w:pPr>
          </w:p>
        </w:tc>
      </w:tr>
    </w:tbl>
    <w:p>
      <w:pPr>
        <w:pStyle w:val="Espacio"/>
      </w:pPr>
    </w:p>
    <w:p>
      <w:pPr>
        <w:pStyle w:val="Separador"/>
      </w:pPr>
    </w:p>
    <w:p>
      <w:pPr>
        <w:pStyle w:val="Heading1"/>
      </w:pPr>
      <w:r>
        <w:t xml:space="preserve">8.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Procurement · security · data protection · 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Issues clearance</w:t>
            </w:r>
          </w:p>
        </w:tc>
        <w:tc>
          <w:tcPr>
            <w:tcW w:w="1928" w:type="dxa"/>
          </w:tcPr>
          <w:p>
            <w:pPr>
              <w:pStyle w:val="Celda"/>
            </w:pPr>
            <w:r>
              <w:t xml:space="preserve">The functions required by the level ("Decides" row)</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N1: AI Product Owner with procurement clearance · N2: AI Sponsor with risk and data protection clearance · N3: AI Committee with clearance from risk, information security, data protection and legal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negotiated the contract does not verify the assessment; anyone with a conflict of interest with the supplier declares it in P03.</w:t>
      </w:r>
    </w:p>
    <w:p>
      <w:pPr>
        <w:pStyle w:val="Separador"/>
      </w:pPr>
    </w:p>
    <w:p>
      <w:pPr>
        <w:pStyle w:val="Heading1"/>
      </w:pPr>
      <w:r>
        <w:t xml:space="preserve">9.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N1–N3 requirement levels of the common specification §5.6, assessment by blocks and key contractual clauses.</w:t>
            </w:r>
          </w:p>
        </w:tc>
      </w:tr>
      <w:tr>
        <w:tc>
          <w:tcPr>
            <w:tcW w:w="3213" w:type="dxa"/>
          </w:tcPr>
          <w:p>
            <w:pPr>
              <w:pStyle w:val="Celda"/>
            </w:pPr>
            <w:r>
              <w:t xml:space="preserve">0.2</w:t>
            </w:r>
          </w:p>
        </w:tc>
        <w:tc>
          <w:tcPr>
            <w:tcW w:w="3213" w:type="dxa"/>
          </w:tcPr>
          <w:p>
            <w:pPr>
              <w:pStyle w:val="Celda"/>
            </w:pPr>
            <w:r>
              <w:t xml:space="preserve">19-09-2026</w:t>
            </w:r>
          </w:p>
        </w:tc>
        <w:tc>
          <w:tcPr>
            <w:tcW w:w="3213" w:type="dxa"/>
          </w:tcPr>
          <w:p>
            <w:pPr>
              <w:pStyle w:val="Celda"/>
            </w:pPr>
            <w:r>
              <w:t xml:space="preserve">Aligned with document 36: decision and review by level N1–N3, factors, 12 due diligence blocks (P55), 16 clauses (P56) and exit plan (P57).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P14 · AI supplier assessment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P14 · AI supplier assessment</dc:title>
  <dc:creator>Fernando García Varela</dc:creator>
  <dc:language>en</dc:language>
  <dc:description>sha256:50de4fd51b569627c73c76b96067e02e019166ed1fbee215cae0ac6629694c7c</dc:description>
  <cp:keywords>SEVEN-G</cp:keywords>
</cp:coreProperties>
</file>