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Consumption budget and cost reconciliation</w:t>
      </w:r>
    </w:p>
    <w:p>
      <w:r>
        <w:rPr>
          <w:b/>
        </w:rPr>
        <w:t xml:space="preserve">Sets the consumption budget for each use case with its alerts and its degradation cascade, records the allocation keys for shared costs, reconciles AI cost with the accounts and calculates the cost of stopping.</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P63 · Consumption budget and cost reconciliation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cost of generative AI and agents is variable and can soar within days. If consumption has no budget, alerts and a defined response, when the money runs out only two bad options remain: cut the service or keep spending. If shared costs are allocated without approved keys, the cost of each use case is argued at every committee meeting and the net value stops being comparable. And if AI cost is not reconciled with the accounts, the board cannot rely on any net value figure. This template records all three and makes them verifiable.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Budget, alerts, limits and cascade (sections 3 to 7): approved at G5 and reviewed at each R6. Tracking (section 8): every month. Allocation keys (section 9): at C3, once per financial year. Reconciliation (section 10): at each monthly close. Cost of stopping (section 11): when a stop or a retirement is recorded.</w:t>
            </w:r>
          </w:p>
        </w:tc>
      </w:tr>
      <w:tr>
        <w:tc>
          <w:tcPr>
            <w:tcW w:w="4819" w:type="dxa"/>
          </w:tcPr>
          <w:p>
            <w:pPr>
              <w:pStyle w:val="Celda"/>
            </w:pPr>
            <w:r>
              <w:rPr>
                <w:b/>
              </w:rPr>
              <w:t xml:space="preserve">Who completes it</w:t>
            </w:r>
          </w:p>
        </w:tc>
        <w:tc>
          <w:tcPr>
            <w:tcW w:w="4819" w:type="dxa"/>
          </w:tcPr>
          <w:p>
            <w:pPr>
              <w:pStyle w:val="Celda"/>
            </w:pPr>
            <w:r>
              <w:t xml:space="preserve">Sections 3 to 8: AI Operations Owner with the AI Technical Owner. Sections 9 and 10: management control with the AI Office. Section 11: AI Product Owner with management control.</w:t>
            </w:r>
          </w:p>
        </w:tc>
      </w:tr>
      <w:tr>
        <w:tc>
          <w:tcPr>
            <w:tcW w:w="4819" w:type="dxa"/>
          </w:tcPr>
          <w:p>
            <w:pPr>
              <w:pStyle w:val="Celda"/>
            </w:pPr>
            <w:r>
              <w:rPr>
                <w:b/>
              </w:rPr>
              <w:t xml:space="preserve">Who verifies it</w:t>
            </w:r>
          </w:p>
        </w:tc>
        <w:tc>
          <w:tcPr>
            <w:tcW w:w="4819" w:type="dxa"/>
          </w:tcPr>
          <w:p>
            <w:pPr>
              <w:pStyle w:val="Celda"/>
            </w:pPr>
            <w:r>
              <w:t xml:space="preserve">AI Office in Lite; AI Auditor in Enterprise (42 §11.2).</w:t>
            </w:r>
          </w:p>
        </w:tc>
      </w:tr>
      <w:tr>
        <w:tc>
          <w:tcPr>
            <w:tcW w:w="4819" w:type="dxa"/>
          </w:tcPr>
          <w:p>
            <w:pPr>
              <w:pStyle w:val="Celda"/>
            </w:pPr>
            <w:r>
              <w:rPr>
                <w:b/>
              </w:rPr>
              <w:t xml:space="preserve">Who decides or approves</w:t>
            </w:r>
          </w:p>
        </w:tc>
        <w:tc>
          <w:tcPr>
            <w:tcW w:w="4819" w:type="dxa"/>
          </w:tcPr>
          <w:p>
            <w:pPr>
              <w:pStyle w:val="Celda"/>
            </w:pPr>
            <w:r>
              <w:t xml:space="preserve">The consumption budget is approved with the G5 decision (body in 01 §7.5). Allocation keys: the AI Committee with management control at C3. Budget supplements: the AI Sponsor with the AI Office.</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G5, R6, C3, monthly close and annual close; stop or retirement.</w:t>
            </w:r>
          </w:p>
        </w:tc>
      </w:tr>
      <w:tr>
        <w:tc>
          <w:tcPr>
            <w:tcW w:w="4819" w:type="dxa"/>
          </w:tcPr>
          <w:p>
            <w:pPr>
              <w:pStyle w:val="Celda"/>
            </w:pPr>
            <w:r>
              <w:rPr>
                <w:b/>
              </w:rPr>
              <w:t xml:space="preserve">Tool</w:t>
            </w:r>
          </w:p>
        </w:tc>
        <w:tc>
          <w:tcPr>
            <w:tcW w:w="4819" w:type="dxa"/>
          </w:tcPr>
          <w:p>
            <w:pPr>
              <w:pStyle w:val="Celda"/>
            </w:pPr>
            <w:r>
              <w:t xml:space="preserve">T13 · Cost calculator per use case (parameters, consumption, shared costs, reconciliation and stops modules, 42 §12).</w:t>
            </w:r>
          </w:p>
        </w:tc>
      </w:tr>
      <w:tr>
        <w:tc>
          <w:tcPr>
            <w:tcW w:w="4819" w:type="dxa"/>
          </w:tcPr>
          <w:p>
            <w:pPr>
              <w:pStyle w:val="Celda"/>
            </w:pPr>
            <w:r>
              <w:rPr>
                <w:b/>
              </w:rPr>
              <w:t xml:space="preserve">Reference document</w:t>
            </w:r>
          </w:p>
        </w:tc>
        <w:tc>
          <w:tcPr>
            <w:tcW w:w="4819" w:type="dxa"/>
          </w:tcPr>
          <w:p>
            <w:pPr>
              <w:pStyle w:val="Celda"/>
            </w:pPr>
            <w:r>
              <w:t xml:space="preserve">Document 42 (§6, §7, §8, §10, §11); document 52 §10.3 (cost-driven degradation cascade); P24 and P25.</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In the cascade, Lite defines at least N1 and N4; Enterprise defines it in full and tests it before G5 (52 §14).</w:t>
            </w:r>
          </w:p>
        </w:tc>
      </w:tr>
    </w:tbl>
    <w:p>
      <w:pPr>
        <w:pStyle w:val="Espacio"/>
      </w:pPr>
    </w:p>
    <w:p>
      <w:r>
        <w:t xml:space="preserve">Completion rules:</w:t>
      </w:r>
    </w:p>
    <w:p>
      <w:pPr>
        <w:pStyle w:val="Lista"/>
      </w:pPr>
      <w:r>
        <w:t xml:space="preserve">• </w:t>
      </w:r>
      <w:r>
        <w:rPr>
          <w:b/>
        </w:rPr>
        <w:t xml:space="preserve">Cost is not reduced:</w:t>
      </w:r>
      <w:r>
        <w:t xml:space="preserve"> it is charged in full from day one; an unknown cost is "no data" and so is the net value (42 §2).</w:t>
      </w:r>
    </w:p>
    <w:p>
      <w:pPr>
        <w:pStyle w:val="Lista"/>
      </w:pPr>
      <w:r>
        <w:t xml:space="preserve">• </w:t>
      </w:r>
      <w:r>
        <w:rPr>
          <w:b/>
        </w:rPr>
        <w:t xml:space="preserve">No tag, no resource:</w:t>
      </w:r>
      <w:r>
        <w:t xml:space="preserve"> each resource, model access key and licence carries the tag of its initiative (42 §7). Tagging is verified at G5.</w:t>
      </w:r>
    </w:p>
    <w:p>
      <w:pPr>
        <w:pStyle w:val="Lista"/>
      </w:pPr>
      <w:r>
        <w:t xml:space="preserve">• </w:t>
      </w:r>
      <w:r>
        <w:rPr>
          <w:b/>
        </w:rPr>
        <w:t xml:space="preserve">Allocation keys are not changed mid-year</w:t>
      </w:r>
      <w:r>
        <w:t xml:space="preserve"> except in the event of an error, and the change is recorded.</w:t>
      </w:r>
    </w:p>
    <w:p>
      <w:pPr>
        <w:pStyle w:val="Lista"/>
      </w:pPr>
      <w:r>
        <w:t xml:space="preserve">• </w:t>
      </w:r>
      <w:r>
        <w:rPr>
          <w:b/>
        </w:rPr>
        <w:t xml:space="preserve">The cascade reduces cost, not controls:</w:t>
      </w:r>
      <w:r>
        <w:t xml:space="preserve"> no degradation deactivates filters, human oversight, agent limits or records (52 §10.3, rule 6).</w:t>
      </w:r>
    </w:p>
    <w:p>
      <w:pPr>
        <w:pStyle w:val="Lista"/>
      </w:pPr>
      <w:r>
        <w:t xml:space="preserve">• The thresholds in this template are indicative; the company sets them at C2 (document 13).</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 In sections 9 and 10, "portfolio" or the platform (</w:t>
            </w:r>
            <w:r>
              <w:rPr>
                <w:rFonts w:ascii="Consolas" w:hAnsi="Consolas"/>
                <w:sz w:val="18"/>
              </w:rPr>
              <w:t xml:space="preserve">PLAT-</w:t>
            </w:r>
            <w:r>
              <w:t xml:space="preserve"> in the tag, 42 §7.1).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SIA-AAAA-NNN (P05).</w:t>
            </w:r>
          </w:p>
        </w:tc>
      </w:tr>
      <w:tr>
        <w:tc>
          <w:tcPr>
            <w:tcW w:w="3213" w:type="dxa"/>
          </w:tcPr>
          <w:p>
            <w:pPr>
              <w:pStyle w:val="Celda"/>
            </w:pPr>
            <w:r>
              <w:t xml:space="preserve">Type of system</w:t>
            </w:r>
          </w:p>
        </w:tc>
        <w:tc>
          <w:tcPr>
            <w:tcW w:w="3213" w:type="dxa"/>
          </w:tcPr>
          <w:p>
            <w:pPr>
              <w:pStyle w:val="Celda"/>
            </w:pPr>
          </w:p>
        </w:tc>
        <w:tc>
          <w:tcPr>
            <w:tcW w:w="3213" w:type="dxa"/>
          </w:tcPr>
          <w:p>
            <w:pPr>
              <w:pStyle w:val="Celda"/>
            </w:pPr>
            <w:r>
              <w:t xml:space="preserve">Predictive ML · Generative AI · Agent · Embedded third-party AI.</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Financial year and period</w:t>
            </w:r>
          </w:p>
        </w:tc>
        <w:tc>
          <w:tcPr>
            <w:tcW w:w="3213" w:type="dxa"/>
          </w:tcPr>
          <w:p>
            <w:pPr>
              <w:pStyle w:val="Celda"/>
            </w:pPr>
          </w:p>
        </w:tc>
        <w:tc>
          <w:tcPr>
            <w:tcW w:w="3213" w:type="dxa"/>
          </w:tcPr>
          <w:p>
            <w:pPr>
              <w:pStyle w:val="Celda"/>
            </w:pPr>
            <w:r>
              <w:t xml:space="preserve">For example, 2027 · March.</w:t>
            </w:r>
          </w:p>
        </w:tc>
      </w:tr>
      <w:tr>
        <w:tc>
          <w:tcPr>
            <w:tcW w:w="3213" w:type="dxa"/>
          </w:tcPr>
          <w:p>
            <w:pPr>
              <w:pStyle w:val="Celda"/>
            </w:pPr>
            <w:r>
              <w:t xml:space="preserve">Version of the T13 parameters</w:t>
            </w:r>
          </w:p>
        </w:tc>
        <w:tc>
          <w:tcPr>
            <w:tcW w:w="3213" w:type="dxa"/>
          </w:tcPr>
          <w:p>
            <w:pPr>
              <w:pStyle w:val="Celda"/>
            </w:pPr>
          </w:p>
        </w:tc>
        <w:tc>
          <w:tcPr>
            <w:tcW w:w="3213" w:type="dxa"/>
          </w:tcPr>
          <w:p>
            <w:pPr>
              <w:pStyle w:val="Celda"/>
            </w:pPr>
            <w:r>
              <w:t xml:space="preserve">Parameters versioned by financial year.</w:t>
            </w:r>
          </w:p>
        </w:tc>
      </w:tr>
      <w:tr>
        <w:tc>
          <w:tcPr>
            <w:tcW w:w="3213" w:type="dxa"/>
          </w:tcPr>
          <w:p>
            <w:pPr>
              <w:pStyle w:val="Celda"/>
            </w:pPr>
            <w:r>
              <w:t xml:space="preserve">Document version, author and date</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Tagging and access keys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Tag or key</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Verified at G5 (Yes · No)</w:t>
            </w:r>
          </w:p>
        </w:tc>
      </w:tr>
      <w:tr>
        <w:tc>
          <w:tcPr>
            <w:tcW w:w="3213" w:type="dxa"/>
          </w:tcPr>
          <w:p>
            <w:pPr>
              <w:pStyle w:val="Celda"/>
            </w:pPr>
            <w:r>
              <w:rPr>
                <w:rFonts w:ascii="Consolas" w:hAnsi="Consolas"/>
                <w:sz w:val="18"/>
              </w:rPr>
              <w:t xml:space="preserve">iniciativa</w:t>
            </w:r>
          </w:p>
        </w:tc>
        <w:tc>
          <w:tcPr>
            <w:tcW w:w="3213" w:type="dxa"/>
          </w:tcPr>
          <w:p>
            <w:pPr>
              <w:pStyle w:val="Celda"/>
            </w:pPr>
          </w:p>
        </w:tc>
        <w:tc>
          <w:tcPr>
            <w:tcW w:w="3213" w:type="dxa"/>
          </w:tcPr>
          <w:p>
            <w:pPr>
              <w:pStyle w:val="Celda"/>
            </w:pPr>
          </w:p>
        </w:tc>
      </w:tr>
      <w:tr>
        <w:tc>
          <w:tcPr>
            <w:tcW w:w="3213" w:type="dxa"/>
          </w:tcPr>
          <w:p>
            <w:pPr>
              <w:pStyle w:val="Celda"/>
            </w:pPr>
            <w:r>
              <w:rPr>
                <w:rFonts w:ascii="Consolas" w:hAnsi="Consolas"/>
                <w:sz w:val="18"/>
              </w:rPr>
              <w:t xml:space="preserve">sistema</w:t>
            </w:r>
          </w:p>
        </w:tc>
        <w:tc>
          <w:tcPr>
            <w:tcW w:w="3213" w:type="dxa"/>
          </w:tcPr>
          <w:p>
            <w:pPr>
              <w:pStyle w:val="Celda"/>
            </w:pPr>
          </w:p>
        </w:tc>
        <w:tc>
          <w:tcPr>
            <w:tcW w:w="3213" w:type="dxa"/>
          </w:tcPr>
          <w:p>
            <w:pPr>
              <w:pStyle w:val="Celda"/>
            </w:pPr>
          </w:p>
        </w:tc>
      </w:tr>
      <w:tr>
        <w:tc>
          <w:tcPr>
            <w:tcW w:w="3213" w:type="dxa"/>
          </w:tcPr>
          <w:p>
            <w:pPr>
              <w:pStyle w:val="Celda"/>
            </w:pPr>
            <w:r>
              <w:rPr>
                <w:rFonts w:ascii="Consolas" w:hAnsi="Consolas"/>
                <w:sz w:val="18"/>
              </w:rPr>
              <w:t xml:space="preserve">entorno</w:t>
            </w:r>
          </w:p>
        </w:tc>
        <w:tc>
          <w:tcPr>
            <w:tcW w:w="3213" w:type="dxa"/>
          </w:tcPr>
          <w:p>
            <w:pPr>
              <w:pStyle w:val="Celda"/>
            </w:pPr>
            <w:r>
              <w:t xml:space="preserve">development · testing · pre-production · production</w:t>
            </w:r>
          </w:p>
        </w:tc>
        <w:tc>
          <w:tcPr>
            <w:tcW w:w="3213" w:type="dxa"/>
          </w:tcPr>
          <w:p>
            <w:pPr>
              <w:pStyle w:val="Celda"/>
            </w:pPr>
          </w:p>
        </w:tc>
      </w:tr>
      <w:tr>
        <w:tc>
          <w:tcPr>
            <w:tcW w:w="3213" w:type="dxa"/>
          </w:tcPr>
          <w:p>
            <w:pPr>
              <w:pStyle w:val="Celda"/>
            </w:pPr>
            <w:r>
              <w:rPr>
                <w:rFonts w:ascii="Consolas" w:hAnsi="Consolas"/>
                <w:sz w:val="18"/>
              </w:rPr>
              <w:t xml:space="preserve">centro_coste</w:t>
            </w:r>
          </w:p>
        </w:tc>
        <w:tc>
          <w:tcPr>
            <w:tcW w:w="3213" w:type="dxa"/>
          </w:tcPr>
          <w:p>
            <w:pPr>
              <w:pStyle w:val="Celda"/>
            </w:pPr>
          </w:p>
        </w:tc>
        <w:tc>
          <w:tcPr>
            <w:tcW w:w="3213" w:type="dxa"/>
          </w:tcPr>
          <w:p>
            <w:pPr>
              <w:pStyle w:val="Celda"/>
            </w:pPr>
          </w:p>
        </w:tc>
      </w:tr>
      <w:tr>
        <w:tc>
          <w:tcPr>
            <w:tcW w:w="3213" w:type="dxa"/>
          </w:tcPr>
          <w:p>
            <w:pPr>
              <w:pStyle w:val="Celda"/>
            </w:pPr>
            <w:r>
              <w:t xml:space="preserve">Model access key per use case and environment</w:t>
            </w:r>
          </w:p>
        </w:tc>
        <w:tc>
          <w:tcPr>
            <w:tcW w:w="3213" w:type="dxa"/>
          </w:tcPr>
          <w:p>
            <w:pPr>
              <w:pStyle w:val="Celda"/>
            </w:pPr>
          </w:p>
        </w:tc>
        <w:tc>
          <w:tcPr>
            <w:tcW w:w="3213" w:type="dxa"/>
          </w:tcPr>
          <w:p>
            <w:pPr>
              <w:pStyle w:val="Celda"/>
            </w:pPr>
          </w:p>
        </w:tc>
      </w:tr>
      <w:tr>
        <w:tc>
          <w:tcPr>
            <w:tcW w:w="3213" w:type="dxa"/>
          </w:tcPr>
          <w:p>
            <w:pPr>
              <w:pStyle w:val="Celda"/>
            </w:pPr>
            <w:r>
              <w:t xml:space="preserve">Own credentials and budget for each agent</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4. Use case consumption budget</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Variable cost category</w:t>
            </w:r>
          </w:p>
        </w:tc>
        <w:tc>
          <w:tcPr>
            <w:tcW w:w="1606" w:type="dxa"/>
            <w:shd w:val="clear" w:color="auto" w:fill="F2DFCE"/>
          </w:tcPr>
          <w:p>
            <w:pPr>
              <w:pStyle w:val="Celda"/>
            </w:pPr>
            <w:r>
              <w:rPr>
                <w:b/>
              </w:rPr>
              <w:t xml:space="preserve">Monthly budget (€)</w:t>
            </w:r>
          </w:p>
        </w:tc>
        <w:tc>
          <w:tcPr>
            <w:tcW w:w="1606" w:type="dxa"/>
            <w:shd w:val="clear" w:color="auto" w:fill="F2DFCE"/>
          </w:tcPr>
          <w:p>
            <w:pPr>
              <w:pStyle w:val="Celda"/>
            </w:pPr>
            <w:r>
              <w:rPr>
                <w:b/>
              </w:rPr>
              <w:t xml:space="preserve">Annual budget (€)</w:t>
            </w:r>
          </w:p>
        </w:tc>
        <w:tc>
          <w:tcPr>
            <w:tcW w:w="1606" w:type="dxa"/>
            <w:shd w:val="clear" w:color="auto" w:fill="F2DFCE"/>
          </w:tcPr>
          <w:p>
            <w:pPr>
              <w:pStyle w:val="Celda"/>
            </w:pPr>
            <w:r>
              <w:rPr>
                <w:b/>
              </w:rPr>
              <w:t xml:space="preserve">Volume assumption</w:t>
            </w:r>
          </w:p>
        </w:tc>
        <w:tc>
          <w:tcPr>
            <w:tcW w:w="1606" w:type="dxa"/>
            <w:shd w:val="clear" w:color="auto" w:fill="F2DFCE"/>
          </w:tcPr>
          <w:p>
            <w:pPr>
              <w:pStyle w:val="Celda"/>
            </w:pPr>
            <w:r>
              <w:rPr>
                <w:b/>
              </w:rPr>
              <w:t xml:space="preserve">Consumption source</w:t>
            </w:r>
          </w:p>
        </w:tc>
        <w:tc>
          <w:tcPr>
            <w:tcW w:w="1606" w:type="dxa"/>
            <w:shd w:val="clear" w:color="auto" w:fill="F2DFCE"/>
          </w:tcPr>
          <w:p>
            <w:pPr>
              <w:pStyle w:val="Celda"/>
            </w:pPr>
            <w:r>
              <w:rPr>
                <w:b/>
              </w:rPr>
              <w:t xml:space="preserve">Non-linear profile (closes, campaigns)</w:t>
            </w:r>
          </w:p>
        </w:tc>
      </w:tr>
      <w:tr>
        <w:tc>
          <w:tcPr>
            <w:tcW w:w="1606" w:type="dxa"/>
          </w:tcPr>
          <w:p>
            <w:pPr>
              <w:pStyle w:val="Celda"/>
            </w:pPr>
            <w:r>
              <w:t xml:space="preserve">Model consumption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Model gateway or provider billing</w:t>
            </w:r>
          </w:p>
        </w:tc>
        <w:tc>
          <w:tcPr>
            <w:tcW w:w="1606" w:type="dxa"/>
          </w:tcPr>
          <w:p>
            <w:pPr>
              <w:pStyle w:val="Celda"/>
            </w:pPr>
          </w:p>
        </w:tc>
      </w:tr>
      <w:tr>
        <w:tc>
          <w:tcPr>
            <w:tcW w:w="1606" w:type="dxa"/>
          </w:tcPr>
          <w:p>
            <w:pPr>
              <w:pStyle w:val="Celda"/>
            </w:pPr>
            <w:r>
              <w:t xml:space="preserve">Compute and infrastructure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Cloud billing</w:t>
            </w:r>
          </w:p>
        </w:tc>
        <w:tc>
          <w:tcPr>
            <w:tcW w:w="1606" w:type="dxa"/>
          </w:tcPr>
          <w:p>
            <w:pPr>
              <w:pStyle w:val="Celda"/>
            </w:pPr>
          </w:p>
        </w:tc>
      </w:tr>
      <w:tr>
        <w:tc>
          <w:tcPr>
            <w:tcW w:w="1606" w:type="dxa"/>
          </w:tcPr>
          <w:p>
            <w:pPr>
              <w:pStyle w:val="Celda"/>
            </w:pPr>
            <w:r>
              <w:t xml:space="preserve">Other variable costs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(illustrative example)</w:t>
            </w:r>
            <w:r>
              <w:t xml:space="preserve"> Model consumption of the customer service assistant</w:t>
            </w:r>
          </w:p>
        </w:tc>
        <w:tc>
          <w:tcPr>
            <w:tcW w:w="1606" w:type="dxa"/>
          </w:tcPr>
          <w:p>
            <w:pPr>
              <w:pStyle w:val="Celda"/>
            </w:pPr>
            <w:r>
              <w:t xml:space="preserve">12,000</w:t>
            </w:r>
          </w:p>
        </w:tc>
        <w:tc>
          <w:tcPr>
            <w:tcW w:w="1606" w:type="dxa"/>
          </w:tcPr>
          <w:p>
            <w:pPr>
              <w:pStyle w:val="Celda"/>
            </w:pPr>
            <w:r>
              <w:t xml:space="preserve">144,000</w:t>
            </w:r>
          </w:p>
        </w:tc>
        <w:tc>
          <w:tcPr>
            <w:tcW w:w="1606" w:type="dxa"/>
          </w:tcPr>
          <w:p>
            <w:pPr>
              <w:pStyle w:val="Celda"/>
            </w:pPr>
            <w:r>
              <w:t xml:space="preserve">60,000 queries per month</w:t>
            </w:r>
          </w:p>
        </w:tc>
        <w:tc>
          <w:tcPr>
            <w:tcW w:w="1606" w:type="dxa"/>
          </w:tcPr>
          <w:p>
            <w:pPr>
              <w:pStyle w:val="Celda"/>
            </w:pPr>
            <w:r>
              <w:t xml:space="preserve">Model gateway</w:t>
            </w:r>
          </w:p>
        </w:tc>
        <w:tc>
          <w:tcPr>
            <w:tcW w:w="1606" w:type="dxa"/>
          </w:tcPr>
          <w:p>
            <w:pPr>
              <w:pStyle w:val="Celda"/>
            </w:pPr>
            <w:r>
              <w:t xml:space="preserve">Peak in the last week of the month</w:t>
            </w:r>
          </w:p>
        </w:tc>
      </w:tr>
    </w:tbl>
    <w:p>
      <w:pPr>
        <w:pStyle w:val="Espacio"/>
      </w:pPr>
    </w:p>
    <w:p>
      <w:r>
        <w:rPr>
          <w:b/>
        </w:rPr>
        <w:t xml:space="preserve">Month-end forecast = cumulative consumption ÷ days elapsed × days in the month.</w:t>
      </w:r>
      <w:r>
        <w:t xml:space="preserve"> It is recalculated daily for agents and use cases with direct exposure, and weekly for the rest (42 §8.1).</w:t>
      </w:r>
    </w:p>
    <w:p>
      <w:pPr>
        <w:pStyle w:val="Separador"/>
      </w:pPr>
    </w:p>
    <w:p>
      <w:pPr>
        <w:pStyle w:val="Heading1"/>
      </w:pPr>
      <w:r>
        <w:t xml:space="preserve">5. Alerts and response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Threshold</w:t>
            </w:r>
          </w:p>
        </w:tc>
        <w:tc>
          <w:tcPr>
            <w:tcW w:w="1928" w:type="dxa"/>
            <w:shd w:val="clear" w:color="auto" w:fill="F2DFCE"/>
          </w:tcPr>
          <w:p>
            <w:pPr>
              <w:pStyle w:val="Celda"/>
            </w:pPr>
            <w:r>
              <w:rPr>
                <w:b/>
              </w:rPr>
              <w:t xml:space="preserve">Approved value</w:t>
            </w:r>
          </w:p>
        </w:tc>
        <w:tc>
          <w:tcPr>
            <w:tcW w:w="1928" w:type="dxa"/>
            <w:shd w:val="clear" w:color="auto" w:fill="F2DFCE"/>
          </w:tcPr>
          <w:p>
            <w:pPr>
              <w:pStyle w:val="Celda"/>
            </w:pPr>
            <w:r>
              <w:rPr>
                <w:b/>
              </w:rPr>
              <w:t xml:space="preserve">Alert to</w:t>
            </w:r>
          </w:p>
        </w:tc>
        <w:tc>
          <w:tcPr>
            <w:tcW w:w="1928" w:type="dxa"/>
            <w:shd w:val="clear" w:color="auto" w:fill="F2DFCE"/>
          </w:tcPr>
          <w:p>
            <w:pPr>
              <w:pStyle w:val="Celda"/>
            </w:pPr>
            <w:r>
              <w:rPr>
                <w:b/>
              </w:rPr>
              <w:t xml:space="preserve">Response</w:t>
            </w:r>
          </w:p>
        </w:tc>
        <w:tc>
          <w:tcPr>
            <w:tcW w:w="1928" w:type="dxa"/>
            <w:shd w:val="clear" w:color="auto" w:fill="F2DFCE"/>
          </w:tcPr>
          <w:p>
            <w:pPr>
              <w:pStyle w:val="Celda"/>
            </w:pPr>
            <w:r>
              <w:rPr>
                <w:b/>
              </w:rPr>
              <w:t xml:space="preserve">Link to P25</w:t>
            </w:r>
          </w:p>
        </w:tc>
      </w:tr>
      <w:tr>
        <w:tc>
          <w:tcPr>
            <w:tcW w:w="1928" w:type="dxa"/>
          </w:tcPr>
          <w:p>
            <w:pPr>
              <w:pStyle w:val="Celda"/>
            </w:pPr>
            <w:r>
              <w:t xml:space="preserve">Consumption against budget (indicative 50%)</w:t>
            </w:r>
          </w:p>
        </w:tc>
        <w:tc>
          <w:tcPr>
            <w:tcW w:w="1928" w:type="dxa"/>
          </w:tcPr>
          <w:p>
            <w:pPr>
              <w:pStyle w:val="Celda"/>
            </w:pPr>
          </w:p>
        </w:tc>
        <w:tc>
          <w:tcPr>
            <w:tcW w:w="1928" w:type="dxa"/>
          </w:tcPr>
          <w:p>
            <w:pPr>
              <w:pStyle w:val="Celda"/>
            </w:pPr>
            <w:r>
              <w:t xml:space="preserve">AI Operations Owner</w:t>
            </w:r>
          </w:p>
        </w:tc>
        <w:tc>
          <w:tcPr>
            <w:tcW w:w="1928" w:type="dxa"/>
          </w:tcPr>
          <w:p>
            <w:pPr>
              <w:pStyle w:val="Celda"/>
            </w:pPr>
            <w:r>
              <w:t xml:space="preserve">Review the forecast.</w:t>
            </w:r>
          </w:p>
        </w:tc>
        <w:tc>
          <w:tcPr>
            <w:tcW w:w="1928" w:type="dxa"/>
          </w:tcPr>
          <w:p>
            <w:pPr>
              <w:pStyle w:val="Celda"/>
            </w:pPr>
          </w:p>
        </w:tc>
      </w:tr>
      <w:tr>
        <w:tc>
          <w:tcPr>
            <w:tcW w:w="1928" w:type="dxa"/>
          </w:tcPr>
          <w:p>
            <w:pPr>
              <w:pStyle w:val="Celda"/>
            </w:pPr>
            <w:r>
              <w:t xml:space="preserve">Consumption against budget (indicative 80%) or month-end forecast &gt; 100%</w:t>
            </w:r>
          </w:p>
        </w:tc>
        <w:tc>
          <w:tcPr>
            <w:tcW w:w="1928" w:type="dxa"/>
          </w:tcPr>
          <w:p>
            <w:pPr>
              <w:pStyle w:val="Celda"/>
            </w:pPr>
          </w:p>
        </w:tc>
        <w:tc>
          <w:tcPr>
            <w:tcW w:w="1928" w:type="dxa"/>
          </w:tcPr>
          <w:p>
            <w:pPr>
              <w:pStyle w:val="Celda"/>
            </w:pPr>
            <w:r>
              <w:t xml:space="preserve">AI Operations Owner and AI Product Owner</w:t>
            </w:r>
          </w:p>
        </w:tc>
        <w:tc>
          <w:tcPr>
            <w:tcW w:w="1928" w:type="dxa"/>
          </w:tcPr>
          <w:p>
            <w:pPr>
              <w:pStyle w:val="Celda"/>
            </w:pPr>
            <w:r>
              <w:t xml:space="preserve">Analyse the cause and decide measures; activate N1 if defined.</w:t>
            </w:r>
          </w:p>
        </w:tc>
        <w:tc>
          <w:tcPr>
            <w:tcW w:w="1928" w:type="dxa"/>
          </w:tcPr>
          <w:p>
            <w:pPr>
              <w:pStyle w:val="Celda"/>
            </w:pPr>
          </w:p>
        </w:tc>
      </w:tr>
      <w:tr>
        <w:tc>
          <w:tcPr>
            <w:tcW w:w="1928" w:type="dxa"/>
          </w:tcPr>
          <w:p>
            <w:pPr>
              <w:pStyle w:val="Celda"/>
            </w:pPr>
            <w:r>
              <w:t xml:space="preserve">Consumption against budget (indicative 100%)</w:t>
            </w:r>
          </w:p>
        </w:tc>
        <w:tc>
          <w:tcPr>
            <w:tcW w:w="1928" w:type="dxa"/>
          </w:tcPr>
          <w:p>
            <w:pPr>
              <w:pStyle w:val="Celda"/>
            </w:pPr>
          </w:p>
        </w:tc>
        <w:tc>
          <w:tcPr>
            <w:tcW w:w="1928" w:type="dxa"/>
          </w:tcPr>
          <w:p>
            <w:pPr>
              <w:pStyle w:val="Celda"/>
            </w:pPr>
            <w:r>
              <w:t xml:space="preserve">AI Sponsor and AI Office</w:t>
            </w:r>
          </w:p>
        </w:tc>
        <w:tc>
          <w:tcPr>
            <w:tcW w:w="1928" w:type="dxa"/>
          </w:tcPr>
          <w:p>
            <w:pPr>
              <w:pStyle w:val="Celda"/>
            </w:pPr>
            <w:r>
              <w:t xml:space="preserve">Applicable level of the cascade or a supplement with reasons.</w:t>
            </w:r>
          </w:p>
        </w:tc>
        <w:tc>
          <w:tcPr>
            <w:tcW w:w="1928" w:type="dxa"/>
          </w:tcPr>
          <w:p>
            <w:pPr>
              <w:pStyle w:val="Celda"/>
            </w:pPr>
          </w:p>
        </w:tc>
      </w:tr>
      <w:tr>
        <w:tc>
          <w:tcPr>
            <w:tcW w:w="1928" w:type="dxa"/>
          </w:tcPr>
          <w:p>
            <w:pPr>
              <w:pStyle w:val="Celda"/>
            </w:pPr>
            <w:r>
              <w:t xml:space="preserve">Anomalous consumption</w:t>
            </w:r>
          </w:p>
        </w:tc>
        <w:tc>
          <w:tcPr>
            <w:tcW w:w="1928" w:type="dxa"/>
          </w:tcPr>
          <w:p>
            <w:pPr>
              <w:pStyle w:val="Celda"/>
            </w:pPr>
          </w:p>
        </w:tc>
        <w:tc>
          <w:tcPr>
            <w:tcW w:w="1928" w:type="dxa"/>
          </w:tcPr>
          <w:p>
            <w:pPr>
              <w:pStyle w:val="Celda"/>
            </w:pPr>
            <w:r>
              <w:t xml:space="preserve">AI Operations Owner and security</w:t>
            </w:r>
          </w:p>
        </w:tc>
        <w:tc>
          <w:tcPr>
            <w:tcW w:w="1928" w:type="dxa"/>
          </w:tcPr>
          <w:p>
            <w:pPr>
              <w:pStyle w:val="Celda"/>
            </w:pPr>
            <w:r>
              <w:t xml:space="preserve">Treat it as a possible incident (document 37).</w:t>
            </w:r>
          </w:p>
        </w:tc>
        <w:tc>
          <w:tcPr>
            <w:tcW w:w="1928" w:type="dxa"/>
          </w:tcPr>
          <w:p>
            <w:pPr>
              <w:pStyle w:val="Celda"/>
            </w:pPr>
          </w:p>
        </w:tc>
      </w:tr>
    </w:tbl>
    <w:p>
      <w:pPr>
        <w:pStyle w:val="Espacio"/>
      </w:pPr>
    </w:p>
    <w:p>
      <w:pPr>
        <w:pStyle w:val="Separador"/>
      </w:pPr>
    </w:p>
    <w:p>
      <w:pPr>
        <w:pStyle w:val="Heading1"/>
      </w:pPr>
      <w:r>
        <w:t xml:space="preserve">6. Technical limits per agent</w:t>
      </w:r>
    </w:p>
    <w:p>
      <w:r>
        <w:t xml:space="preserve">Only if the system includes agents. Configured in P18 and checked at G5 (42 §8.3).</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Agent</w:t>
            </w:r>
          </w:p>
        </w:tc>
        <w:tc>
          <w:tcPr>
            <w:tcW w:w="1606" w:type="dxa"/>
            <w:shd w:val="clear" w:color="auto" w:fill="F2DFCE"/>
          </w:tcPr>
          <w:p>
            <w:pPr>
              <w:pStyle w:val="Celda"/>
            </w:pPr>
            <w:r>
              <w:rPr>
                <w:b/>
              </w:rPr>
              <w:t xml:space="preserve">Maximum cost per run</w:t>
            </w:r>
          </w:p>
        </w:tc>
        <w:tc>
          <w:tcPr>
            <w:tcW w:w="1606" w:type="dxa"/>
            <w:shd w:val="clear" w:color="auto" w:fill="F2DFCE"/>
          </w:tcPr>
          <w:p>
            <w:pPr>
              <w:pStyle w:val="Celda"/>
            </w:pPr>
            <w:r>
              <w:rPr>
                <w:b/>
              </w:rPr>
              <w:t xml:space="preserve">Maximum calls per run</w:t>
            </w:r>
          </w:p>
        </w:tc>
        <w:tc>
          <w:tcPr>
            <w:tcW w:w="1606" w:type="dxa"/>
            <w:shd w:val="clear" w:color="auto" w:fill="F2DFCE"/>
          </w:tcPr>
          <w:p>
            <w:pPr>
              <w:pStyle w:val="Celda"/>
            </w:pPr>
            <w:r>
              <w:rPr>
                <w:b/>
              </w:rPr>
              <w:t xml:space="preserve">Maximum daily and monthly spend</w:t>
            </w:r>
          </w:p>
        </w:tc>
        <w:tc>
          <w:tcPr>
            <w:tcW w:w="1606" w:type="dxa"/>
            <w:shd w:val="clear" w:color="auto" w:fill="F2DFCE"/>
          </w:tcPr>
          <w:p>
            <w:pPr>
              <w:pStyle w:val="Celda"/>
            </w:pPr>
            <w:r>
              <w:rPr>
                <w:b/>
              </w:rPr>
              <w:t xml:space="preserve">Concurrent runs</w:t>
            </w:r>
          </w:p>
        </w:tc>
        <w:tc>
          <w:tcPr>
            <w:tcW w:w="1606" w:type="dxa"/>
            <w:shd w:val="clear" w:color="auto" w:fill="F2DFCE"/>
          </w:tcPr>
          <w:p>
            <w:pPr>
              <w:pStyle w:val="Celda"/>
            </w:pPr>
            <w:r>
              <w:rPr>
                <w:b/>
              </w:rPr>
              <w:t xml:space="preserve">Action on reaching the limit</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Stop · Refer to a person · Degraded mode, with a record</w:t>
            </w:r>
          </w:p>
        </w:tc>
      </w:tr>
    </w:tbl>
    <w:p>
      <w:pPr>
        <w:pStyle w:val="Espacio"/>
      </w:pPr>
    </w:p>
    <w:p>
      <w:r>
        <w:t xml:space="preserve">The agent's kill switch can also be activated for cost reasons.</w:t>
      </w:r>
    </w:p>
    <w:p>
      <w:pPr>
        <w:pStyle w:val="Separador"/>
      </w:pPr>
    </w:p>
    <w:p>
      <w:pPr>
        <w:pStyle w:val="Heading1"/>
      </w:pPr>
      <w:r>
        <w:t xml:space="preserve">7. Cost-driven degradation cascade</w:t>
      </w:r>
    </w:p>
    <w:p>
      <w:r>
        <w:t xml:space="preserve">Defined in P24, with the minimum quality from P25 and the fallback model recorded in P16 (52 §10.3).</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What is done in this system</w:t>
            </w:r>
          </w:p>
        </w:tc>
        <w:tc>
          <w:tcPr>
            <w:tcW w:w="1606" w:type="dxa"/>
            <w:shd w:val="clear" w:color="auto" w:fill="F2DFCE"/>
          </w:tcPr>
          <w:p>
            <w:pPr>
              <w:pStyle w:val="Celda"/>
            </w:pPr>
            <w:r>
              <w:rPr>
                <w:b/>
              </w:rPr>
              <w:t xml:space="preserve">Trigger</w:t>
            </w:r>
          </w:p>
        </w:tc>
        <w:tc>
          <w:tcPr>
            <w:tcW w:w="1606" w:type="dxa"/>
            <w:shd w:val="clear" w:color="auto" w:fill="F2DFCE"/>
          </w:tcPr>
          <w:p>
            <w:pPr>
              <w:pStyle w:val="Celda"/>
            </w:pPr>
            <w:r>
              <w:rPr>
                <w:b/>
              </w:rPr>
              <w:t xml:space="preserve">Who activates it</w:t>
            </w:r>
          </w:p>
        </w:tc>
        <w:tc>
          <w:tcPr>
            <w:tcW w:w="1606" w:type="dxa"/>
            <w:shd w:val="clear" w:color="auto" w:fill="F2DFCE"/>
          </w:tcPr>
          <w:p>
            <w:pPr>
              <w:pStyle w:val="Celda"/>
            </w:pPr>
            <w:r>
              <w:rPr>
                <w:b/>
              </w:rPr>
              <w:t xml:space="preserve">Condition met (Yes · No · Not applicable)</w:t>
            </w:r>
          </w:p>
        </w:tc>
        <w:tc>
          <w:tcPr>
            <w:tcW w:w="1606" w:type="dxa"/>
            <w:shd w:val="clear" w:color="auto" w:fill="F2DFCE"/>
          </w:tcPr>
          <w:p>
            <w:pPr>
              <w:pStyle w:val="Celda"/>
            </w:pPr>
            <w:r>
              <w:rPr>
                <w:b/>
              </w:rPr>
              <w:t xml:space="preserve">Minimum quality during the level</w:t>
            </w:r>
          </w:p>
        </w:tc>
      </w:tr>
      <w:tr>
        <w:tc>
          <w:tcPr>
            <w:tcW w:w="1606" w:type="dxa"/>
          </w:tcPr>
          <w:p>
            <w:pPr>
              <w:pStyle w:val="Celda"/>
            </w:pPr>
            <w:r>
              <w:t xml:space="preserve">N0 · Normal operation</w:t>
            </w:r>
          </w:p>
        </w:tc>
        <w:tc>
          <w:tcPr>
            <w:tcW w:w="1606" w:type="dxa"/>
          </w:tcPr>
          <w:p>
            <w:pPr>
              <w:pStyle w:val="Celda"/>
            </w:pPr>
            <w:r>
              <w:t xml:space="preserve">Primary model and G5 configuration</w:t>
            </w:r>
          </w:p>
        </w:tc>
        <w:tc>
          <w:tcPr>
            <w:tcW w:w="1606" w:type="dxa"/>
          </w:tcPr>
          <w:p>
            <w:pPr>
              <w:pStyle w:val="Celda"/>
            </w:pPr>
            <w:r>
              <w:t xml:space="preserve">—</w:t>
            </w:r>
          </w:p>
        </w:tc>
        <w:tc>
          <w:tcPr>
            <w:tcW w:w="1606" w:type="dxa"/>
          </w:tcPr>
          <w:p>
            <w:pPr>
              <w:pStyle w:val="Celda"/>
            </w:pPr>
            <w:r>
              <w:t xml:space="preserve">—</w:t>
            </w:r>
          </w:p>
        </w:tc>
        <w:tc>
          <w:tcPr>
            <w:tcW w:w="1606" w:type="dxa"/>
          </w:tcPr>
          <w:p>
            <w:pPr>
              <w:pStyle w:val="Celda"/>
            </w:pPr>
            <w:r>
              <w:t xml:space="preserve">—</w:t>
            </w:r>
          </w:p>
        </w:tc>
        <w:tc>
          <w:tcPr>
            <w:tcW w:w="1606" w:type="dxa"/>
          </w:tcPr>
          <w:p>
            <w:pPr>
              <w:pStyle w:val="Celda"/>
            </w:pPr>
            <w:r>
              <w:t xml:space="preserve">—</w:t>
            </w:r>
          </w:p>
        </w:tc>
      </w:tr>
      <w:tr>
        <w:tc>
          <w:tcPr>
            <w:tcW w:w="1606" w:type="dxa"/>
          </w:tcPr>
          <w:p>
            <w:pPr>
              <w:pStyle w:val="Celda"/>
            </w:pPr>
            <w:r>
              <w:t xml:space="preserve">N1 · Optimisation without a model change</w:t>
            </w:r>
          </w:p>
        </w:tc>
        <w:tc>
          <w:tcPr>
            <w:tcW w:w="1606" w:type="dxa"/>
          </w:tcPr>
          <w:p>
            <w:pPr>
              <w:pStyle w:val="Celda"/>
            </w:pPr>
          </w:p>
        </w:tc>
        <w:tc>
          <w:tcPr>
            <w:tcW w:w="1606" w:type="dxa"/>
          </w:tcPr>
          <w:p>
            <w:pPr>
              <w:pStyle w:val="Celda"/>
            </w:pPr>
            <w:r>
              <w:rPr>
                <w:i/>
              </w:rPr>
              <w:t xml:space="preserve">(illustrative example)</w:t>
            </w:r>
            <w:r>
              <w:t xml:space="preserve"> 80% of the budget</w:t>
            </w:r>
          </w:p>
        </w:tc>
        <w:tc>
          <w:tcPr>
            <w:tcW w:w="1606" w:type="dxa"/>
          </w:tcPr>
          <w:p>
            <w:pPr>
              <w:pStyle w:val="Celda"/>
            </w:pPr>
          </w:p>
        </w:tc>
        <w:tc>
          <w:tcPr>
            <w:tcW w:w="1606" w:type="dxa"/>
          </w:tcPr>
          <w:p>
            <w:pPr>
              <w:pStyle w:val="Celda"/>
            </w:pPr>
            <w:r>
              <w:t xml:space="preserve">Parameters within the G5 ranges</w:t>
            </w:r>
          </w:p>
        </w:tc>
        <w:tc>
          <w:tcPr>
            <w:tcW w:w="1606" w:type="dxa"/>
          </w:tcPr>
          <w:p>
            <w:pPr>
              <w:pStyle w:val="Celda"/>
            </w:pPr>
          </w:p>
        </w:tc>
      </w:tr>
      <w:tr>
        <w:tc>
          <w:tcPr>
            <w:tcW w:w="1606" w:type="dxa"/>
          </w:tcPr>
          <w:p>
            <w:pPr>
              <w:pStyle w:val="Celda"/>
            </w:pPr>
            <w:r>
              <w:t xml:space="preserve">N2 · Fallback model </w:t>
            </w:r>
            <w:r>
              <w:rPr>
                <w:b/>
              </w:rPr>
              <w:t xml:space="preserve">(Enterprise; optional in Lite)</w:t>
            </w:r>
          </w:p>
        </w:tc>
        <w:tc>
          <w:tcPr>
            <w:tcW w:w="1606" w:type="dxa"/>
          </w:tcPr>
          <w:p>
            <w:pPr>
              <w:pStyle w:val="Celda"/>
            </w:pPr>
          </w:p>
        </w:tc>
        <w:tc>
          <w:tcPr>
            <w:tcW w:w="1606" w:type="dxa"/>
          </w:tcPr>
          <w:p>
            <w:pPr>
              <w:pStyle w:val="Celda"/>
            </w:pPr>
            <w:r>
              <w:rPr>
                <w:i/>
              </w:rPr>
              <w:t xml:space="preserve">(illustrative example)</w:t>
            </w:r>
            <w:r>
              <w:t xml:space="preserve"> 100% of the budget</w:t>
            </w:r>
          </w:p>
        </w:tc>
        <w:tc>
          <w:tcPr>
            <w:tcW w:w="1606" w:type="dxa"/>
          </w:tcPr>
          <w:p>
            <w:pPr>
              <w:pStyle w:val="Celda"/>
            </w:pPr>
          </w:p>
        </w:tc>
        <w:tc>
          <w:tcPr>
            <w:tcW w:w="1606" w:type="dxa"/>
          </w:tcPr>
          <w:p>
            <w:pPr>
              <w:pStyle w:val="Celda"/>
            </w:pPr>
            <w:r>
              <w:t xml:space="preserve">Evaluated before G5 with the reference set and the bias tests; version in P16</w:t>
            </w:r>
          </w:p>
        </w:tc>
        <w:tc>
          <w:tcPr>
            <w:tcW w:w="1606" w:type="dxa"/>
          </w:tcPr>
          <w:p>
            <w:pPr>
              <w:pStyle w:val="Celda"/>
            </w:pPr>
          </w:p>
        </w:tc>
      </w:tr>
      <w:tr>
        <w:tc>
          <w:tcPr>
            <w:tcW w:w="1606" w:type="dxa"/>
          </w:tcPr>
          <w:p>
            <w:pPr>
              <w:pStyle w:val="Celda"/>
            </w:pPr>
            <w:r>
              <w:t xml:space="preserve">N3 · Reduced scope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Allocation criterion in P24 and people available</w:t>
            </w:r>
          </w:p>
        </w:tc>
        <w:tc>
          <w:tcPr>
            <w:tcW w:w="1606" w:type="dxa"/>
          </w:tcPr>
          <w:p>
            <w:pPr>
              <w:pStyle w:val="Celda"/>
            </w:pPr>
          </w:p>
        </w:tc>
      </w:tr>
      <w:tr>
        <w:tc>
          <w:tcPr>
            <w:tcW w:w="1606" w:type="dxa"/>
          </w:tcPr>
          <w:p>
            <w:pPr>
              <w:pStyle w:val="Celda"/>
            </w:pPr>
            <w:r>
              <w:t xml:space="preserve">N4 · Alternative without AI</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Tested rollback plan (P19)</w:t>
            </w: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Does the system decide or recommend about people, support a critical function or is it high-risk?</w:t>
            </w:r>
          </w:p>
        </w:tc>
        <w:tc>
          <w:tcPr>
            <w:tcW w:w="3213" w:type="dxa"/>
          </w:tcPr>
          <w:p>
            <w:pPr>
              <w:pStyle w:val="Celda"/>
            </w:pPr>
          </w:p>
        </w:tc>
        <w:tc>
          <w:tcPr>
            <w:tcW w:w="3213" w:type="dxa"/>
          </w:tcPr>
          <w:p>
            <w:pPr>
              <w:pStyle w:val="Celda"/>
            </w:pPr>
            <w:r>
              <w:t xml:space="preserve">If Yes, N2 is not used unless specifically validated for that use; move to N3, N4 or a supplement (52 §10.3, rule 2).</w:t>
            </w:r>
          </w:p>
        </w:tc>
      </w:tr>
      <w:tr>
        <w:tc>
          <w:tcPr>
            <w:tcW w:w="3213" w:type="dxa"/>
          </w:tcPr>
          <w:p>
            <w:pPr>
              <w:pStyle w:val="Celda"/>
            </w:pPr>
            <w:r>
              <w:t xml:space="preserve">Cascade test before G5</w:t>
            </w:r>
          </w:p>
        </w:tc>
        <w:tc>
          <w:tcPr>
            <w:tcW w:w="3213" w:type="dxa"/>
          </w:tcPr>
          <w:p>
            <w:pPr>
              <w:pStyle w:val="Celda"/>
            </w:pPr>
          </w:p>
        </w:tc>
        <w:tc>
          <w:tcPr>
            <w:tcW w:w="3213" w:type="dxa"/>
          </w:tcPr>
          <w:p>
            <w:pPr>
              <w:pStyle w:val="Celda"/>
            </w:pPr>
            <w:r>
              <w:t xml:space="preserve">Date and result, together with the rollback test.</w:t>
            </w:r>
          </w:p>
        </w:tc>
      </w:tr>
    </w:tbl>
    <w:p>
      <w:pPr>
        <w:pStyle w:val="Espacio"/>
      </w:pPr>
    </w:p>
    <w:p>
      <w:pPr>
        <w:pStyle w:val="Separador"/>
      </w:pPr>
    </w:p>
    <w:p>
      <w:pPr>
        <w:pStyle w:val="Heading1"/>
      </w:pPr>
      <w:r>
        <w:t xml:space="preserve">8. Monthly consumption tracking</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Month</w:t>
            </w:r>
          </w:p>
        </w:tc>
        <w:tc>
          <w:tcPr>
            <w:tcW w:w="1205" w:type="dxa"/>
            <w:shd w:val="clear" w:color="auto" w:fill="F2DFCE"/>
          </w:tcPr>
          <w:p>
            <w:pPr>
              <w:pStyle w:val="Celda"/>
            </w:pPr>
            <w:r>
              <w:rPr>
                <w:b/>
              </w:rPr>
              <w:t xml:space="preserve">Budget (€)</w:t>
            </w:r>
          </w:p>
        </w:tc>
        <w:tc>
          <w:tcPr>
            <w:tcW w:w="1205" w:type="dxa"/>
            <w:shd w:val="clear" w:color="auto" w:fill="F2DFCE"/>
          </w:tcPr>
          <w:p>
            <w:pPr>
              <w:pStyle w:val="Celda"/>
            </w:pPr>
            <w:r>
              <w:rPr>
                <w:b/>
              </w:rPr>
              <w:t xml:space="preserve">Actual consumption (€)</w:t>
            </w:r>
          </w:p>
        </w:tc>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Days at N1 · N2 · N3 · N4</w:t>
            </w:r>
          </w:p>
        </w:tc>
        <w:tc>
          <w:tcPr>
            <w:tcW w:w="1205" w:type="dxa"/>
            <w:shd w:val="clear" w:color="auto" w:fill="F2DFCE"/>
          </w:tcPr>
          <w:p>
            <w:pPr>
              <w:pStyle w:val="Celda"/>
            </w:pPr>
            <w:r>
              <w:rPr>
                <w:b/>
              </w:rPr>
              <w:t xml:space="preserve">Quality measured in the mode against the minimum (OPE-18)</w:t>
            </w:r>
          </w:p>
        </w:tc>
        <w:tc>
          <w:tcPr>
            <w:tcW w:w="1205" w:type="dxa"/>
            <w:shd w:val="clear" w:color="auto" w:fill="F2DFCE"/>
          </w:tcPr>
          <w:p>
            <w:pPr>
              <w:pStyle w:val="Celda"/>
            </w:pPr>
            <w:r>
              <w:rPr>
                <w:b/>
              </w:rPr>
              <w:t xml:space="preserve">Supplements approved</w:t>
            </w:r>
          </w:p>
        </w:tc>
        <w:tc>
          <w:tcPr>
            <w:tcW w:w="1205" w:type="dxa"/>
            <w:shd w:val="clear" w:color="auto" w:fill="F2DFCE"/>
          </w:tcPr>
          <w:p>
            <w:pPr>
              <w:pStyle w:val="Celda"/>
            </w:pPr>
            <w:r>
              <w:rPr>
                <w:b/>
              </w:rPr>
              <w:t xml:space="preserve">Cause and action</w:t>
            </w:r>
          </w:p>
        </w:tc>
      </w:tr>
      <w:tr>
        <w:tc>
          <w:tcPr>
            <w:tcW w:w="1205" w:type="dxa"/>
          </w:tcPr>
          <w:p>
            <w:pPr>
              <w:pStyle w:val="Celda"/>
            </w:pPr>
            <w:r>
              <w:rPr>
                <w:i/>
              </w:rPr>
              <w:t xml:space="preserve">(illustrative example)</w:t>
            </w:r>
            <w:r>
              <w:t xml:space="preserve"> March 2027</w:t>
            </w:r>
          </w:p>
        </w:tc>
        <w:tc>
          <w:tcPr>
            <w:tcW w:w="1205" w:type="dxa"/>
          </w:tcPr>
          <w:p>
            <w:pPr>
              <w:pStyle w:val="Celda"/>
            </w:pPr>
            <w:r>
              <w:t xml:space="preserve">12,000</w:t>
            </w:r>
          </w:p>
        </w:tc>
        <w:tc>
          <w:tcPr>
            <w:tcW w:w="1205" w:type="dxa"/>
          </w:tcPr>
          <w:p>
            <w:pPr>
              <w:pStyle w:val="Celda"/>
            </w:pPr>
            <w:r>
              <w:t xml:space="preserve">12,600</w:t>
            </w:r>
          </w:p>
        </w:tc>
        <w:tc>
          <w:tcPr>
            <w:tcW w:w="1205" w:type="dxa"/>
          </w:tcPr>
          <w:p>
            <w:pPr>
              <w:pStyle w:val="Celda"/>
            </w:pPr>
            <w:r>
              <w:t xml:space="preserve">105%</w:t>
            </w:r>
          </w:p>
        </w:tc>
        <w:tc>
          <w:tcPr>
            <w:tcW w:w="1205" w:type="dxa"/>
          </w:tcPr>
          <w:p>
            <w:pPr>
              <w:pStyle w:val="Celda"/>
            </w:pPr>
            <w:r>
              <w:t xml:space="preserve">6 · 5 · 0 · 0</w:t>
            </w:r>
          </w:p>
        </w:tc>
        <w:tc>
          <w:tcPr>
            <w:tcW w:w="1205" w:type="dxa"/>
          </w:tcPr>
          <w:p>
            <w:pPr>
              <w:pStyle w:val="Celda"/>
            </w:pPr>
            <w:r>
              <w:t xml:space="preserve">91% against 88%</w:t>
            </w:r>
          </w:p>
        </w:tc>
        <w:tc>
          <w:tcPr>
            <w:tcW w:w="1205" w:type="dxa"/>
          </w:tcPr>
          <w:p>
            <w:pPr>
              <w:pStyle w:val="Celda"/>
            </w:pPr>
            <w:r>
              <w:t xml:space="preserve">No</w:t>
            </w:r>
          </w:p>
        </w:tc>
        <w:tc>
          <w:tcPr>
            <w:tcW w:w="1205" w:type="dxa"/>
          </w:tcPr>
          <w:p>
            <w:pPr>
              <w:pStyle w:val="Celda"/>
            </w:pPr>
            <w:r>
              <w:t xml:space="preserve">Actual volume growth; the R6 adjusts the budget</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Each activation and each return to N0 is recorded in P27. More than one month at N2 or above is taken to the next R6 with a proposal: supplement, permanent optimisation (42 §8.5) or change of the primary model.</w:t>
      </w:r>
    </w:p>
    <w:p>
      <w:pPr>
        <w:pStyle w:val="Separador"/>
      </w:pPr>
    </w:p>
    <w:p>
      <w:pPr>
        <w:pStyle w:val="Heading1"/>
      </w:pPr>
      <w:r>
        <w:t xml:space="preserve">9. Allocation keys for shared costs</w:t>
      </w:r>
    </w:p>
    <w:p>
      <w:r>
        <w:t xml:space="preserve">Approved at C3 by the AI Committee with management control, for the whole financial year (42 §6 and §11.2). Method in the order of 42 §6.1: direct charging · measured consumption · cost driver · weighted allocation.</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No.</w:t>
            </w:r>
          </w:p>
        </w:tc>
        <w:tc>
          <w:tcPr>
            <w:tcW w:w="1071" w:type="dxa"/>
            <w:shd w:val="clear" w:color="auto" w:fill="F2DFCE"/>
          </w:tcPr>
          <w:p>
            <w:pPr>
              <w:pStyle w:val="Celda"/>
            </w:pPr>
            <w:r>
              <w:rPr>
                <w:b/>
              </w:rPr>
              <w:t xml:space="preserve">Shared cost</w:t>
            </w:r>
          </w:p>
        </w:tc>
        <w:tc>
          <w:tcPr>
            <w:tcW w:w="1071" w:type="dxa"/>
            <w:shd w:val="clear" w:color="auto" w:fill="F2DFCE"/>
          </w:tcPr>
          <w:p>
            <w:pPr>
              <w:pStyle w:val="Celda"/>
            </w:pPr>
            <w:r>
              <w:rPr>
                <w:b/>
              </w:rPr>
              <w:t xml:space="preserve">Annual amount (€)</w:t>
            </w:r>
          </w:p>
        </w:tc>
        <w:tc>
          <w:tcPr>
            <w:tcW w:w="1071" w:type="dxa"/>
            <w:shd w:val="clear" w:color="auto" w:fill="F2DFCE"/>
          </w:tcPr>
          <w:p>
            <w:pPr>
              <w:pStyle w:val="Celda"/>
            </w:pPr>
            <w:r>
              <w:rPr>
                <w:b/>
              </w:rPr>
              <w:t xml:space="preserve">Method</w:t>
            </w:r>
          </w:p>
        </w:tc>
        <w:tc>
          <w:tcPr>
            <w:tcW w:w="1071" w:type="dxa"/>
            <w:shd w:val="clear" w:color="auto" w:fill="F2DFCE"/>
          </w:tcPr>
          <w:p>
            <w:pPr>
              <w:pStyle w:val="Celda"/>
            </w:pPr>
            <w:r>
              <w:rPr>
                <w:b/>
              </w:rPr>
              <w:t xml:space="preserve">Preferred key</w:t>
            </w:r>
          </w:p>
        </w:tc>
        <w:tc>
          <w:tcPr>
            <w:tcW w:w="1071" w:type="dxa"/>
            <w:shd w:val="clear" w:color="auto" w:fill="F2DFCE"/>
          </w:tcPr>
          <w:p>
            <w:pPr>
              <w:pStyle w:val="Celda"/>
            </w:pPr>
            <w:r>
              <w:rPr>
                <w:b/>
              </w:rPr>
              <w:t xml:space="preserve">Alternative key</w:t>
            </w:r>
          </w:p>
        </w:tc>
        <w:tc>
          <w:tcPr>
            <w:tcW w:w="1071" w:type="dxa"/>
            <w:shd w:val="clear" w:color="auto" w:fill="F2DFCE"/>
          </w:tcPr>
          <w:p>
            <w:pPr>
              <w:pStyle w:val="Celda"/>
            </w:pPr>
            <w:r>
              <w:rPr>
                <w:b/>
              </w:rPr>
              <w:t xml:space="preserve">What is not allocated to use cases</w:t>
            </w:r>
          </w:p>
        </w:tc>
        <w:tc>
          <w:tcPr>
            <w:tcW w:w="1071" w:type="dxa"/>
            <w:shd w:val="clear" w:color="auto" w:fill="F2DFCE"/>
          </w:tcPr>
          <w:p>
            <w:pPr>
              <w:pStyle w:val="Celda"/>
            </w:pPr>
            <w:r>
              <w:rPr>
                <w:b/>
              </w:rPr>
              <w:t xml:space="preserve">Tolerance for untagged consumption</w:t>
            </w:r>
          </w:p>
        </w:tc>
        <w:tc>
          <w:tcPr>
            <w:tcW w:w="1071" w:type="dxa"/>
            <w:shd w:val="clear" w:color="auto" w:fill="F2DFCE"/>
          </w:tcPr>
          <w:p>
            <w:pPr>
              <w:pStyle w:val="Celda"/>
            </w:pPr>
            <w:r>
              <w:rPr>
                <w:b/>
              </w:rPr>
              <w:t xml:space="preserve">Approval date</w:t>
            </w:r>
          </w:p>
        </w:tc>
      </w:tr>
      <w:tr>
        <w:tc>
          <w:tcPr>
            <w:tcW w:w="1071" w:type="dxa"/>
          </w:tcPr>
          <w:p>
            <w:pPr>
              <w:pStyle w:val="Celda"/>
            </w:pPr>
            <w:r>
              <w:t xml:space="preserve">CR-01 </w:t>
            </w:r>
            <w:r>
              <w:rPr>
                <w:i/>
              </w:rPr>
              <w:t xml:space="preserve">(illustrative example)</w:t>
            </w:r>
          </w:p>
        </w:tc>
        <w:tc>
          <w:tcPr>
            <w:tcW w:w="1071" w:type="dxa"/>
          </w:tcPr>
          <w:p>
            <w:pPr>
              <w:pStyle w:val="Celda"/>
            </w:pPr>
            <w:r>
              <w:t xml:space="preserve">Shared model platform</w:t>
            </w:r>
          </w:p>
        </w:tc>
        <w:tc>
          <w:tcPr>
            <w:tcW w:w="1071" w:type="dxa"/>
          </w:tcPr>
          <w:p>
            <w:pPr>
              <w:pStyle w:val="Celda"/>
            </w:pPr>
            <w:r>
              <w:t xml:space="preserve">240,000</w:t>
            </w:r>
          </w:p>
        </w:tc>
        <w:tc>
          <w:tcPr>
            <w:tcW w:w="1071" w:type="dxa"/>
          </w:tcPr>
          <w:p>
            <w:pPr>
              <w:pStyle w:val="Celda"/>
            </w:pPr>
            <w:r>
              <w:t xml:space="preserve">Measured consumption</w:t>
            </w:r>
          </w:p>
        </w:tc>
        <w:tc>
          <w:tcPr>
            <w:tcW w:w="1071" w:type="dxa"/>
          </w:tcPr>
          <w:p>
            <w:pPr>
              <w:pStyle w:val="Celda"/>
            </w:pPr>
            <w:r>
              <w:t xml:space="preserve">Consumption per access key</w:t>
            </w:r>
          </w:p>
        </w:tc>
        <w:tc>
          <w:tcPr>
            <w:tcW w:w="1071" w:type="dxa"/>
          </w:tcPr>
          <w:p>
            <w:pPr>
              <w:pStyle w:val="Celda"/>
            </w:pPr>
            <w:r>
              <w:t xml:space="preserve">Calls per use case</w:t>
            </w:r>
          </w:p>
        </w:tc>
        <w:tc>
          <w:tcPr>
            <w:tcW w:w="1071" w:type="dxa"/>
          </w:tcPr>
          <w:p>
            <w:pPr>
              <w:pStyle w:val="Celda"/>
            </w:pPr>
            <w:r>
              <w:t xml:space="preserve">Platform testing</w:t>
            </w:r>
          </w:p>
        </w:tc>
        <w:tc>
          <w:tcPr>
            <w:tcW w:w="1071" w:type="dxa"/>
          </w:tcPr>
          <w:p>
            <w:pPr>
              <w:pStyle w:val="Celda"/>
            </w:pPr>
            <w:r>
              <w:t xml:space="preserve">5%</w:t>
            </w:r>
          </w:p>
        </w:tc>
        <w:tc>
          <w:tcPr>
            <w:tcW w:w="1071" w:type="dxa"/>
          </w:tcPr>
          <w:p>
            <w:pPr>
              <w:pStyle w:val="Celda"/>
            </w:pPr>
            <w:r>
              <w:t xml:space="preserve">15-01-2027</w:t>
            </w:r>
          </w:p>
        </w:tc>
      </w:tr>
      <w:tr>
        <w:tc>
          <w:tcPr>
            <w:tcW w:w="1071" w:type="dxa"/>
          </w:tcPr>
          <w:p>
            <w:pPr>
              <w:pStyle w:val="Celda"/>
            </w:pPr>
            <w:r>
              <w:t xml:space="preserve">CR-02 </w:t>
            </w:r>
            <w:r>
              <w:rPr>
                <w:i/>
              </w:rPr>
              <w:t xml:space="preserve">(illustrative example)</w:t>
            </w:r>
          </w:p>
        </w:tc>
        <w:tc>
          <w:tcPr>
            <w:tcW w:w="1071" w:type="dxa"/>
          </w:tcPr>
          <w:p>
            <w:pPr>
              <w:pStyle w:val="Celda"/>
            </w:pPr>
            <w:r>
              <w:t xml:space="preserve">AI Office</w:t>
            </w:r>
          </w:p>
        </w:tc>
        <w:tc>
          <w:tcPr>
            <w:tcW w:w="1071" w:type="dxa"/>
          </w:tcPr>
          <w:p>
            <w:pPr>
              <w:pStyle w:val="Celda"/>
            </w:pPr>
            <w:r>
              <w:t xml:space="preserve">280,000</w:t>
            </w:r>
          </w:p>
        </w:tc>
        <w:tc>
          <w:tcPr>
            <w:tcW w:w="1071" w:type="dxa"/>
          </w:tcPr>
          <w:p>
            <w:pPr>
              <w:pStyle w:val="Celda"/>
            </w:pPr>
            <w:r>
              <w:t xml:space="preserve">Weighted allocation</w:t>
            </w:r>
          </w:p>
        </w:tc>
        <w:tc>
          <w:tcPr>
            <w:tcW w:w="1071" w:type="dxa"/>
          </w:tcPr>
          <w:p>
            <w:pPr>
              <w:pStyle w:val="Celda"/>
            </w:pPr>
            <w:r>
              <w:t xml:space="preserve">Hours charged</w:t>
            </w:r>
          </w:p>
        </w:tc>
        <w:tc>
          <w:tcPr>
            <w:tcW w:w="1071" w:type="dxa"/>
          </w:tcPr>
          <w:p>
            <w:pPr>
              <w:pStyle w:val="Celda"/>
            </w:pPr>
            <w:r>
              <w:t xml:space="preserve">Use cases weighted by intensity (Enterprise 2, Lite 1)</w:t>
            </w:r>
          </w:p>
        </w:tc>
        <w:tc>
          <w:tcPr>
            <w:tcW w:w="1071" w:type="dxa"/>
          </w:tcPr>
          <w:p>
            <w:pPr>
              <w:pStyle w:val="Celda"/>
            </w:pPr>
            <w:r>
              <w:t xml:space="preserve">40% corporate structure</w:t>
            </w:r>
          </w:p>
        </w:tc>
        <w:tc>
          <w:tcPr>
            <w:tcW w:w="1071" w:type="dxa"/>
          </w:tcPr>
          <w:p>
            <w:pPr>
              <w:pStyle w:val="Celda"/>
            </w:pPr>
            <w:r>
              <w:t xml:space="preserve">—</w:t>
            </w:r>
          </w:p>
        </w:tc>
        <w:tc>
          <w:tcPr>
            <w:tcW w:w="1071" w:type="dxa"/>
          </w:tcPr>
          <w:p>
            <w:pPr>
              <w:pStyle w:val="Celda"/>
            </w:pPr>
            <w:r>
              <w:t xml:space="preserve">15-01-2027</w:t>
            </w:r>
          </w:p>
        </w:tc>
      </w:tr>
      <w:tr>
        <w:tc>
          <w:tcPr>
            <w:tcW w:w="1071" w:type="dxa"/>
          </w:tcPr>
          <w:p>
            <w:pPr>
              <w:pStyle w:val="Celda"/>
            </w:pPr>
            <w:r>
              <w:t xml:space="preserve">CR-01</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Key changes during the year</w:t>
            </w:r>
          </w:p>
        </w:tc>
        <w:tc>
          <w:tcPr>
            <w:tcW w:w="3213" w:type="dxa"/>
          </w:tcPr>
          <w:p>
            <w:pPr>
              <w:pStyle w:val="Celda"/>
            </w:pPr>
          </w:p>
        </w:tc>
        <w:tc>
          <w:tcPr>
            <w:tcW w:w="3213" w:type="dxa"/>
          </w:tcPr>
          <w:p>
            <w:pPr>
              <w:pStyle w:val="Celda"/>
            </w:pPr>
            <w:r>
              <w:t xml:space="preserve">Only for errors; date, reason and who approves it.</w:t>
            </w:r>
          </w:p>
        </w:tc>
      </w:tr>
      <w:tr>
        <w:tc>
          <w:tcPr>
            <w:tcW w:w="3213" w:type="dxa"/>
          </w:tcPr>
          <w:p>
            <w:pPr>
              <w:pStyle w:val="Celda"/>
            </w:pPr>
            <w:r>
              <w:t xml:space="preserve">Check: amount allocated = total shared cost</w:t>
            </w:r>
          </w:p>
        </w:tc>
        <w:tc>
          <w:tcPr>
            <w:tcW w:w="3213" w:type="dxa"/>
          </w:tcPr>
          <w:p>
            <w:pPr>
              <w:pStyle w:val="Celda"/>
            </w:pPr>
          </w:p>
        </w:tc>
        <w:tc>
          <w:tcPr>
            <w:tcW w:w="3213" w:type="dxa"/>
          </w:tcPr>
          <w:p>
            <w:pPr>
              <w:pStyle w:val="Celda"/>
            </w:pPr>
            <w:r>
              <w:t xml:space="preserve">For each key (42 §12).</w:t>
            </w:r>
          </w:p>
        </w:tc>
      </w:tr>
    </w:tbl>
    <w:p>
      <w:pPr>
        <w:pStyle w:val="Espacio"/>
      </w:pPr>
    </w:p>
    <w:p>
      <w:pPr>
        <w:pStyle w:val="Separador"/>
      </w:pPr>
    </w:p>
    <w:p>
      <w:pPr>
        <w:pStyle w:val="Heading1"/>
      </w:pPr>
      <w:r>
        <w:t xml:space="preserve">10. Monthly reconciliation</w:t>
      </w:r>
    </w:p>
    <w:p>
      <w:r>
        <w:rPr>
          <w:b/>
        </w:rPr>
        <w:t xml:space="preserve">Total AI cost in the accounts = Σ cost charged to use cases + corporate use cost + governance structure cost + unattributed cost</w:t>
      </w:r>
      <w:r>
        <w:t xml:space="preserve"> (42 §11.3).</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Month</w:t>
            </w:r>
          </w:p>
        </w:tc>
        <w:tc>
          <w:tcPr>
            <w:tcW w:w="1071" w:type="dxa"/>
            <w:shd w:val="clear" w:color="auto" w:fill="F2DFCE"/>
          </w:tcPr>
          <w:p>
            <w:pPr>
              <w:pStyle w:val="Celda"/>
            </w:pPr>
            <w:r>
              <w:rPr>
                <w:b/>
              </w:rPr>
              <w:t xml:space="preserve">Total cost in the accounts (€)</w:t>
            </w:r>
          </w:p>
        </w:tc>
        <w:tc>
          <w:tcPr>
            <w:tcW w:w="1071" w:type="dxa"/>
            <w:shd w:val="clear" w:color="auto" w:fill="F2DFCE"/>
          </w:tcPr>
          <w:p>
            <w:pPr>
              <w:pStyle w:val="Celda"/>
            </w:pPr>
            <w:r>
              <w:rPr>
                <w:b/>
              </w:rPr>
              <w:t xml:space="preserve">Charged to use cases (€)</w:t>
            </w:r>
          </w:p>
        </w:tc>
        <w:tc>
          <w:tcPr>
            <w:tcW w:w="1071" w:type="dxa"/>
            <w:shd w:val="clear" w:color="auto" w:fill="F2DFCE"/>
          </w:tcPr>
          <w:p>
            <w:pPr>
              <w:pStyle w:val="Celda"/>
            </w:pPr>
            <w:r>
              <w:rPr>
                <w:b/>
              </w:rPr>
              <w:t xml:space="preserve">Corporate use (€)</w:t>
            </w:r>
          </w:p>
        </w:tc>
        <w:tc>
          <w:tcPr>
            <w:tcW w:w="1071" w:type="dxa"/>
            <w:shd w:val="clear" w:color="auto" w:fill="F2DFCE"/>
          </w:tcPr>
          <w:p>
            <w:pPr>
              <w:pStyle w:val="Celda"/>
            </w:pPr>
            <w:r>
              <w:rPr>
                <w:b/>
              </w:rPr>
              <w:t xml:space="preserve">Governance structure (€)</w:t>
            </w:r>
          </w:p>
        </w:tc>
        <w:tc>
          <w:tcPr>
            <w:tcW w:w="1071" w:type="dxa"/>
            <w:shd w:val="clear" w:color="auto" w:fill="F2DFCE"/>
          </w:tcPr>
          <w:p>
            <w:pPr>
              <w:pStyle w:val="Celda"/>
            </w:pPr>
            <w:r>
              <w:rPr>
                <w:b/>
              </w:rPr>
              <w:t xml:space="preserve">Unattributed (€) (IND-COS-08)</w:t>
            </w:r>
          </w:p>
        </w:tc>
        <w:tc>
          <w:tcPr>
            <w:tcW w:w="1071" w:type="dxa"/>
            <w:shd w:val="clear" w:color="auto" w:fill="F2DFCE"/>
          </w:tcPr>
          <w:p>
            <w:pPr>
              <w:pStyle w:val="Celda"/>
            </w:pPr>
            <w:r>
              <w:rPr>
                <w:b/>
              </w:rPr>
              <w:t xml:space="preserve">Difference (€)</w:t>
            </w:r>
          </w:p>
        </w:tc>
        <w:tc>
          <w:tcPr>
            <w:tcW w:w="1071" w:type="dxa"/>
            <w:shd w:val="clear" w:color="auto" w:fill="F2DFCE"/>
          </w:tcPr>
          <w:p>
            <w:pPr>
              <w:pStyle w:val="Celda"/>
            </w:pPr>
            <w:r>
              <w:rPr>
                <w:b/>
              </w:rPr>
              <w:t xml:space="preserve">Explanation or correction</w:t>
            </w:r>
          </w:p>
        </w:tc>
        <w:tc>
          <w:tcPr>
            <w:tcW w:w="1071" w:type="dxa"/>
            <w:shd w:val="clear" w:color="auto" w:fill="F2DFCE"/>
          </w:tcPr>
          <w:p>
            <w:pPr>
              <w:pStyle w:val="Celda"/>
            </w:pPr>
            <w:r>
              <w:rPr>
                <w:b/>
              </w:rPr>
              <w:t xml:space="preserve">Consecutive closes unexplained</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Close magnitude</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Guidance</w:t>
            </w:r>
          </w:p>
        </w:tc>
      </w:tr>
      <w:tr>
        <w:tc>
          <w:tcPr>
            <w:tcW w:w="3213" w:type="dxa"/>
          </w:tcPr>
          <w:p>
            <w:pPr>
              <w:pStyle w:val="Celda"/>
            </w:pPr>
            <w:r>
              <w:t xml:space="preserve">Untagged consumption above tolerance</w:t>
            </w:r>
          </w:p>
        </w:tc>
        <w:tc>
          <w:tcPr>
            <w:tcW w:w="3213" w:type="dxa"/>
          </w:tcPr>
          <w:p>
            <w:pPr>
              <w:pStyle w:val="Celda"/>
            </w:pPr>
          </w:p>
        </w:tc>
        <w:tc>
          <w:tcPr>
            <w:tcW w:w="3213" w:type="dxa"/>
          </w:tcPr>
          <w:p>
            <w:pPr>
              <w:pStyle w:val="Celda"/>
            </w:pPr>
            <w:r>
              <w:t xml:space="preserve">If it exceeds it, it is not allocated: unattributed cost and a tagging action; two closes in a row, minor nonconformity (42 §6.3).</w:t>
            </w:r>
          </w:p>
        </w:tc>
      </w:tr>
      <w:tr>
        <w:tc>
          <w:tcPr>
            <w:tcW w:w="3213" w:type="dxa"/>
          </w:tcPr>
          <w:p>
            <w:pPr>
              <w:pStyle w:val="Celda"/>
            </w:pPr>
            <w:r>
              <w:t xml:space="preserve">Idle licences (IND-COS-09) </w:t>
            </w:r>
            <w:r>
              <w:rPr>
                <w:b/>
              </w:rPr>
              <w:t xml:space="preserve">(Enterprise)</w:t>
            </w:r>
          </w:p>
        </w:tc>
        <w:tc>
          <w:tcPr>
            <w:tcW w:w="3213" w:type="dxa"/>
          </w:tcPr>
          <w:p>
            <w:pPr>
              <w:pStyle w:val="Celda"/>
            </w:pPr>
          </w:p>
        </w:tc>
        <w:tc>
          <w:tcPr>
            <w:tcW w:w="3213" w:type="dxa"/>
          </w:tcPr>
          <w:p>
            <w:pPr>
              <w:pStyle w:val="Celda"/>
            </w:pPr>
            <w:r>
              <w:t xml:space="preserve">Assigned licences without use × unit cost.</w:t>
            </w:r>
          </w:p>
        </w:tc>
      </w:tr>
      <w:tr>
        <w:tc>
          <w:tcPr>
            <w:tcW w:w="3213" w:type="dxa"/>
          </w:tcPr>
          <w:p>
            <w:pPr>
              <w:pStyle w:val="Celda"/>
            </w:pPr>
            <w:r>
              <w:t xml:space="preserve">Budget variance per use case (IND-COS-04)</w:t>
            </w:r>
          </w:p>
        </w:tc>
        <w:tc>
          <w:tcPr>
            <w:tcW w:w="3213" w:type="dxa"/>
          </w:tcPr>
          <w:p>
            <w:pPr>
              <w:pStyle w:val="Celda"/>
            </w:pPr>
          </w:p>
        </w:tc>
        <w:tc>
          <w:tcPr>
            <w:tcW w:w="3213" w:type="dxa"/>
          </w:tcPr>
          <w:p>
            <w:pPr>
              <w:pStyle w:val="Celda"/>
            </w:pPr>
            <w:r>
              <w:t xml:space="preserve">Quarterly.</w:t>
            </w:r>
          </w:p>
        </w:tc>
      </w:tr>
      <w:tr>
        <w:tc>
          <w:tcPr>
            <w:tcW w:w="3213" w:type="dxa"/>
          </w:tcPr>
          <w:p>
            <w:pPr>
              <w:pStyle w:val="Celda"/>
            </w:pPr>
            <w:r>
              <w:t xml:space="preserve">Difference unexplained for two consecutive closes</w:t>
            </w:r>
          </w:p>
        </w:tc>
        <w:tc>
          <w:tcPr>
            <w:tcW w:w="3213" w:type="dxa"/>
          </w:tcPr>
          <w:p>
            <w:pPr>
              <w:pStyle w:val="Celda"/>
            </w:pPr>
          </w:p>
        </w:tc>
        <w:tc>
          <w:tcPr>
            <w:tcW w:w="3213" w:type="dxa"/>
          </w:tcPr>
          <w:p>
            <w:pPr>
              <w:pStyle w:val="Celda"/>
            </w:pPr>
            <w:r>
              <w:t xml:space="preserve">Reported to the AI Committee.</w:t>
            </w:r>
          </w:p>
        </w:tc>
      </w:tr>
    </w:tbl>
    <w:p>
      <w:pPr>
        <w:pStyle w:val="Espacio"/>
      </w:pPr>
    </w:p>
    <w:p>
      <w:pPr>
        <w:pStyle w:val="Separador"/>
      </w:pPr>
    </w:p>
    <w:p>
      <w:pPr>
        <w:pStyle w:val="Heading1"/>
      </w:pPr>
      <w:r>
        <w:t xml:space="preserve">11. Cost of stopping and avoided investment</w:t>
      </w:r>
    </w:p>
    <w:p>
      <w:r>
        <w:t xml:space="preserve">When a stop or a retirement is recorded in T01 and T13 (42 §10).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Magnitude</w:t>
            </w:r>
          </w:p>
        </w:tc>
        <w:tc>
          <w:tcPr>
            <w:tcW w:w="3213" w:type="dxa"/>
            <w:shd w:val="clear" w:color="auto" w:fill="F2DFCE"/>
          </w:tcPr>
          <w:p>
            <w:pPr>
              <w:pStyle w:val="Celda"/>
            </w:pPr>
            <w:r>
              <w:rPr>
                <w:b/>
              </w:rPr>
              <w:t xml:space="preserve">Amount (€)</w:t>
            </w:r>
          </w:p>
        </w:tc>
        <w:tc>
          <w:tcPr>
            <w:tcW w:w="3213" w:type="dxa"/>
            <w:shd w:val="clear" w:color="auto" w:fill="F2DFCE"/>
          </w:tcPr>
          <w:p>
            <w:pPr>
              <w:pStyle w:val="Celda"/>
            </w:pPr>
            <w:r>
              <w:rPr>
                <w:b/>
              </w:rPr>
              <w:t xml:space="preserve">Treatment</w:t>
            </w:r>
          </w:p>
        </w:tc>
      </w:tr>
      <w:tr>
        <w:tc>
          <w:tcPr>
            <w:tcW w:w="3213" w:type="dxa"/>
          </w:tcPr>
          <w:p>
            <w:pPr>
              <w:pStyle w:val="Celda"/>
            </w:pPr>
            <w:r>
              <w:t xml:space="preserve">Approved budget</w:t>
            </w:r>
          </w:p>
        </w:tc>
        <w:tc>
          <w:tcPr>
            <w:tcW w:w="3213" w:type="dxa"/>
          </w:tcPr>
          <w:p>
            <w:pPr>
              <w:pStyle w:val="Celda"/>
            </w:pPr>
          </w:p>
        </w:tc>
        <w:tc>
          <w:tcPr>
            <w:tcW w:w="3213" w:type="dxa"/>
          </w:tcPr>
          <w:p>
            <w:pPr>
              <w:pStyle w:val="Celda"/>
            </w:pPr>
          </w:p>
        </w:tc>
      </w:tr>
      <w:tr>
        <w:tc>
          <w:tcPr>
            <w:tcW w:w="3213" w:type="dxa"/>
          </w:tcPr>
          <w:p>
            <w:pPr>
              <w:pStyle w:val="Celda"/>
            </w:pPr>
            <w:r>
              <w:t xml:space="preserve">Spent up to the decision (sunk cost)</w:t>
            </w:r>
          </w:p>
        </w:tc>
        <w:tc>
          <w:tcPr>
            <w:tcW w:w="3213" w:type="dxa"/>
          </w:tcPr>
          <w:p>
            <w:pPr>
              <w:pStyle w:val="Celda"/>
            </w:pPr>
          </w:p>
        </w:tc>
        <w:tc>
          <w:tcPr>
            <w:tcW w:w="3213" w:type="dxa"/>
          </w:tcPr>
          <w:p>
            <w:pPr>
              <w:pStyle w:val="Celda"/>
            </w:pPr>
            <w:r>
              <w:t xml:space="preserve">Plays no part in the decision; recorded for lessons.</w:t>
            </w:r>
          </w:p>
        </w:tc>
      </w:tr>
      <w:tr>
        <w:tc>
          <w:tcPr>
            <w:tcW w:w="3213" w:type="dxa"/>
          </w:tcPr>
          <w:p>
            <w:pPr>
              <w:pStyle w:val="Celda"/>
            </w:pPr>
            <w:r>
              <w:t xml:space="preserve">Non-cancellable commitments</w:t>
            </w:r>
          </w:p>
        </w:tc>
        <w:tc>
          <w:tcPr>
            <w:tcW w:w="3213" w:type="dxa"/>
          </w:tcPr>
          <w:p>
            <w:pPr>
              <w:pStyle w:val="Celda"/>
            </w:pPr>
          </w:p>
        </w:tc>
        <w:tc>
          <w:tcPr>
            <w:tcW w:w="3213" w:type="dxa"/>
          </w:tcPr>
          <w:p>
            <w:pPr>
              <w:pStyle w:val="Celda"/>
            </w:pPr>
            <w:r>
              <w:t xml:space="preserve">Reported separately; their reuse is sought.</w:t>
            </w:r>
          </w:p>
        </w:tc>
      </w:tr>
      <w:tr>
        <w:tc>
          <w:tcPr>
            <w:tcW w:w="3213" w:type="dxa"/>
          </w:tcPr>
          <w:p>
            <w:pPr>
              <w:pStyle w:val="Celda"/>
            </w:pPr>
            <w:r>
              <w:t xml:space="preserve">Cost of stopping (closure, penalties, retention or deletion)</w:t>
            </w:r>
          </w:p>
        </w:tc>
        <w:tc>
          <w:tcPr>
            <w:tcW w:w="3213" w:type="dxa"/>
          </w:tcPr>
          <w:p>
            <w:pPr>
              <w:pStyle w:val="Celda"/>
            </w:pPr>
          </w:p>
        </w:tc>
        <w:tc>
          <w:tcPr>
            <w:tcW w:w="3213" w:type="dxa"/>
          </w:tcPr>
          <w:p>
            <w:pPr>
              <w:pStyle w:val="Celda"/>
            </w:pPr>
            <w:r>
              <w:t xml:space="preserve">Cost of the initiative.</w:t>
            </w:r>
          </w:p>
        </w:tc>
      </w:tr>
      <w:tr>
        <w:tc>
          <w:tcPr>
            <w:tcW w:w="3213" w:type="dxa"/>
          </w:tcPr>
          <w:p>
            <w:pPr>
              <w:pStyle w:val="Celda"/>
            </w:pPr>
            <w:r>
              <w:rPr>
                <w:b/>
              </w:rPr>
              <w:t xml:space="preserve">Avoided investment = approved − spent − commitments</w:t>
            </w:r>
          </w:p>
        </w:tc>
        <w:tc>
          <w:tcPr>
            <w:tcW w:w="3213" w:type="dxa"/>
          </w:tcPr>
          <w:p>
            <w:pPr>
              <w:pStyle w:val="Celda"/>
            </w:pPr>
          </w:p>
        </w:tc>
        <w:tc>
          <w:tcPr>
            <w:tcW w:w="3213" w:type="dxa"/>
          </w:tcPr>
          <w:p>
            <w:pPr>
              <w:pStyle w:val="Celda"/>
            </w:pPr>
            <w:r>
              <w:t xml:space="preserve">IND-COS-10. Does not add to value.</w:t>
            </w:r>
          </w:p>
        </w:tc>
      </w:tr>
      <w:tr>
        <w:tc>
          <w:tcPr>
            <w:tcW w:w="3213" w:type="dxa"/>
          </w:tcPr>
          <w:p>
            <w:pPr>
              <w:pStyle w:val="Celda"/>
            </w:pPr>
            <w:r>
              <w:t xml:space="preserve">Estimated avoided recurring cost</w:t>
            </w:r>
          </w:p>
        </w:tc>
        <w:tc>
          <w:tcPr>
            <w:tcW w:w="3213" w:type="dxa"/>
          </w:tcPr>
          <w:p>
            <w:pPr>
              <w:pStyle w:val="Celda"/>
            </w:pPr>
          </w:p>
        </w:tc>
        <w:tc>
          <w:tcPr>
            <w:tcW w:w="3213" w:type="dxa"/>
          </w:tcPr>
          <w:p>
            <w:pPr>
              <w:pStyle w:val="Celda"/>
            </w:pPr>
            <w:r>
              <w:t xml:space="preserve">Estimated. Does not add to value.</w:t>
            </w:r>
          </w:p>
        </w:tc>
      </w:tr>
    </w:tbl>
    <w:p>
      <w:pPr>
        <w:pStyle w:val="Espacio"/>
      </w:pPr>
    </w:p>
    <w:p>
      <w:r>
        <w:rPr>
          <w:i/>
        </w:rPr>
        <w:t xml:space="preserve">(Illustrative example)</w:t>
      </w:r>
      <w:r>
        <w:t xml:space="preserve"> Approved €400,000; spent €45,000; commitments €20,000; penalty €8,000 and closure €5,000. Cost of stopping: €13,000. Avoided investment: €335,000.</w:t>
      </w:r>
    </w:p>
    <w:p>
      <w:pPr>
        <w:pStyle w:val="Separador"/>
      </w:pPr>
    </w:p>
    <w:p>
      <w:pPr>
        <w:pStyle w:val="Heading1"/>
      </w:pPr>
      <w:r>
        <w:t xml:space="preserve">12. Quality criteria</w:t>
      </w:r>
    </w:p>
    <w:p>
      <w:r>
        <w:t xml:space="preserve">Formal criteria in document 21 (G3.04, G4.08, G4.16, G5.16, R6.03 and G7.05); rules in document 42.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use case has its own tags and keys, verified before G5.</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consumption budget is monthly and annual, with a volume assumption, and approved at G5.</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Each alert threshold has a recipient and a response, and is configured in P25.</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Agents have technical limits and an action on reaching them.</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cascade defines triggers, who activates and minimum quality; N2 only with a model evaluated before G5.</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No level of the cascade deactivates critical controls.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Each shared cost has a key approved at C3 and the amount allocated matches the total.</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monthly reconciliation has been done and differences explained or corrected.</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In a stop, the avoided investment and the cost of stopping are recorded and do not add to value.</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budget, alerts and cascade</w:t>
            </w:r>
          </w:p>
        </w:tc>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consumption budget</w:t>
            </w:r>
          </w:p>
        </w:tc>
        <w:tc>
          <w:tcPr>
            <w:tcW w:w="1928" w:type="dxa"/>
          </w:tcPr>
          <w:p>
            <w:pPr>
              <w:pStyle w:val="Celda"/>
            </w:pPr>
            <w:r>
              <w:t xml:space="preserve">Body that decides G5 (01 §7.5)</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allocation keys</w:t>
            </w:r>
          </w:p>
        </w:tc>
        <w:tc>
          <w:tcPr>
            <w:tcW w:w="1928" w:type="dxa"/>
          </w:tcPr>
          <w:p>
            <w:pPr>
              <w:pStyle w:val="Celda"/>
            </w:pPr>
            <w:r>
              <w:t xml:space="preserve">AI Committee with management control (C3)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Reconciles</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operates the system does not approve their own budget supplement; management control approves the keys and reconciles, but does not take part in building the initiatives.</w:t>
      </w:r>
    </w:p>
    <w:p>
      <w:pPr>
        <w:pStyle w:val="Separador"/>
      </w:pPr>
    </w:p>
    <w:p>
      <w:pPr>
        <w:pStyle w:val="Heading1"/>
      </w:pPr>
      <w:r>
        <w:t xml:space="preserve">14.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Covers the consumption budget, alerts and limits in 42 §8, the cost-driven degradation cascade in 52 §10.3, the allocation keys in 42 §6 and §11.2, the reconciliation in 42 §11.3 and the cost of stopping in 42 §10.</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P63 · Consumption budget and cost reconciliation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P63 · Consumption budget and cost reconciliation</dc:title>
  <dc:creator>Fernando García Varela</dc:creator>
  <dc:language>en</dc:language>
  <dc:description>sha256:2097b4367a4bf9cd6cf966f17e56ef4dbaa655fafae3d67932158d2ba09a0e83</dc:description>
  <cp:keywords>SEVEN-G</cp:keywords>
</cp:coreProperties>
</file>