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Plan de mitigación y contingencia</w:t>
      </w:r>
    </w:p>
    <w:p>
      <w:r>
        <w:rPr>
          <w:b/>
        </w:rPr>
        <w:t xml:space="preserve">Convierte la respuesta a cada riesgo en acciones con responsable, plazo, coste y prueba de eficacia, y define qué se hace si el riesgo se materializa.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P13 · Plan de mitigación y contingencia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fase 3, junto con la matriz y registro de riesgos (P12), antes de G3. Se sigue en las fases 4 y 5 (los controles deben estar diseñados en G4 y funcionando en G5) y se actualiza en la fase 6.</w:t>
            </w:r>
          </w:p>
        </w:tc>
      </w:tr>
      <w:tr>
        <w:tc>
          <w:tcPr>
            <w:tcW w:w="4819" w:type="dxa"/>
          </w:tcPr>
          <w:p>
            <w:pPr>
              <w:pStyle w:val="Celda"/>
            </w:pPr>
            <w:r>
              <w:rPr>
                <w:b/>
              </w:rPr>
              <w:t xml:space="preserve">Quién la rellena</w:t>
            </w:r>
          </w:p>
        </w:tc>
        <w:tc>
          <w:tcPr>
            <w:tcW w:w="4819" w:type="dxa"/>
          </w:tcPr>
          <w:p>
            <w:pPr>
              <w:pStyle w:val="Celda"/>
            </w:pPr>
            <w:r>
              <w:t xml:space="preserve">El responsable de riesgos de IA coordina. Cada acción la propone y ejecuta su responsable (habitualmente el responsable técnico o el de producto).</w:t>
            </w:r>
          </w:p>
        </w:tc>
      </w:tr>
      <w:tr>
        <w:tc>
          <w:tcPr>
            <w:tcW w:w="4819" w:type="dxa"/>
          </w:tcPr>
          <w:p>
            <w:pPr>
              <w:pStyle w:val="Celda"/>
            </w:pPr>
            <w:r>
              <w:rPr>
                <w:b/>
              </w:rPr>
              <w:t xml:space="preserve">Quién la verifica</w:t>
            </w:r>
          </w:p>
        </w:tc>
        <w:tc>
          <w:tcPr>
            <w:tcW w:w="4819" w:type="dxa"/>
          </w:tcPr>
          <w:p>
            <w:pPr>
              <w:pStyle w:val="Celda"/>
            </w:pPr>
            <w:r>
              <w:t xml:space="preserve">Lite: responsable de riesgos en G3; si él ha elaborado el plan, verifica la oficina de IA o el auditor de IA. Enterprise: auditor de IA.</w:t>
            </w:r>
          </w:p>
        </w:tc>
      </w:tr>
      <w:tr>
        <w:tc>
          <w:tcPr>
            <w:tcW w:w="4819" w:type="dxa"/>
          </w:tcPr>
          <w:p>
            <w:pPr>
              <w:pStyle w:val="Celda"/>
            </w:pPr>
            <w:r>
              <w:rPr>
                <w:b/>
              </w:rPr>
              <w:t xml:space="preserve">Quién decide</w:t>
            </w:r>
          </w:p>
        </w:tc>
        <w:tc>
          <w:tcPr>
            <w:tcW w:w="4819" w:type="dxa"/>
          </w:tcPr>
          <w:p>
            <w:pPr>
              <w:pStyle w:val="Celda"/>
            </w:pPr>
            <w:r>
              <w:t xml:space="preserve">Se aprueba con G3: patrocinador con conformidad de riesgos (Lite) · comité de IA (Enterprise). La financiación de las acciones forma parte de la decisión.</w:t>
            </w:r>
          </w:p>
        </w:tc>
      </w:tr>
      <w:tr>
        <w:tc>
          <w:tcPr>
            <w:tcW w:w="4819" w:type="dxa"/>
          </w:tcPr>
          <w:p>
            <w:pPr>
              <w:pStyle w:val="Celda"/>
            </w:pPr>
            <w:r>
              <w:rPr>
                <w:b/>
              </w:rPr>
              <w:t xml:space="preserve">Gate en que se revisa</w:t>
            </w:r>
          </w:p>
        </w:tc>
        <w:tc>
          <w:tcPr>
            <w:tcW w:w="4819" w:type="dxa"/>
          </w:tcPr>
          <w:p>
            <w:pPr>
              <w:pStyle w:val="Celda"/>
            </w:pPr>
            <w:r>
              <w:t xml:space="preserve">G3 · Viabilidad; seguimiento en G4, G5 y R6.</w:t>
            </w:r>
          </w:p>
        </w:tc>
      </w:tr>
      <w:tr>
        <w:tc>
          <w:tcPr>
            <w:tcW w:w="4819" w:type="dxa"/>
          </w:tcPr>
          <w:p>
            <w:pPr>
              <w:pStyle w:val="Celda"/>
            </w:pPr>
            <w:r>
              <w:rPr>
                <w:b/>
              </w:rPr>
              <w:t xml:space="preserve">Herramienta</w:t>
            </w:r>
          </w:p>
        </w:tc>
        <w:tc>
          <w:tcPr>
            <w:tcW w:w="4819" w:type="dxa"/>
          </w:tcPr>
          <w:p>
            <w:pPr>
              <w:pStyle w:val="Celda"/>
            </w:pPr>
            <w:r>
              <w:t xml:space="preserve">T06 · Matriz y registro de riesgos: registra la respuesta, los controles y el plan de contingencia de cada riesgo; las acciones de tratamiento con responsable, plazo y estado se siguen en esta plantilla. El Excel del caso que genera T06 propone, para cada riesgo registrado, acciones de mitigación (sección 4) y un plan de contingencia (sección 6) a partir del catálogo del documento 33 §9, con las columnas de esta plantilla a completar: es el punto de partida, no el plan aprobado.</w:t>
            </w:r>
          </w:p>
        </w:tc>
      </w:tr>
      <w:tr>
        <w:tc>
          <w:tcPr>
            <w:tcW w:w="4819" w:type="dxa"/>
          </w:tcPr>
          <w:p>
            <w:pPr>
              <w:pStyle w:val="Celda"/>
            </w:pPr>
            <w:r>
              <w:rPr>
                <w:b/>
              </w:rPr>
              <w:t xml:space="preserve">Lite frente a Enterprise</w:t>
            </w:r>
          </w:p>
        </w:tc>
        <w:tc>
          <w:tcPr>
            <w:tcW w:w="4819" w:type="dxa"/>
          </w:tcPr>
          <w:p>
            <w:pPr>
              <w:pStyle w:val="Celda"/>
            </w:pPr>
            <w:r>
              <w:t xml:space="preserve">Lite puede omitir las columnas y bloques marcados </w:t>
            </w:r>
            <w:r>
              <w:rPr>
                <w:b/>
              </w:rPr>
              <w:t xml:space="preserve">(Enterprise)</w:t>
            </w:r>
            <w:r>
              <w:t xml:space="preserve">. Todo riesgo residual Medio, Alto o Crítico debe tener acciones y, si es Alto o Crítico, plan de contingencia, en ambas intensidades.</w:t>
            </w:r>
          </w:p>
        </w:tc>
      </w:tr>
    </w:tbl>
    <w:p>
      <w:pPr>
        <w:pStyle w:val="Espacio"/>
      </w:pPr>
    </w:p>
    <w:p>
      <w:r>
        <w:t xml:space="preserve">Reglas de cumplimentación:</w:t>
      </w:r>
    </w:p>
    <w:p>
      <w:pPr>
        <w:pStyle w:val="Lista"/>
      </w:pPr>
      <w:r>
        <w:t xml:space="preserve">• Cada acción se vincula a un riesgo de P12 y dice </w:t>
      </w:r>
      <w:r>
        <w:rPr>
          <w:b/>
        </w:rPr>
        <w:t xml:space="preserve">qué reduce</w:t>
      </w:r>
      <w:r>
        <w:t xml:space="preserve">: la probabilidad, el impacto o ambos.</w:t>
      </w:r>
    </w:p>
    <w:p>
      <w:pPr>
        <w:pStyle w:val="Lista"/>
      </w:pPr>
      <w:r>
        <w:t xml:space="preserve">• Una acción no reduce el riesgo residual hasta que existe </w:t>
      </w:r>
      <w:r>
        <w:rPr>
          <w:b/>
        </w:rPr>
        <w:t xml:space="preserve">evidencia de eficacia</w:t>
      </w:r>
      <w:r>
        <w:t xml:space="preserve">.</w:t>
      </w:r>
    </w:p>
    <w:p>
      <w:pPr>
        <w:pStyle w:val="Lista"/>
      </w:pPr>
      <w:r>
        <w:t xml:space="preserve">• Los controles críticos de seguridad, cumplimiento legal y supervisión humana no admiten "Continuar con condiciones" (01 §7.3).</w:t>
      </w:r>
    </w:p>
    <w:p>
      <w:pPr>
        <w:pStyle w:val="Lista"/>
      </w:pPr>
      <w:r>
        <w:t xml:space="preserve">• Los costes de las acciones se incorporan a la evaluación de viabilidad (P10) en su categoría.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Versión de P12 asociada</w:t>
            </w:r>
          </w:p>
        </w:tc>
        <w:tc>
          <w:tcPr>
            <w:tcW w:w="3213" w:type="dxa"/>
          </w:tcPr>
          <w:p>
            <w:pPr>
              <w:pStyle w:val="Celda"/>
            </w:pPr>
          </w:p>
        </w:tc>
        <w:tc>
          <w:tcPr>
            <w:tcW w:w="3213" w:type="dxa"/>
          </w:tcPr>
          <w:p>
            <w:pPr>
              <w:pStyle w:val="Celda"/>
            </w:pPr>
            <w:r>
              <w:t xml:space="preserve">El plan corresponde a una versión concreta del registro.</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Nombre y rol.</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bl>
    <w:p>
      <w:pPr>
        <w:pStyle w:val="Espacio"/>
      </w:pPr>
    </w:p>
    <w:p>
      <w:pPr>
        <w:pStyle w:val="Separador"/>
      </w:pPr>
    </w:p>
    <w:p>
      <w:pPr>
        <w:pStyle w:val="Heading1"/>
      </w:pPr>
      <w:r>
        <w:t xml:space="preserve">3. Resumen de riesgos que requieren tratamiento</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Nº (P12)</w:t>
            </w:r>
          </w:p>
        </w:tc>
        <w:tc>
          <w:tcPr>
            <w:tcW w:w="1606" w:type="dxa"/>
            <w:shd w:val="clear" w:color="auto" w:fill="F2DFCE"/>
          </w:tcPr>
          <w:p>
            <w:pPr>
              <w:pStyle w:val="Celda"/>
            </w:pPr>
            <w:r>
              <w:rPr>
                <w:b/>
              </w:rPr>
              <w:t xml:space="preserve">Riesgo</w:t>
            </w:r>
          </w:p>
        </w:tc>
        <w:tc>
          <w:tcPr>
            <w:tcW w:w="1606" w:type="dxa"/>
            <w:shd w:val="clear" w:color="auto" w:fill="F2DFCE"/>
          </w:tcPr>
          <w:p>
            <w:pPr>
              <w:pStyle w:val="Celda"/>
            </w:pPr>
            <w:r>
              <w:rPr>
                <w:b/>
              </w:rPr>
              <w:t xml:space="preserve">Nivel inherente</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Nivel residual objetivo</w:t>
            </w:r>
          </w:p>
        </w:tc>
        <w:tc>
          <w:tcPr>
            <w:tcW w:w="1606" w:type="dxa"/>
            <w:shd w:val="clear" w:color="auto" w:fill="F2DFCE"/>
          </w:tcPr>
          <w:p>
            <w:pPr>
              <w:pStyle w:val="Celda"/>
            </w:pPr>
            <w:r>
              <w:rPr>
                <w:b/>
              </w:rPr>
              <w:t xml:space="preserve">Fecha objetivo</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Evitar · Mitigar · Transferir · Aceptar</w:t>
            </w:r>
          </w:p>
        </w:tc>
        <w:tc>
          <w:tcPr>
            <w:tcW w:w="1606" w:type="dxa"/>
          </w:tcPr>
          <w:p>
            <w:pPr>
              <w:pStyle w:val="Celda"/>
            </w:pPr>
            <w:r>
              <w:t xml:space="preserve">Bajo · Medio · Alto · Crítico</w:t>
            </w:r>
          </w:p>
        </w:tc>
        <w:tc>
          <w:tcPr>
            <w:tcW w:w="1606" w:type="dxa"/>
          </w:tcPr>
          <w:p>
            <w:pPr>
              <w:pStyle w:val="Celda"/>
            </w:pPr>
          </w:p>
        </w:tc>
      </w:tr>
      <w:tr>
        <w:tc>
          <w:tcPr>
            <w:tcW w:w="1606" w:type="dxa"/>
          </w:tcPr>
          <w:p>
            <w:pPr>
              <w:pStyle w:val="Celda"/>
            </w:pPr>
            <w:r>
              <w:rPr>
                <w:i/>
              </w:rPr>
              <w:t xml:space="preserve">(ejemplo ilustrativo)</w:t>
            </w:r>
            <w:r>
              <w:t xml:space="preserve"> R01</w:t>
            </w:r>
          </w:p>
        </w:tc>
        <w:tc>
          <w:tcPr>
            <w:tcW w:w="1606" w:type="dxa"/>
          </w:tcPr>
          <w:p>
            <w:pPr>
              <w:pStyle w:val="Celda"/>
            </w:pPr>
            <w:r>
              <w:t xml:space="preserve">Fuga de datos de otro cliente por inyección de instrucciones</w:t>
            </w:r>
          </w:p>
        </w:tc>
        <w:tc>
          <w:tcPr>
            <w:tcW w:w="1606" w:type="dxa"/>
          </w:tcPr>
          <w:p>
            <w:pPr>
              <w:pStyle w:val="Celda"/>
            </w:pPr>
            <w:r>
              <w:t xml:space="preserve">16 Crítico</w:t>
            </w:r>
          </w:p>
        </w:tc>
        <w:tc>
          <w:tcPr>
            <w:tcW w:w="1606" w:type="dxa"/>
          </w:tcPr>
          <w:p>
            <w:pPr>
              <w:pStyle w:val="Celda"/>
            </w:pPr>
            <w:r>
              <w:t xml:space="preserve">Mitigar</w:t>
            </w:r>
          </w:p>
        </w:tc>
        <w:tc>
          <w:tcPr>
            <w:tcW w:w="1606" w:type="dxa"/>
          </w:tcPr>
          <w:p>
            <w:pPr>
              <w:pStyle w:val="Celda"/>
            </w:pPr>
            <w:r>
              <w:t xml:space="preserve">8 Medio</w:t>
            </w:r>
          </w:p>
        </w:tc>
        <w:tc>
          <w:tcPr>
            <w:tcW w:w="1606" w:type="dxa"/>
          </w:tcPr>
          <w:p>
            <w:pPr>
              <w:pStyle w:val="Celda"/>
            </w:pPr>
            <w:r>
              <w:t xml:space="preserve">Antes de G5</w:t>
            </w:r>
          </w:p>
        </w:tc>
      </w:tr>
    </w:tbl>
    <w:p>
      <w:pPr>
        <w:pStyle w:val="Espacio"/>
      </w:pPr>
    </w:p>
    <w:p>
      <w:pPr>
        <w:pStyle w:val="Separador"/>
      </w:pPr>
    </w:p>
    <w:p>
      <w:pPr>
        <w:pStyle w:val="Heading1"/>
      </w:pPr>
      <w:r>
        <w:t xml:space="preserve">4. Acciones de mitigación</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Nº acción</w:t>
            </w:r>
          </w:p>
        </w:tc>
        <w:tc>
          <w:tcPr>
            <w:tcW w:w="964" w:type="dxa"/>
            <w:shd w:val="clear" w:color="auto" w:fill="F2DFCE"/>
          </w:tcPr>
          <w:p>
            <w:pPr>
              <w:pStyle w:val="Celda"/>
            </w:pPr>
            <w:r>
              <w:rPr>
                <w:b/>
              </w:rPr>
              <w:t xml:space="preserve">Riesgo</w:t>
            </w:r>
          </w:p>
        </w:tc>
        <w:tc>
          <w:tcPr>
            <w:tcW w:w="964" w:type="dxa"/>
            <w:shd w:val="clear" w:color="auto" w:fill="F2DFCE"/>
          </w:tcPr>
          <w:p>
            <w:pPr>
              <w:pStyle w:val="Celda"/>
            </w:pPr>
            <w:r>
              <w:rPr>
                <w:b/>
              </w:rPr>
              <w:t xml:space="preserve">Acción</w:t>
            </w:r>
          </w:p>
        </w:tc>
        <w:tc>
          <w:tcPr>
            <w:tcW w:w="964" w:type="dxa"/>
            <w:shd w:val="clear" w:color="auto" w:fill="F2DFCE"/>
          </w:tcPr>
          <w:p>
            <w:pPr>
              <w:pStyle w:val="Celda"/>
            </w:pPr>
            <w:r>
              <w:rPr>
                <w:b/>
              </w:rPr>
              <w:t xml:space="preserve">Tipo de control</w:t>
            </w:r>
          </w:p>
        </w:tc>
        <w:tc>
          <w:tcPr>
            <w:tcW w:w="964" w:type="dxa"/>
            <w:shd w:val="clear" w:color="auto" w:fill="F2DFCE"/>
          </w:tcPr>
          <w:p>
            <w:pPr>
              <w:pStyle w:val="Celda"/>
            </w:pPr>
            <w:r>
              <w:rPr>
                <w:b/>
              </w:rPr>
              <w:t xml:space="preserve">Reduce</w:t>
            </w:r>
          </w:p>
        </w:tc>
        <w:tc>
          <w:tcPr>
            <w:tcW w:w="964" w:type="dxa"/>
            <w:shd w:val="clear" w:color="auto" w:fill="F2DFCE"/>
          </w:tcPr>
          <w:p>
            <w:pPr>
              <w:pStyle w:val="Celda"/>
            </w:pPr>
            <w:r>
              <w:rPr>
                <w:b/>
              </w:rPr>
              <w:t xml:space="preserve">Responsable</w:t>
            </w:r>
          </w:p>
        </w:tc>
        <w:tc>
          <w:tcPr>
            <w:tcW w:w="964" w:type="dxa"/>
            <w:shd w:val="clear" w:color="auto" w:fill="F2DFCE"/>
          </w:tcPr>
          <w:p>
            <w:pPr>
              <w:pStyle w:val="Celda"/>
            </w:pPr>
            <w:r>
              <w:rPr>
                <w:b/>
              </w:rPr>
              <w:t xml:space="preserve">Fecha límite</w:t>
            </w:r>
          </w:p>
        </w:tc>
        <w:tc>
          <w:tcPr>
            <w:tcW w:w="964" w:type="dxa"/>
            <w:shd w:val="clear" w:color="auto" w:fill="F2DFCE"/>
          </w:tcPr>
          <w:p>
            <w:pPr>
              <w:pStyle w:val="Celda"/>
            </w:pPr>
            <w:r>
              <w:rPr>
                <w:b/>
              </w:rPr>
              <w:t xml:space="preserve">Coste estimado (€) y categoría</w:t>
            </w:r>
          </w:p>
        </w:tc>
        <w:tc>
          <w:tcPr>
            <w:tcW w:w="964" w:type="dxa"/>
            <w:shd w:val="clear" w:color="auto" w:fill="F2DFCE"/>
          </w:tcPr>
          <w:p>
            <w:pPr>
              <w:pStyle w:val="Celda"/>
            </w:pPr>
            <w:r>
              <w:rPr>
                <w:b/>
              </w:rPr>
              <w:t xml:space="preserve">Evidencia de eficacia</w:t>
            </w:r>
          </w:p>
        </w:tc>
        <w:tc>
          <w:tcPr>
            <w:tcW w:w="964" w:type="dxa"/>
            <w:shd w:val="clear" w:color="auto" w:fill="F2DFCE"/>
          </w:tcPr>
          <w:p>
            <w:pPr>
              <w:pStyle w:val="Celda"/>
            </w:pPr>
            <w:r>
              <w:rPr>
                <w:b/>
              </w:rPr>
              <w:t xml:space="preserve">Estado</w:t>
            </w:r>
          </w:p>
        </w:tc>
      </w:tr>
      <w:tr>
        <w:tc>
          <w:tcPr>
            <w:tcW w:w="964" w:type="dxa"/>
          </w:tcPr>
          <w:p>
            <w:pPr>
              <w:pStyle w:val="Celda"/>
            </w:pPr>
            <w:r>
              <w:t xml:space="preserve">A01</w:t>
            </w:r>
          </w:p>
        </w:tc>
        <w:tc>
          <w:tcPr>
            <w:tcW w:w="964" w:type="dxa"/>
          </w:tcPr>
          <w:p>
            <w:pPr>
              <w:pStyle w:val="Celda"/>
            </w:pPr>
          </w:p>
        </w:tc>
        <w:tc>
          <w:tcPr>
            <w:tcW w:w="964" w:type="dxa"/>
          </w:tcPr>
          <w:p>
            <w:pPr>
              <w:pStyle w:val="Celda"/>
            </w:pPr>
          </w:p>
        </w:tc>
        <w:tc>
          <w:tcPr>
            <w:tcW w:w="964" w:type="dxa"/>
          </w:tcPr>
          <w:p>
            <w:pPr>
              <w:pStyle w:val="Celda"/>
            </w:pPr>
            <w:r>
              <w:t xml:space="preserve">Preventivo · Detectivo · Correctivo</w:t>
            </w:r>
          </w:p>
        </w:tc>
        <w:tc>
          <w:tcPr>
            <w:tcW w:w="964" w:type="dxa"/>
          </w:tcPr>
          <w:p>
            <w:pPr>
              <w:pStyle w:val="Celda"/>
            </w:pPr>
            <w:r>
              <w:t xml:space="preserve">Probabilidad · Impacto · Ambos</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No iniciada · En curso · Implantada · Eficacia verificada</w:t>
            </w:r>
          </w:p>
        </w:tc>
      </w:tr>
      <w:tr>
        <w:tc>
          <w:tcPr>
            <w:tcW w:w="964" w:type="dxa"/>
          </w:tcPr>
          <w:p>
            <w:pPr>
              <w:pStyle w:val="Celda"/>
            </w:pPr>
            <w:r>
              <w:rPr>
                <w:i/>
              </w:rPr>
              <w:t xml:space="preserve">(ejemplo ilustrativo)</w:t>
            </w:r>
            <w:r>
              <w:t xml:space="preserve"> A01</w:t>
            </w:r>
          </w:p>
        </w:tc>
        <w:tc>
          <w:tcPr>
            <w:tcW w:w="964" w:type="dxa"/>
          </w:tcPr>
          <w:p>
            <w:pPr>
              <w:pStyle w:val="Celda"/>
            </w:pPr>
            <w:r>
              <w:t xml:space="preserve">R01</w:t>
            </w:r>
          </w:p>
        </w:tc>
        <w:tc>
          <w:tcPr>
            <w:tcW w:w="964" w:type="dxa"/>
          </w:tcPr>
          <w:p>
            <w:pPr>
              <w:pStyle w:val="Celda"/>
            </w:pPr>
            <w:r>
              <w:t xml:space="preserve">Aislar el contexto de cada conversación y limitar la consulta a los pedidos del cliente autenticado.</w:t>
            </w:r>
          </w:p>
        </w:tc>
        <w:tc>
          <w:tcPr>
            <w:tcW w:w="964" w:type="dxa"/>
          </w:tcPr>
          <w:p>
            <w:pPr>
              <w:pStyle w:val="Celda"/>
            </w:pPr>
            <w:r>
              <w:t xml:space="preserve">Preventivo</w:t>
            </w:r>
          </w:p>
        </w:tc>
        <w:tc>
          <w:tcPr>
            <w:tcW w:w="964" w:type="dxa"/>
          </w:tcPr>
          <w:p>
            <w:pPr>
              <w:pStyle w:val="Celda"/>
            </w:pPr>
            <w:r>
              <w:t xml:space="preserve">Probabilidad</w:t>
            </w:r>
          </w:p>
        </w:tc>
        <w:tc>
          <w:tcPr>
            <w:tcW w:w="964" w:type="dxa"/>
          </w:tcPr>
          <w:p>
            <w:pPr>
              <w:pStyle w:val="Celda"/>
            </w:pPr>
            <w:r>
              <w:t xml:space="preserve">Responsable técnico</w:t>
            </w:r>
          </w:p>
        </w:tc>
        <w:tc>
          <w:tcPr>
            <w:tcW w:w="964" w:type="dxa"/>
          </w:tcPr>
          <w:p>
            <w:pPr>
              <w:pStyle w:val="Celda"/>
            </w:pPr>
            <w:r>
              <w:t xml:space="preserve">15-12-2026</w:t>
            </w:r>
          </w:p>
        </w:tc>
        <w:tc>
          <w:tcPr>
            <w:tcW w:w="964" w:type="dxa"/>
          </w:tcPr>
          <w:p>
            <w:pPr>
              <w:pStyle w:val="Celda"/>
            </w:pPr>
            <w:r>
              <w:t xml:space="preserve">8.000 · Personas de construcción</w:t>
            </w:r>
          </w:p>
        </w:tc>
        <w:tc>
          <w:tcPr>
            <w:tcW w:w="964" w:type="dxa"/>
          </w:tcPr>
          <w:p>
            <w:pPr>
              <w:pStyle w:val="Celda"/>
            </w:pPr>
            <w:r>
              <w:t xml:space="preserve">Prueba de 300 ataques de inyección sin fugas</w:t>
            </w:r>
          </w:p>
        </w:tc>
        <w:tc>
          <w:tcPr>
            <w:tcW w:w="964" w:type="dxa"/>
          </w:tcPr>
          <w:p>
            <w:pPr>
              <w:pStyle w:val="Celda"/>
            </w:pPr>
            <w:r>
              <w:t xml:space="preserve">En curso</w:t>
            </w:r>
          </w:p>
        </w:tc>
      </w:tr>
      <w:tr>
        <w:tc>
          <w:tcPr>
            <w:tcW w:w="964" w:type="dxa"/>
          </w:tcPr>
          <w:p>
            <w:pPr>
              <w:pStyle w:val="Celda"/>
            </w:pPr>
            <w:r>
              <w:rPr>
                <w:i/>
              </w:rPr>
              <w:t xml:space="preserve">(ejemplo ilustrativo)</w:t>
            </w:r>
            <w:r>
              <w:t xml:space="preserve"> A02</w:t>
            </w:r>
          </w:p>
        </w:tc>
        <w:tc>
          <w:tcPr>
            <w:tcW w:w="964" w:type="dxa"/>
          </w:tcPr>
          <w:p>
            <w:pPr>
              <w:pStyle w:val="Celda"/>
            </w:pPr>
            <w:r>
              <w:t xml:space="preserve">R01</w:t>
            </w:r>
          </w:p>
        </w:tc>
        <w:tc>
          <w:tcPr>
            <w:tcW w:w="964" w:type="dxa"/>
          </w:tcPr>
          <w:p>
            <w:pPr>
              <w:pStyle w:val="Celda"/>
            </w:pPr>
            <w:r>
              <w:t xml:space="preserve">Filtro de salida que bloquea datos personales que no pertenecen al cliente.</w:t>
            </w:r>
          </w:p>
        </w:tc>
        <w:tc>
          <w:tcPr>
            <w:tcW w:w="964" w:type="dxa"/>
          </w:tcPr>
          <w:p>
            <w:pPr>
              <w:pStyle w:val="Celda"/>
            </w:pPr>
            <w:r>
              <w:t xml:space="preserve">Preventivo</w:t>
            </w:r>
          </w:p>
        </w:tc>
        <w:tc>
          <w:tcPr>
            <w:tcW w:w="964" w:type="dxa"/>
          </w:tcPr>
          <w:p>
            <w:pPr>
              <w:pStyle w:val="Celda"/>
            </w:pPr>
            <w:r>
              <w:t xml:space="preserve">Impacto</w:t>
            </w:r>
          </w:p>
        </w:tc>
        <w:tc>
          <w:tcPr>
            <w:tcW w:w="964" w:type="dxa"/>
          </w:tcPr>
          <w:p>
            <w:pPr>
              <w:pStyle w:val="Celda"/>
            </w:pPr>
            <w:r>
              <w:t xml:space="preserve">Responsable técnico</w:t>
            </w:r>
          </w:p>
        </w:tc>
        <w:tc>
          <w:tcPr>
            <w:tcW w:w="964" w:type="dxa"/>
          </w:tcPr>
          <w:p>
            <w:pPr>
              <w:pStyle w:val="Celda"/>
            </w:pPr>
            <w:r>
              <w:t xml:space="preserve">15-12-2026</w:t>
            </w:r>
          </w:p>
        </w:tc>
        <w:tc>
          <w:tcPr>
            <w:tcW w:w="964" w:type="dxa"/>
          </w:tcPr>
          <w:p>
            <w:pPr>
              <w:pStyle w:val="Celda"/>
            </w:pPr>
            <w:r>
              <w:t xml:space="preserve">4.000 · Licencias</w:t>
            </w:r>
          </w:p>
        </w:tc>
        <w:tc>
          <w:tcPr>
            <w:tcW w:w="964" w:type="dxa"/>
          </w:tcPr>
          <w:p>
            <w:pPr>
              <w:pStyle w:val="Celda"/>
            </w:pPr>
            <w:r>
              <w:t xml:space="preserve">Informe de pruebas del filtro</w:t>
            </w:r>
          </w:p>
        </w:tc>
        <w:tc>
          <w:tcPr>
            <w:tcW w:w="964" w:type="dxa"/>
          </w:tcPr>
          <w:p>
            <w:pPr>
              <w:pStyle w:val="Celda"/>
            </w:pPr>
            <w:r>
              <w:t xml:space="preserve">No iniciada</w:t>
            </w:r>
          </w:p>
        </w:tc>
      </w:tr>
      <w:tr>
        <w:tc>
          <w:tcPr>
            <w:tcW w:w="964" w:type="dxa"/>
          </w:tcPr>
          <w:p>
            <w:pPr>
              <w:pStyle w:val="Celda"/>
            </w:pPr>
            <w:r>
              <w:rPr>
                <w:i/>
              </w:rPr>
              <w:t xml:space="preserve">(ejemplo ilustrativo)</w:t>
            </w:r>
            <w:r>
              <w:t xml:space="preserve"> A03</w:t>
            </w:r>
          </w:p>
        </w:tc>
        <w:tc>
          <w:tcPr>
            <w:tcW w:w="964" w:type="dxa"/>
          </w:tcPr>
          <w:p>
            <w:pPr>
              <w:pStyle w:val="Celda"/>
            </w:pPr>
            <w:r>
              <w:t xml:space="preserve">R01</w:t>
            </w:r>
          </w:p>
        </w:tc>
        <w:tc>
          <w:tcPr>
            <w:tcW w:w="964" w:type="dxa"/>
          </w:tcPr>
          <w:p>
            <w:pPr>
              <w:pStyle w:val="Celda"/>
            </w:pPr>
            <w:r>
              <w:t xml:space="preserve">Alerta de operación cuando el filtro bloquea una respuesta.</w:t>
            </w:r>
          </w:p>
        </w:tc>
        <w:tc>
          <w:tcPr>
            <w:tcW w:w="964" w:type="dxa"/>
          </w:tcPr>
          <w:p>
            <w:pPr>
              <w:pStyle w:val="Celda"/>
            </w:pPr>
            <w:r>
              <w:t xml:space="preserve">Detectivo</w:t>
            </w:r>
          </w:p>
        </w:tc>
        <w:tc>
          <w:tcPr>
            <w:tcW w:w="964" w:type="dxa"/>
          </w:tcPr>
          <w:p>
            <w:pPr>
              <w:pStyle w:val="Celda"/>
            </w:pPr>
            <w:r>
              <w:t xml:space="preserve">Impacto</w:t>
            </w:r>
          </w:p>
        </w:tc>
        <w:tc>
          <w:tcPr>
            <w:tcW w:w="964" w:type="dxa"/>
          </w:tcPr>
          <w:p>
            <w:pPr>
              <w:pStyle w:val="Celda"/>
            </w:pPr>
            <w:r>
              <w:t xml:space="preserve">Responsable de operación</w:t>
            </w:r>
          </w:p>
        </w:tc>
        <w:tc>
          <w:tcPr>
            <w:tcW w:w="964" w:type="dxa"/>
          </w:tcPr>
          <w:p>
            <w:pPr>
              <w:pStyle w:val="Celda"/>
            </w:pPr>
            <w:r>
              <w:t xml:space="preserve">31-01-2027</w:t>
            </w:r>
          </w:p>
        </w:tc>
        <w:tc>
          <w:tcPr>
            <w:tcW w:w="964" w:type="dxa"/>
          </w:tcPr>
          <w:p>
            <w:pPr>
              <w:pStyle w:val="Celda"/>
            </w:pPr>
            <w:r>
              <w:t xml:space="preserve">1.500 · Control y cumplimiento</w:t>
            </w:r>
          </w:p>
        </w:tc>
        <w:tc>
          <w:tcPr>
            <w:tcW w:w="964" w:type="dxa"/>
          </w:tcPr>
          <w:p>
            <w:pPr>
              <w:pStyle w:val="Celda"/>
            </w:pPr>
            <w:r>
              <w:t xml:space="preserve">Alerta configurada y probada (P25)</w:t>
            </w:r>
          </w:p>
        </w:tc>
        <w:tc>
          <w:tcPr>
            <w:tcW w:w="964" w:type="dxa"/>
          </w:tcPr>
          <w:p>
            <w:pPr>
              <w:pStyle w:val="Celda"/>
            </w:pPr>
            <w:r>
              <w:t xml:space="preserve">No iniciada</w:t>
            </w:r>
          </w:p>
        </w:tc>
      </w:tr>
    </w:tbl>
    <w:p>
      <w:pPr>
        <w:pStyle w:val="Espacio"/>
      </w:pPr>
    </w:p>
    <w:p>
      <w:r>
        <w:t xml:space="preserve">Categorías de coste: licencias · consumo de modelos · cómputo e infraestructura · datos · personas de construcción · personas de operación · proveedores y servicios · control y cumplimiento · adopción y formación.</w:t>
      </w:r>
    </w:p>
    <w:p>
      <w:pPr>
        <w:pStyle w:val="Separador"/>
      </w:pPr>
    </w:p>
    <w:p>
      <w:pPr>
        <w:pStyle w:val="Heading1"/>
      </w:pPr>
      <w:r>
        <w:t xml:space="preserve">5. Transferencia del riesgo</w:t>
      </w:r>
    </w:p>
    <w:p>
      <w:r>
        <w:t xml:space="preserve">Rellenar si alguna respuesta es "Transferir".</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Riesgo</w:t>
            </w:r>
          </w:p>
        </w:tc>
        <w:tc>
          <w:tcPr>
            <w:tcW w:w="1606" w:type="dxa"/>
            <w:shd w:val="clear" w:color="auto" w:fill="F2DFCE"/>
          </w:tcPr>
          <w:p>
            <w:pPr>
              <w:pStyle w:val="Celda"/>
            </w:pPr>
            <w:r>
              <w:rPr>
                <w:b/>
              </w:rPr>
              <w:t xml:space="preserve">Mecanismo</w:t>
            </w:r>
          </w:p>
        </w:tc>
        <w:tc>
          <w:tcPr>
            <w:tcW w:w="1606" w:type="dxa"/>
            <w:shd w:val="clear" w:color="auto" w:fill="F2DFCE"/>
          </w:tcPr>
          <w:p>
            <w:pPr>
              <w:pStyle w:val="Celda"/>
            </w:pPr>
            <w:r>
              <w:rPr>
                <w:b/>
              </w:rPr>
              <w:t xml:space="preserve">Contraparte</w:t>
            </w:r>
          </w:p>
        </w:tc>
        <w:tc>
          <w:tcPr>
            <w:tcW w:w="1606" w:type="dxa"/>
            <w:shd w:val="clear" w:color="auto" w:fill="F2DFCE"/>
          </w:tcPr>
          <w:p>
            <w:pPr>
              <w:pStyle w:val="Celda"/>
            </w:pPr>
            <w:r>
              <w:rPr>
                <w:b/>
              </w:rPr>
              <w:t xml:space="preserve">Cobertura y límites</w:t>
            </w:r>
          </w:p>
        </w:tc>
        <w:tc>
          <w:tcPr>
            <w:tcW w:w="1606" w:type="dxa"/>
            <w:shd w:val="clear" w:color="auto" w:fill="F2DFCE"/>
          </w:tcPr>
          <w:p>
            <w:pPr>
              <w:pStyle w:val="Celda"/>
            </w:pPr>
            <w:r>
              <w:rPr>
                <w:b/>
              </w:rPr>
              <w:t xml:space="preserve">Coste anual (€)</w:t>
            </w:r>
          </w:p>
        </w:tc>
        <w:tc>
          <w:tcPr>
            <w:tcW w:w="1606" w:type="dxa"/>
            <w:shd w:val="clear" w:color="auto" w:fill="F2DFCE"/>
          </w:tcPr>
          <w:p>
            <w:pPr>
              <w:pStyle w:val="Celda"/>
            </w:pPr>
            <w:r>
              <w:rPr>
                <w:b/>
              </w:rPr>
              <w:t xml:space="preserve">Parte del riesgo que no se transfiere</w:t>
            </w:r>
          </w:p>
        </w:tc>
      </w:tr>
      <w:tr>
        <w:tc>
          <w:tcPr>
            <w:tcW w:w="1606" w:type="dxa"/>
          </w:tcPr>
          <w:p>
            <w:pPr>
              <w:pStyle w:val="Celda"/>
            </w:pPr>
          </w:p>
        </w:tc>
        <w:tc>
          <w:tcPr>
            <w:tcW w:w="1606" w:type="dxa"/>
          </w:tcPr>
          <w:p>
            <w:pPr>
              <w:pStyle w:val="Celda"/>
            </w:pPr>
            <w:r>
              <w:t xml:space="preserve">Seguro · Cláusula contractual · Garantía del proveedor</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Reputacional, regulatorio o de personas que permanece en la compañía</w:t>
            </w:r>
          </w:p>
        </w:tc>
      </w:tr>
    </w:tbl>
    <w:p>
      <w:pPr>
        <w:pStyle w:val="Espacio"/>
      </w:pPr>
    </w:p>
    <w:p>
      <w:pPr>
        <w:pStyle w:val="Separador"/>
      </w:pPr>
    </w:p>
    <w:p>
      <w:pPr>
        <w:pStyle w:val="Heading1"/>
      </w:pPr>
      <w:r>
        <w:t xml:space="preserve">6. Planes de contingencia</w:t>
      </w:r>
    </w:p>
    <w:p>
      <w:r>
        <w:t xml:space="preserve">Uno por cada riesgo residual Alto o Crítico y por cada riesgo con impacto 5 aunque su nivel sea menor.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Riesgo</w:t>
            </w:r>
          </w:p>
        </w:tc>
        <w:tc>
          <w:tcPr>
            <w:tcW w:w="3213" w:type="dxa"/>
          </w:tcPr>
          <w:p>
            <w:pPr>
              <w:pStyle w:val="Celda"/>
            </w:pPr>
          </w:p>
        </w:tc>
        <w:tc>
          <w:tcPr>
            <w:tcW w:w="3213" w:type="dxa"/>
          </w:tcPr>
          <w:p>
            <w:pPr>
              <w:pStyle w:val="Celda"/>
            </w:pPr>
            <w:r>
              <w:t xml:space="preserve">Nº de P12.</w:t>
            </w:r>
          </w:p>
        </w:tc>
      </w:tr>
      <w:tr>
        <w:tc>
          <w:tcPr>
            <w:tcW w:w="3213" w:type="dxa"/>
          </w:tcPr>
          <w:p>
            <w:pPr>
              <w:pStyle w:val="Celda"/>
            </w:pPr>
            <w:r>
              <w:t xml:space="preserve">Escenario</w:t>
            </w:r>
          </w:p>
        </w:tc>
        <w:tc>
          <w:tcPr>
            <w:tcW w:w="3213" w:type="dxa"/>
          </w:tcPr>
          <w:p>
            <w:pPr>
              <w:pStyle w:val="Celda"/>
            </w:pPr>
          </w:p>
        </w:tc>
        <w:tc>
          <w:tcPr>
            <w:tcW w:w="3213" w:type="dxa"/>
          </w:tcPr>
          <w:p>
            <w:pPr>
              <w:pStyle w:val="Celda"/>
            </w:pPr>
            <w:r>
              <w:t xml:space="preserve">Qué ocurre cuando el riesgo se materializa.</w:t>
            </w:r>
          </w:p>
        </w:tc>
      </w:tr>
      <w:tr>
        <w:tc>
          <w:tcPr>
            <w:tcW w:w="3213" w:type="dxa"/>
          </w:tcPr>
          <w:p>
            <w:pPr>
              <w:pStyle w:val="Celda"/>
            </w:pPr>
            <w:r>
              <w:t xml:space="preserve">Disparador</w:t>
            </w:r>
          </w:p>
        </w:tc>
        <w:tc>
          <w:tcPr>
            <w:tcW w:w="3213" w:type="dxa"/>
          </w:tcPr>
          <w:p>
            <w:pPr>
              <w:pStyle w:val="Celda"/>
            </w:pPr>
          </w:p>
        </w:tc>
        <w:tc>
          <w:tcPr>
            <w:tcW w:w="3213" w:type="dxa"/>
          </w:tcPr>
          <w:p>
            <w:pPr>
              <w:pStyle w:val="Celda"/>
            </w:pPr>
            <w:r>
              <w:t xml:space="preserve">Indicador y umbral que activan el plan. Debe poder observarse en la monitorización (P25).</w:t>
            </w:r>
          </w:p>
        </w:tc>
      </w:tr>
      <w:tr>
        <w:tc>
          <w:tcPr>
            <w:tcW w:w="3213" w:type="dxa"/>
          </w:tcPr>
          <w:p>
            <w:pPr>
              <w:pStyle w:val="Celda"/>
            </w:pPr>
            <w:r>
              <w:t xml:space="preserve">Acciones inmediatas</w:t>
            </w:r>
          </w:p>
        </w:tc>
        <w:tc>
          <w:tcPr>
            <w:tcW w:w="3213" w:type="dxa"/>
          </w:tcPr>
          <w:p>
            <w:pPr>
              <w:pStyle w:val="Celda"/>
            </w:pPr>
          </w:p>
        </w:tc>
        <w:tc>
          <w:tcPr>
            <w:tcW w:w="3213" w:type="dxa"/>
          </w:tcPr>
          <w:p>
            <w:pPr>
              <w:pStyle w:val="Celda"/>
            </w:pPr>
            <w:r>
              <w:t xml:space="preserve">Contención en las primeras horas, incluida la parada del sistema si procede.</w:t>
            </w:r>
          </w:p>
        </w:tc>
      </w:tr>
      <w:tr>
        <w:tc>
          <w:tcPr>
            <w:tcW w:w="3213" w:type="dxa"/>
          </w:tcPr>
          <w:p>
            <w:pPr>
              <w:pStyle w:val="Celda"/>
            </w:pPr>
            <w:r>
              <w:t xml:space="preserve">Uso del plan de reversión</w:t>
            </w:r>
          </w:p>
        </w:tc>
        <w:tc>
          <w:tcPr>
            <w:tcW w:w="3213" w:type="dxa"/>
          </w:tcPr>
          <w:p>
            <w:pPr>
              <w:pStyle w:val="Celda"/>
            </w:pPr>
          </w:p>
        </w:tc>
        <w:tc>
          <w:tcPr>
            <w:tcW w:w="3213" w:type="dxa"/>
          </w:tcPr>
          <w:p>
            <w:pPr>
              <w:pStyle w:val="Celda"/>
            </w:pPr>
            <w:r>
              <w:t xml:space="preserve">Si se activa P19 y cómo se vuelve al proceso anterior.</w:t>
            </w:r>
          </w:p>
        </w:tc>
      </w:tr>
      <w:tr>
        <w:tc>
          <w:tcPr>
            <w:tcW w:w="3213" w:type="dxa"/>
          </w:tcPr>
          <w:p>
            <w:pPr>
              <w:pStyle w:val="Celda"/>
            </w:pPr>
            <w:r>
              <w:t xml:space="preserve">Responsable de activar el plan</w:t>
            </w:r>
          </w:p>
        </w:tc>
        <w:tc>
          <w:tcPr>
            <w:tcW w:w="3213" w:type="dxa"/>
          </w:tcPr>
          <w:p>
            <w:pPr>
              <w:pStyle w:val="Celda"/>
            </w:pPr>
          </w:p>
        </w:tc>
        <w:tc>
          <w:tcPr>
            <w:tcW w:w="3213" w:type="dxa"/>
          </w:tcPr>
          <w:p>
            <w:pPr>
              <w:pStyle w:val="Celda"/>
            </w:pPr>
            <w:r>
              <w:t xml:space="preserve">Persona con autoridad para detener el sistema.</w:t>
            </w:r>
          </w:p>
        </w:tc>
      </w:tr>
      <w:tr>
        <w:tc>
          <w:tcPr>
            <w:tcW w:w="3213" w:type="dxa"/>
          </w:tcPr>
          <w:p>
            <w:pPr>
              <w:pStyle w:val="Celda"/>
            </w:pPr>
            <w:r>
              <w:t xml:space="preserve">Tiempo máximo de reacción</w:t>
            </w:r>
          </w:p>
        </w:tc>
        <w:tc>
          <w:tcPr>
            <w:tcW w:w="3213" w:type="dxa"/>
          </w:tcPr>
          <w:p>
            <w:pPr>
              <w:pStyle w:val="Celda"/>
            </w:pPr>
          </w:p>
        </w:tc>
        <w:tc>
          <w:tcPr>
            <w:tcW w:w="3213" w:type="dxa"/>
          </w:tcPr>
          <w:p>
            <w:pPr>
              <w:pStyle w:val="Celda"/>
            </w:pPr>
            <w:r>
              <w:t xml:space="preserve">Horas desde el disparo hasta la contención.</w:t>
            </w:r>
          </w:p>
        </w:tc>
      </w:tr>
      <w:tr>
        <w:tc>
          <w:tcPr>
            <w:tcW w:w="3213" w:type="dxa"/>
          </w:tcPr>
          <w:p>
            <w:pPr>
              <w:pStyle w:val="Celda"/>
            </w:pPr>
            <w:r>
              <w:t xml:space="preserve">Comunicación</w:t>
            </w:r>
          </w:p>
        </w:tc>
        <w:tc>
          <w:tcPr>
            <w:tcW w:w="3213" w:type="dxa"/>
          </w:tcPr>
          <w:p>
            <w:pPr>
              <w:pStyle w:val="Celda"/>
            </w:pPr>
          </w:p>
        </w:tc>
        <w:tc>
          <w:tcPr>
            <w:tcW w:w="3213" w:type="dxa"/>
          </w:tcPr>
          <w:p>
            <w:pPr>
              <w:pStyle w:val="Celda"/>
            </w:pPr>
            <w:r>
              <w:t xml:space="preserve">A quién se informa: comité de IA, protección de datos, clientes, supervisores.</w:t>
            </w:r>
          </w:p>
        </w:tc>
      </w:tr>
      <w:tr>
        <w:tc>
          <w:tcPr>
            <w:tcW w:w="3213" w:type="dxa"/>
          </w:tcPr>
          <w:p>
            <w:pPr>
              <w:pStyle w:val="Celda"/>
            </w:pPr>
            <w:r>
              <w:t xml:space="preserve">Notificaciones regulatorias</w:t>
            </w:r>
          </w:p>
        </w:tc>
        <w:tc>
          <w:tcPr>
            <w:tcW w:w="3213" w:type="dxa"/>
          </w:tcPr>
          <w:p>
            <w:pPr>
              <w:pStyle w:val="Celda"/>
            </w:pPr>
          </w:p>
        </w:tc>
        <w:tc>
          <w:tcPr>
            <w:tcW w:w="3213" w:type="dxa"/>
          </w:tcPr>
          <w:p>
            <w:pPr>
              <w:pStyle w:val="Celda"/>
            </w:pPr>
            <w:r>
              <w:t xml:space="preserve">Si puede ser un incidente grave o una violación de seguridad de datos personales, se sigue el plan de respuesta a incidentes (P26) con sus plazos.</w:t>
            </w:r>
          </w:p>
        </w:tc>
      </w:tr>
      <w:tr>
        <w:tc>
          <w:tcPr>
            <w:tcW w:w="3213" w:type="dxa"/>
          </w:tcPr>
          <w:p>
            <w:pPr>
              <w:pStyle w:val="Celda"/>
            </w:pPr>
            <w:r>
              <w:t xml:space="preserve">Recuperación</w:t>
            </w:r>
          </w:p>
        </w:tc>
        <w:tc>
          <w:tcPr>
            <w:tcW w:w="3213" w:type="dxa"/>
          </w:tcPr>
          <w:p>
            <w:pPr>
              <w:pStyle w:val="Celda"/>
            </w:pPr>
          </w:p>
        </w:tc>
        <w:tc>
          <w:tcPr>
            <w:tcW w:w="3213" w:type="dxa"/>
          </w:tcPr>
          <w:p>
            <w:pPr>
              <w:pStyle w:val="Celda"/>
            </w:pPr>
            <w:r>
              <w:t xml:space="preserve">Condiciones para volver a operar.</w:t>
            </w:r>
          </w:p>
        </w:tc>
      </w:tr>
    </w:tbl>
    <w:p>
      <w:pPr>
        <w:pStyle w:val="Espacio"/>
      </w:pPr>
    </w:p>
    <w:p>
      <w:r>
        <w:rPr>
          <w:i/>
        </w:rPr>
        <w:t xml:space="preserve">(ejemplo ilustrativo)</w:t>
      </w:r>
      <w:r>
        <w:t xml:space="preserve"> Riesgo R01. Disparador: una sola respuesta con datos de otro cliente confirmada. Acciones: desactivar el asistente en el canal web y derivar las consultas a agentes; conservar registros; abrir incidente S1 o S2 según alcance. Responsable: responsable de operación de IA. Tiempo máximo de reacción: 1 hora. Comunicación: comité de IA y delegado de protección de datos de inmediato.</w:t>
      </w:r>
    </w:p>
    <w:p>
      <w:pPr>
        <w:pStyle w:val="Separador"/>
      </w:pPr>
    </w:p>
    <w:p>
      <w:pPr>
        <w:pStyle w:val="Heading1"/>
      </w:pPr>
      <w:r>
        <w:t xml:space="preserve">7. Riesgos aceptados sin acciones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Riesgo</w:t>
            </w:r>
          </w:p>
        </w:tc>
        <w:tc>
          <w:tcPr>
            <w:tcW w:w="1928" w:type="dxa"/>
            <w:shd w:val="clear" w:color="auto" w:fill="F2DFCE"/>
          </w:tcPr>
          <w:p>
            <w:pPr>
              <w:pStyle w:val="Celda"/>
            </w:pPr>
            <w:r>
              <w:rPr>
                <w:b/>
              </w:rPr>
              <w:t xml:space="preserve">Nivel residual</w:t>
            </w:r>
          </w:p>
        </w:tc>
        <w:tc>
          <w:tcPr>
            <w:tcW w:w="1928" w:type="dxa"/>
            <w:shd w:val="clear" w:color="auto" w:fill="F2DFCE"/>
          </w:tcPr>
          <w:p>
            <w:pPr>
              <w:pStyle w:val="Celda"/>
            </w:pPr>
            <w:r>
              <w:rPr>
                <w:b/>
              </w:rPr>
              <w:t xml:space="preserve">Motivo de la aceptación</w:t>
            </w:r>
          </w:p>
        </w:tc>
        <w:tc>
          <w:tcPr>
            <w:tcW w:w="1928" w:type="dxa"/>
            <w:shd w:val="clear" w:color="auto" w:fill="F2DFCE"/>
          </w:tcPr>
          <w:p>
            <w:pPr>
              <w:pStyle w:val="Celda"/>
            </w:pPr>
            <w:r>
              <w:rPr>
                <w:b/>
              </w:rPr>
              <w:t xml:space="preserve">Aceptado por (P12 §6)</w:t>
            </w:r>
          </w:p>
        </w:tc>
        <w:tc>
          <w:tcPr>
            <w:tcW w:w="1928" w:type="dxa"/>
            <w:shd w:val="clear" w:color="auto" w:fill="F2DFCE"/>
          </w:tcPr>
          <w:p>
            <w:pPr>
              <w:pStyle w:val="Celda"/>
            </w:pPr>
            <w:r>
              <w:rPr>
                <w:b/>
              </w:rPr>
              <w:t xml:space="preserve">Condición que obligaría a revisarla</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8. Seguimiento del plan </w:t>
      </w:r>
      <w:r>
        <w:rPr>
          <w:b/>
        </w:rPr>
        <w:t xml:space="preserve">(Enterprise)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Fecha de revisión</w:t>
            </w:r>
          </w:p>
        </w:tc>
        <w:tc>
          <w:tcPr>
            <w:tcW w:w="1606" w:type="dxa"/>
            <w:shd w:val="clear" w:color="auto" w:fill="F2DFCE"/>
          </w:tcPr>
          <w:p>
            <w:pPr>
              <w:pStyle w:val="Celda"/>
            </w:pPr>
            <w:r>
              <w:rPr>
                <w:b/>
              </w:rPr>
              <w:t xml:space="preserve">Acciones implantadas</w:t>
            </w:r>
          </w:p>
        </w:tc>
        <w:tc>
          <w:tcPr>
            <w:tcW w:w="1606" w:type="dxa"/>
            <w:shd w:val="clear" w:color="auto" w:fill="F2DFCE"/>
          </w:tcPr>
          <w:p>
            <w:pPr>
              <w:pStyle w:val="Celda"/>
            </w:pPr>
            <w:r>
              <w:rPr>
                <w:b/>
              </w:rPr>
              <w:t xml:space="preserve">Acciones con eficacia verificada</w:t>
            </w:r>
          </w:p>
        </w:tc>
        <w:tc>
          <w:tcPr>
            <w:tcW w:w="1606" w:type="dxa"/>
            <w:shd w:val="clear" w:color="auto" w:fill="F2DFCE"/>
          </w:tcPr>
          <w:p>
            <w:pPr>
              <w:pStyle w:val="Celda"/>
            </w:pPr>
            <w:r>
              <w:rPr>
                <w:b/>
              </w:rPr>
              <w:t xml:space="preserve">Acciones vencidas</w:t>
            </w:r>
          </w:p>
        </w:tc>
        <w:tc>
          <w:tcPr>
            <w:tcW w:w="1606" w:type="dxa"/>
            <w:shd w:val="clear" w:color="auto" w:fill="F2DFCE"/>
          </w:tcPr>
          <w:p>
            <w:pPr>
              <w:pStyle w:val="Celda"/>
            </w:pPr>
            <w:r>
              <w:rPr>
                <w:b/>
              </w:rPr>
              <w:t xml:space="preserve">Riesgos que cambian de nivel</w:t>
            </w:r>
          </w:p>
        </w:tc>
        <w:tc>
          <w:tcPr>
            <w:tcW w:w="1606" w:type="dxa"/>
            <w:shd w:val="clear" w:color="auto" w:fill="F2DFCE"/>
          </w:tcPr>
          <w:p>
            <w:pPr>
              <w:pStyle w:val="Celda"/>
            </w:pPr>
            <w:r>
              <w:rPr>
                <w:b/>
              </w:rPr>
              <w:t xml:space="preserve">Decisión</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Las acciones vencidas en controles relevantes se tratan como condición vencida y pueden constituir no conformidad (01 §12).</w:t>
      </w:r>
    </w:p>
    <w:p>
      <w:pPr>
        <w:pStyle w:val="Separador"/>
      </w:pPr>
    </w:p>
    <w:p>
      <w:pPr>
        <w:pStyle w:val="Heading1"/>
      </w:pPr>
      <w:r>
        <w:t xml:space="preserve">9. Coste total del plan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Categoría</w:t>
            </w:r>
          </w:p>
        </w:tc>
        <w:tc>
          <w:tcPr>
            <w:tcW w:w="3213" w:type="dxa"/>
            <w:shd w:val="clear" w:color="auto" w:fill="F2DFCE"/>
          </w:tcPr>
          <w:p>
            <w:pPr>
              <w:pStyle w:val="Celda"/>
            </w:pPr>
            <w:r>
              <w:rPr>
                <w:b/>
              </w:rPr>
              <w:t xml:space="preserve">Inversión única (€)</w:t>
            </w:r>
          </w:p>
        </w:tc>
        <w:tc>
          <w:tcPr>
            <w:tcW w:w="3213" w:type="dxa"/>
            <w:shd w:val="clear" w:color="auto" w:fill="F2DFCE"/>
          </w:tcPr>
          <w:p>
            <w:pPr>
              <w:pStyle w:val="Celda"/>
            </w:pPr>
            <w:r>
              <w:rPr>
                <w:b/>
              </w:rPr>
              <w:t xml:space="preserve">Coste recurrente anual (€)</w:t>
            </w:r>
          </w:p>
        </w:tc>
      </w:tr>
      <w:tr>
        <w:tc>
          <w:tcPr>
            <w:tcW w:w="3213" w:type="dxa"/>
          </w:tcPr>
          <w:p>
            <w:pPr>
              <w:pStyle w:val="Celda"/>
            </w:pPr>
            <w:r>
              <w:t xml:space="preserve">Control y cumplimiento</w:t>
            </w:r>
          </w:p>
        </w:tc>
        <w:tc>
          <w:tcPr>
            <w:tcW w:w="3213" w:type="dxa"/>
          </w:tcPr>
          <w:p>
            <w:pPr>
              <w:pStyle w:val="Celda"/>
            </w:pPr>
          </w:p>
        </w:tc>
        <w:tc>
          <w:tcPr>
            <w:tcW w:w="3213" w:type="dxa"/>
          </w:tcPr>
          <w:p>
            <w:pPr>
              <w:pStyle w:val="Celda"/>
            </w:pPr>
          </w:p>
        </w:tc>
      </w:tr>
      <w:tr>
        <w:tc>
          <w:tcPr>
            <w:tcW w:w="3213" w:type="dxa"/>
          </w:tcPr>
          <w:p>
            <w:pPr>
              <w:pStyle w:val="Celda"/>
            </w:pPr>
            <w:r>
              <w:t xml:space="preserve">Personas de construcción</w:t>
            </w:r>
          </w:p>
        </w:tc>
        <w:tc>
          <w:tcPr>
            <w:tcW w:w="3213" w:type="dxa"/>
          </w:tcPr>
          <w:p>
            <w:pPr>
              <w:pStyle w:val="Celda"/>
            </w:pPr>
          </w:p>
        </w:tc>
        <w:tc>
          <w:tcPr>
            <w:tcW w:w="3213" w:type="dxa"/>
          </w:tcPr>
          <w:p>
            <w:pPr>
              <w:pStyle w:val="Celda"/>
            </w:pPr>
          </w:p>
        </w:tc>
      </w:tr>
      <w:tr>
        <w:tc>
          <w:tcPr>
            <w:tcW w:w="3213" w:type="dxa"/>
          </w:tcPr>
          <w:p>
            <w:pPr>
              <w:pStyle w:val="Celda"/>
            </w:pPr>
            <w:r>
              <w:t xml:space="preserve">Personas de operación</w:t>
            </w:r>
          </w:p>
        </w:tc>
        <w:tc>
          <w:tcPr>
            <w:tcW w:w="3213" w:type="dxa"/>
          </w:tcPr>
          <w:p>
            <w:pPr>
              <w:pStyle w:val="Celda"/>
            </w:pPr>
          </w:p>
        </w:tc>
        <w:tc>
          <w:tcPr>
            <w:tcW w:w="3213" w:type="dxa"/>
          </w:tcPr>
          <w:p>
            <w:pPr>
              <w:pStyle w:val="Celda"/>
            </w:pPr>
          </w:p>
        </w:tc>
      </w:tr>
      <w:tr>
        <w:tc>
          <w:tcPr>
            <w:tcW w:w="3213" w:type="dxa"/>
          </w:tcPr>
          <w:p>
            <w:pPr>
              <w:pStyle w:val="Celda"/>
            </w:pPr>
            <w:r>
              <w:t xml:space="preserve">Licencias</w:t>
            </w:r>
          </w:p>
        </w:tc>
        <w:tc>
          <w:tcPr>
            <w:tcW w:w="3213" w:type="dxa"/>
          </w:tcPr>
          <w:p>
            <w:pPr>
              <w:pStyle w:val="Celda"/>
            </w:pPr>
          </w:p>
        </w:tc>
        <w:tc>
          <w:tcPr>
            <w:tcW w:w="3213" w:type="dxa"/>
          </w:tcPr>
          <w:p>
            <w:pPr>
              <w:pStyle w:val="Celda"/>
            </w:pPr>
          </w:p>
        </w:tc>
      </w:tr>
      <w:tr>
        <w:tc>
          <w:tcPr>
            <w:tcW w:w="3213" w:type="dxa"/>
          </w:tcPr>
          <w:p>
            <w:pPr>
              <w:pStyle w:val="Celda"/>
            </w:pPr>
            <w:r>
              <w:t xml:space="preserve">Proveedores y servicios</w:t>
            </w:r>
          </w:p>
        </w:tc>
        <w:tc>
          <w:tcPr>
            <w:tcW w:w="3213" w:type="dxa"/>
          </w:tcPr>
          <w:p>
            <w:pPr>
              <w:pStyle w:val="Celda"/>
            </w:pPr>
          </w:p>
        </w:tc>
        <w:tc>
          <w:tcPr>
            <w:tcW w:w="3213" w:type="dxa"/>
          </w:tcPr>
          <w:p>
            <w:pPr>
              <w:pStyle w:val="Celda"/>
            </w:pPr>
          </w:p>
        </w:tc>
      </w:tr>
      <w:tr>
        <w:tc>
          <w:tcPr>
            <w:tcW w:w="3213" w:type="dxa"/>
          </w:tcPr>
          <w:p>
            <w:pPr>
              <w:pStyle w:val="Celda"/>
            </w:pPr>
            <w:r>
              <w:t xml:space="preserve">Otras categorías</w:t>
            </w:r>
          </w:p>
        </w:tc>
        <w:tc>
          <w:tcPr>
            <w:tcW w:w="3213" w:type="dxa"/>
          </w:tcPr>
          <w:p>
            <w:pPr>
              <w:pStyle w:val="Celda"/>
            </w:pPr>
          </w:p>
        </w:tc>
        <w:tc>
          <w:tcPr>
            <w:tcW w:w="3213" w:type="dxa"/>
          </w:tcPr>
          <w:p>
            <w:pPr>
              <w:pStyle w:val="Celda"/>
            </w:pPr>
          </w:p>
        </w:tc>
      </w:tr>
      <w:tr>
        <w:tc>
          <w:tcPr>
            <w:tcW w:w="3213" w:type="dxa"/>
          </w:tcPr>
          <w:p>
            <w:pPr>
              <w:pStyle w:val="Celda"/>
            </w:pPr>
            <w:r>
              <w:rPr>
                <w:b/>
              </w:rPr>
              <w:t xml:space="preserve">Total</w:t>
            </w:r>
          </w:p>
        </w:tc>
        <w:tc>
          <w:tcPr>
            <w:tcW w:w="3213" w:type="dxa"/>
          </w:tcPr>
          <w:p>
            <w:pPr>
              <w:pStyle w:val="Celda"/>
            </w:pPr>
          </w:p>
        </w:tc>
        <w:tc>
          <w:tcPr>
            <w:tcW w:w="3213" w:type="dxa"/>
          </w:tcPr>
          <w:p>
            <w:pPr>
              <w:pStyle w:val="Celda"/>
            </w:pPr>
          </w:p>
        </w:tc>
      </w:tr>
    </w:tbl>
    <w:p>
      <w:pPr>
        <w:pStyle w:val="Espacio"/>
      </w:pPr>
    </w:p>
    <w:p>
      <w:r>
        <w:t xml:space="preserve">El total debe figurar en P10 §6.1.</w:t>
      </w:r>
    </w:p>
    <w:p>
      <w:pPr>
        <w:pStyle w:val="Separador"/>
      </w:pPr>
    </w:p>
    <w:p>
      <w:pPr>
        <w:pStyle w:val="Heading1"/>
      </w:pPr>
      <w:r>
        <w:t xml:space="preserve">10. Criterios de calidad</w:t>
      </w:r>
    </w:p>
    <w:p>
      <w:r>
        <w:t xml:space="preserve">Los criterios formales están en el documento 21 (ver criterios G3.xx, G4.xx y G5.xx).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Todo riesgo residual Medio, Alto o Crítico de P12 tiene acciones o aceptación documentada.</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acción tiene responsable, fecha, coste y evidencia de eficacia prevista.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riesgos residuales Altos y Críticos, y los de impacto 5, tienen plan de contingencia con disparador observable.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Los planes de contingencia enlazan con P19 (reversión) y P26 (incidentes).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transferencias indican lo que no se transfiere.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coste del plan está incorporado en P10.</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No se proponen condiciones sobre controles críticos de seguridad, cumplimiento legal o supervisión humana.</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Coordina</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Responde de las acciones</w:t>
            </w:r>
          </w:p>
        </w:tc>
        <w:tc>
          <w:tcPr>
            <w:tcW w:w="1928" w:type="dxa"/>
          </w:tcPr>
          <w:p>
            <w:pPr>
              <w:pStyle w:val="Celda"/>
            </w:pPr>
            <w:r>
              <w:t xml:space="preserve">Responsables de cada acción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o auditor de IA (Lite, si elabora riesgos)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 y financia</w:t>
            </w:r>
          </w:p>
        </w:tc>
        <w:tc>
          <w:tcPr>
            <w:tcW w:w="1928" w:type="dxa"/>
          </w:tcPr>
          <w:p>
            <w:pPr>
              <w:pStyle w:val="Celda"/>
            </w:pPr>
            <w:r>
              <w:t xml:space="preserve">Patrocinador con conformidad de riesgos (Lite) · Comité de IA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ejecuta una acción no verifica su eficacia.</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Acciones de mitigación vinculadas a P12, transferencia, contingencia y coste por categoría de la especificación común §5.1 y §5.7.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P13 · Plan de mitigación y contingencia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P13 · Plan de mitigación y contingencia</dc:title>
  <dc:creator>Fernando García Varela</dc:creator>
  <dc:language>es</dc:language>
  <dc:description>sha256:997a37831b997e22db30807bcb27839a3f969386598263e6e5af210f195f582f</dc:description>
  <cp:keywords>SEVEN-G</cp:keywords>
</cp:coreProperties>
</file>