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Linaje de datos y modelos</w:t>
      </w:r>
    </w:p>
    <w:p>
      <w:r>
        <w:rPr>
          <w:b/>
        </w:rPr>
        <w:t xml:space="preserve">Registra de dónde proceden los datos, cómo se transforman y qué modelos y versiones intervienen, para poder explicar, reproducir y revertir cualquier resultado del sistema.</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Documento</w:t>
            </w:r>
          </w:p>
        </w:tc>
        <w:tc>
          <w:tcPr>
            <w:tcW w:w="4819" w:type="dxa"/>
          </w:tcPr>
          <w:p>
            <w:pPr>
              <w:pStyle w:val="Celda"/>
            </w:pPr>
            <w:r>
              <w:t xml:space="preserve">Plantilla P16 · Linaje de datos y modelos</w:t>
            </w:r>
          </w:p>
        </w:tc>
      </w:tr>
      <w:tr>
        <w:tc>
          <w:tcPr>
            <w:tcW w:w="4819" w:type="dxa"/>
          </w:tcPr>
          <w:p>
            <w:pPr>
              <w:pStyle w:val="Celda"/>
            </w:pPr>
            <w:r>
              <w:t xml:space="preserve">Versión</w:t>
            </w:r>
          </w:p>
        </w:tc>
        <w:tc>
          <w:tcPr>
            <w:tcW w:w="4819" w:type="dxa"/>
          </w:tcPr>
          <w:p>
            <w:pPr>
              <w:pStyle w:val="Celda"/>
            </w:pPr>
            <w:r>
              <w:t xml:space="preserve">0.1 (borrador de trabajo)</w:t>
            </w:r>
          </w:p>
        </w:tc>
      </w:tr>
      <w:tr>
        <w:tc>
          <w:tcPr>
            <w:tcW w:w="4819" w:type="dxa"/>
          </w:tcPr>
          <w:p>
            <w:pPr>
              <w:pStyle w:val="Celda"/>
            </w:pPr>
            <w:r>
              <w:t xml:space="preserve">Fecha</w:t>
            </w:r>
          </w:p>
        </w:tc>
        <w:tc>
          <w:tcPr>
            <w:tcW w:w="4819" w:type="dxa"/>
          </w:tcPr>
          <w:p>
            <w:pPr>
              <w:pStyle w:val="Celda"/>
            </w:pPr>
            <w:r>
              <w:t xml:space="preserve">16-09-2026</w:t>
            </w:r>
          </w:p>
        </w:tc>
      </w:tr>
      <w:tr>
        <w:tc>
          <w:tcPr>
            <w:tcW w:w="4819" w:type="dxa"/>
          </w:tcPr>
          <w:p>
            <w:pPr>
              <w:pStyle w:val="Celda"/>
            </w:pPr>
            <w:r>
              <w:t xml:space="preserve">Autor</w:t>
            </w:r>
          </w:p>
        </w:tc>
        <w:tc>
          <w:tcPr>
            <w:tcW w:w="4819" w:type="dxa"/>
          </w:tcPr>
          <w:p>
            <w:pPr>
              <w:pStyle w:val="Celda"/>
            </w:pPr>
            <w:r>
              <w:t xml:space="preserve">Fernando García Varela</w:t>
            </w:r>
          </w:p>
        </w:tc>
      </w:tr>
      <w:tr>
        <w:tc>
          <w:tcPr>
            <w:tcW w:w="4819" w:type="dxa"/>
          </w:tcPr>
          <w:p>
            <w:pPr>
              <w:pStyle w:val="Celda"/>
            </w:pPr>
            <w:r>
              <w:t xml:space="preserve">Estado</w:t>
            </w:r>
          </w:p>
        </w:tc>
        <w:tc>
          <w:tcPr>
            <w:tcW w:w="4819" w:type="dxa"/>
          </w:tcPr>
          <w:p>
            <w:pPr>
              <w:pStyle w:val="Celda"/>
            </w:pPr>
            <w:r>
              <w:t xml:space="preserve">Borrador para revisión.</w:t>
            </w:r>
          </w:p>
        </w:tc>
      </w:tr>
    </w:tbl>
    <w:p>
      <w:pPr>
        <w:pStyle w:val="Espacio"/>
      </w:pPr>
    </w:p>
    <w:p>
      <w:pPr>
        <w:pStyle w:val="Separador"/>
      </w:pPr>
    </w:p>
    <w:p>
      <w:pPr>
        <w:pStyle w:val="Cita"/>
      </w:pPr>
      <w:r>
        <w:rPr>
          <w:b/>
        </w:rPr>
        <w:t xml:space="preserve">Aviso legal y exención de responsabilidad.</w:t>
      </w:r>
      <w:r>
        <w:t xml:space="preserve"> SEVEN-G es un marco metodológico de referencia que se ofrece «tal cual» y con fines exclusivamente informativos. No constituye asesoramiento jurídico, regulatorio, financiero ni profesional, ni garantiza el cumplimiento de ninguna norma. Las referencias a regulación general (como el Reglamento Europeo de IA, el RGPD, DORA o NIS2), a normas técnicas y a regulación específica de cada sector o jurisdicción pueden ser incompletas, no aplicar a un caso concreto o quedar desactualizadas por cambios normativos, interpretaciones o criterios de las autoridades posteriores a su fecha de consulta. </w:t>
      </w:r>
      <w:r>
        <w:rPr>
          <w:b/>
        </w:rPr>
        <w:t xml:space="preserve">Cada organización que use SEVEN-G es la única responsable de identificar la normativa que le aplica, verificar su vigencia y certificar su propio cumplimiento regulatorio</w:t>
      </w:r>
      <w:r>
        <w:t xml:space="preserve">, con el asesoramiento cualificado que corresponda. Esta metodología es una ayuda genérica y gratuita, compartida con la comunidad para que nadie tenga que empezar desde cero; cada persona u organización puede y debe adaptarla a su propio uso. No debe entenderse que sus partes jurídicamente sensibles hayan sido revisadas por una asesoría jurídica: esas revisiones, para cada empresa o sector, son responsabilidad última de la empresa, el consultor o la organización que la use. Aunque se procura mantenerla al día, alguna norma puede haber cambiado sin que se recoja aquí. En la máxima medida permitida por la ley, el autor no asume responsabilidad alguna por los efectos de su aplicación en ninguna organización ni por su aplicabilidad completa. La metodología no otorga certificación de ningún tipo. El autor no asume responsabilidad alguna por el uso que se haga de este contenido ni por las decisiones que se adopten con él. Los datos, cifras, compañías y casos de los ejemplos son ficticios o ilustrativos.</w:t>
      </w:r>
    </w:p>
    <w:p>
      <w:pPr>
        <w:pStyle w:val="Heading1"/>
      </w:pPr>
      <w:r>
        <w:t xml:space="preserve">1. Instrucciones de uso</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Aspecto</w:t>
            </w:r>
          </w:p>
        </w:tc>
        <w:tc>
          <w:tcPr>
            <w:tcW w:w="4819" w:type="dxa"/>
            <w:shd w:val="clear" w:color="auto" w:fill="F2DFCE"/>
          </w:tcPr>
          <w:p>
            <w:pPr>
              <w:pStyle w:val="Celda"/>
            </w:pPr>
            <w:r>
              <w:rPr>
                <w:b/>
              </w:rPr>
              <w:t xml:space="preserve">Indicación</w:t>
            </w:r>
          </w:p>
        </w:tc>
      </w:tr>
      <w:tr>
        <w:tc>
          <w:tcPr>
            <w:tcW w:w="4819" w:type="dxa"/>
          </w:tcPr>
          <w:p>
            <w:pPr>
              <w:pStyle w:val="Celda"/>
            </w:pPr>
            <w:r>
              <w:rPr>
                <w:b/>
              </w:rPr>
              <w:t xml:space="preserve">Cuándo se usa</w:t>
            </w:r>
          </w:p>
        </w:tc>
        <w:tc>
          <w:tcPr>
            <w:tcW w:w="4819" w:type="dxa"/>
          </w:tcPr>
          <w:p>
            <w:pPr>
              <w:pStyle w:val="Celda"/>
            </w:pPr>
            <w:r>
              <w:t xml:space="preserve">Fase 4 (Diseño de la solución), antes de solicitar G4. Se actualiza en la fase 5 con las versiones realmente desplegadas y en la fase 6 con cada cambio de datos, modelo, instrucciones o base de conocimiento.</w:t>
            </w:r>
          </w:p>
        </w:tc>
      </w:tr>
      <w:tr>
        <w:tc>
          <w:tcPr>
            <w:tcW w:w="4819" w:type="dxa"/>
          </w:tcPr>
          <w:p>
            <w:pPr>
              <w:pStyle w:val="Celda"/>
            </w:pPr>
            <w:r>
              <w:rPr>
                <w:b/>
              </w:rPr>
              <w:t xml:space="preserve">Quién la rellena</w:t>
            </w:r>
          </w:p>
        </w:tc>
        <w:tc>
          <w:tcPr>
            <w:tcW w:w="4819" w:type="dxa"/>
          </w:tcPr>
          <w:p>
            <w:pPr>
              <w:pStyle w:val="Celda"/>
            </w:pPr>
            <w:r>
              <w:t xml:space="preserve">Responsable técnico de IA, con los responsables de los datos de origen.</w:t>
            </w:r>
          </w:p>
        </w:tc>
      </w:tr>
      <w:tr>
        <w:tc>
          <w:tcPr>
            <w:tcW w:w="4819" w:type="dxa"/>
          </w:tcPr>
          <w:p>
            <w:pPr>
              <w:pStyle w:val="Celda"/>
            </w:pPr>
            <w:r>
              <w:rPr>
                <w:b/>
              </w:rPr>
              <w:t xml:space="preserve">Quién la verifica</w:t>
            </w:r>
          </w:p>
        </w:tc>
        <w:tc>
          <w:tcPr>
            <w:tcW w:w="4819" w:type="dxa"/>
          </w:tcPr>
          <w:p>
            <w:pPr>
              <w:pStyle w:val="Celda"/>
            </w:pPr>
            <w:r>
              <w:t xml:space="preserve">Oficina de IA en Lite; auditor de IA en Enterprise (01 §7.5). El responsable de riesgos revisa la base legal y las restricciones de uso.</w:t>
            </w:r>
          </w:p>
        </w:tc>
      </w:tr>
      <w:tr>
        <w:tc>
          <w:tcPr>
            <w:tcW w:w="4819" w:type="dxa"/>
          </w:tcPr>
          <w:p>
            <w:pPr>
              <w:pStyle w:val="Celda"/>
            </w:pPr>
            <w:r>
              <w:rPr>
                <w:b/>
              </w:rPr>
              <w:t xml:space="preserve">En qué </w:t>
            </w:r>
            <w:r>
              <w:rPr>
                <w:b/>
                <w:i/>
              </w:rPr>
              <w:t xml:space="preserve">gate</w:t>
            </w:r>
            <w:r>
              <w:rPr>
                <w:b/>
              </w:rPr>
              <w:t xml:space="preserve"> se revisa</w:t>
            </w:r>
          </w:p>
        </w:tc>
        <w:tc>
          <w:tcPr>
            <w:tcW w:w="4819" w:type="dxa"/>
          </w:tcPr>
          <w:p>
            <w:pPr>
              <w:pStyle w:val="Celda"/>
            </w:pPr>
            <w:r>
              <w:t xml:space="preserve">G4. Se comprueba de nuevo en G5 (versiones desplegadas) y en cada revisión de continuidad R6.</w:t>
            </w:r>
          </w:p>
        </w:tc>
      </w:tr>
      <w:tr>
        <w:tc>
          <w:tcPr>
            <w:tcW w:w="4819" w:type="dxa"/>
          </w:tcPr>
          <w:p>
            <w:pPr>
              <w:pStyle w:val="Celda"/>
            </w:pPr>
            <w:r>
              <w:rPr>
                <w:b/>
              </w:rPr>
              <w:t xml:space="preserve">Lite frente a Enterprise</w:t>
            </w:r>
          </w:p>
        </w:tc>
        <w:tc>
          <w:tcPr>
            <w:tcW w:w="4819" w:type="dxa"/>
          </w:tcPr>
          <w:p>
            <w:pPr>
              <w:pStyle w:val="Celda"/>
            </w:pPr>
            <w:r>
              <w:t xml:space="preserve">Lite puede omitir los campos marcados </w:t>
            </w:r>
            <w:r>
              <w:rPr>
                <w:b/>
              </w:rPr>
              <w:t xml:space="preserve">(Enterprise)</w:t>
            </w:r>
            <w:r>
              <w:t xml:space="preserve">. Si el sistema está clasificado como de alto riesgo, se completan todos los campos con independencia de la intensidad.</w:t>
            </w:r>
          </w:p>
        </w:tc>
      </w:tr>
      <w:tr>
        <w:tc>
          <w:tcPr>
            <w:tcW w:w="4819" w:type="dxa"/>
          </w:tcPr>
          <w:p>
            <w:pPr>
              <w:pStyle w:val="Celda"/>
            </w:pPr>
            <w:r>
              <w:rPr>
                <w:b/>
              </w:rPr>
              <w:t xml:space="preserve">Relación</w:t>
            </w:r>
          </w:p>
        </w:tc>
        <w:tc>
          <w:tcPr>
            <w:tcW w:w="4819" w:type="dxa"/>
          </w:tcPr>
          <w:p>
            <w:pPr>
              <w:pStyle w:val="Celda"/>
            </w:pPr>
            <w:r>
              <w:t xml:space="preserve">P05 Ficha de inventario · P11 Clasificación regulatoria · P15 Registro de arquitectura · P19 Plan de reversión · P27 Registro de incidentes y cambios · P30 Decisión de escalado o retirada · P64 Ficha de conjunto de datos e inventario de fuentes de conocimiento · documentos 51 y 53.</w:t>
            </w:r>
          </w:p>
        </w:tc>
      </w:tr>
    </w:tbl>
    <w:p>
      <w:pPr>
        <w:pStyle w:val="Espacio"/>
      </w:pPr>
    </w:p>
    <w:p>
      <w:r>
        <w:t xml:space="preserve">Reglas de cumplimentación:</w:t>
      </w:r>
    </w:p>
    <w:p>
      <w:pPr>
        <w:pStyle w:val="Lista"/>
      </w:pPr>
      <w:r>
        <w:t xml:space="preserve">• Cada fuente, conjunto de datos, modelo y componente tiene </w:t>
      </w:r>
      <w:r>
        <w:rPr>
          <w:b/>
        </w:rPr>
        <w:t xml:space="preserve">identificador, versión y responsable</w:t>
      </w:r>
      <w:r>
        <w:t xml:space="preserve">. No se admiten descripciones genéricas como "datos de clientes": se identifica la tabla, el fichero, la API o el servicio.</w:t>
      </w:r>
    </w:p>
    <w:p>
      <w:pPr>
        <w:pStyle w:val="Lista"/>
      </w:pPr>
      <w:r>
        <w:t xml:space="preserve">• Los modelos de terceros, incluidos los de propósito general consumidos por API, se registran con proveedor, nombre comercial y versión exacta.</w:t>
      </w:r>
    </w:p>
    <w:p>
      <w:pPr>
        <w:pStyle w:val="Lista"/>
      </w:pPr>
      <w:r>
        <w:t xml:space="preserve">• En IA generativa y agentes, las </w:t>
      </w:r>
      <w:r>
        <w:rPr>
          <w:b/>
        </w:rPr>
        <w:t xml:space="preserve">instrucciones del sistema, las bases de conocimiento y las herramientas conectadas</w:t>
      </w:r>
      <w:r>
        <w:t xml:space="preserve"> son componentes versionados, igual que un modelo.</w:t>
      </w:r>
    </w:p>
    <w:p>
      <w:pPr>
        <w:pStyle w:val="Lista"/>
      </w:pPr>
      <w:r>
        <w:t xml:space="preserve">• Todo cambio de versión en producción se registra como cambio en P27 y actualiza esta plantilla.</w:t>
      </w:r>
    </w:p>
    <w:p>
      <w:pPr>
        <w:pStyle w:val="Lista"/>
      </w:pPr>
      <w:r>
        <w:t xml:space="preserve">• "Sin dato" no es cero: si un campo no se conoce, se indica </w:t>
      </w:r>
      <w:r>
        <w:rPr>
          <w:i/>
        </w:rPr>
        <w:t xml:space="preserve">Sin dato</w:t>
      </w:r>
      <w:r>
        <w:t xml:space="preserve"> y el motivo.</w:t>
      </w:r>
    </w:p>
    <w:p>
      <w:r>
        <w:t xml:space="preserve">Esta plantilla no constituye asesoramiento jurídico. La base legal del tratamiento debe validarla protección de datos.</w:t>
      </w:r>
    </w:p>
    <w:p>
      <w:pPr>
        <w:pStyle w:val="Separador"/>
      </w:pPr>
    </w:p>
    <w:p>
      <w:pPr>
        <w:pStyle w:val="Heading1"/>
      </w:pPr>
      <w:r>
        <w:t xml:space="preserve">2. Identificación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Código de la iniciativa</w:t>
            </w:r>
          </w:p>
        </w:tc>
        <w:tc>
          <w:tcPr>
            <w:tcW w:w="3213" w:type="dxa"/>
          </w:tcPr>
          <w:p>
            <w:pPr>
              <w:pStyle w:val="Celda"/>
            </w:pPr>
          </w:p>
        </w:tc>
        <w:tc>
          <w:tcPr>
            <w:tcW w:w="3213" w:type="dxa"/>
          </w:tcPr>
          <w:p>
            <w:pPr>
              <w:pStyle w:val="Celda"/>
            </w:pPr>
            <w:r>
              <w:t xml:space="preserve">IA-AAAA-NNN del registro de iniciativas (T01).</w:t>
            </w:r>
          </w:p>
        </w:tc>
      </w:tr>
      <w:tr>
        <w:tc>
          <w:tcPr>
            <w:tcW w:w="3213" w:type="dxa"/>
          </w:tcPr>
          <w:p>
            <w:pPr>
              <w:pStyle w:val="Celda"/>
            </w:pPr>
            <w:r>
              <w:t xml:space="preserve">Nombre de la iniciativa</w:t>
            </w:r>
          </w:p>
        </w:tc>
        <w:tc>
          <w:tcPr>
            <w:tcW w:w="3213" w:type="dxa"/>
          </w:tcPr>
          <w:p>
            <w:pPr>
              <w:pStyle w:val="Celda"/>
            </w:pPr>
          </w:p>
        </w:tc>
        <w:tc>
          <w:tcPr>
            <w:tcW w:w="3213" w:type="dxa"/>
          </w:tcPr>
          <w:p>
            <w:pPr>
              <w:pStyle w:val="Celda"/>
            </w:pPr>
            <w:r>
              <w:t xml:space="preserve">Nombre corto y comprensible.</w:t>
            </w:r>
          </w:p>
        </w:tc>
      </w:tr>
      <w:tr>
        <w:tc>
          <w:tcPr>
            <w:tcW w:w="3213" w:type="dxa"/>
          </w:tcPr>
          <w:p>
            <w:pPr>
              <w:pStyle w:val="Celda"/>
            </w:pPr>
            <w:r>
              <w:t xml:space="preserve">Sistema(s) de IA</w:t>
            </w:r>
          </w:p>
        </w:tc>
        <w:tc>
          <w:tcPr>
            <w:tcW w:w="3213" w:type="dxa"/>
          </w:tcPr>
          <w:p>
            <w:pPr>
              <w:pStyle w:val="Celda"/>
            </w:pPr>
          </w:p>
        </w:tc>
        <w:tc>
          <w:tcPr>
            <w:tcW w:w="3213" w:type="dxa"/>
          </w:tcPr>
          <w:p>
            <w:pPr>
              <w:pStyle w:val="Celda"/>
            </w:pPr>
            <w:r>
              <w:t xml:space="preserve">Identificador en el inventario de sistemas de IA (T02, P05).</w:t>
            </w:r>
          </w:p>
        </w:tc>
      </w:tr>
      <w:tr>
        <w:tc>
          <w:tcPr>
            <w:tcW w:w="3213" w:type="dxa"/>
          </w:tcPr>
          <w:p>
            <w:pPr>
              <w:pStyle w:val="Celda"/>
            </w:pPr>
            <w:r>
              <w:t xml:space="preserve">Intensidad</w:t>
            </w:r>
          </w:p>
        </w:tc>
        <w:tc>
          <w:tcPr>
            <w:tcW w:w="3213" w:type="dxa"/>
          </w:tcPr>
          <w:p>
            <w:pPr>
              <w:pStyle w:val="Celda"/>
            </w:pPr>
          </w:p>
        </w:tc>
        <w:tc>
          <w:tcPr>
            <w:tcW w:w="3213" w:type="dxa"/>
          </w:tcPr>
          <w:p>
            <w:pPr>
              <w:pStyle w:val="Celda"/>
            </w:pPr>
            <w:r>
              <w:t xml:space="preserve">Lite · Enterprise (P04).</w:t>
            </w:r>
          </w:p>
        </w:tc>
      </w:tr>
      <w:tr>
        <w:tc>
          <w:tcPr>
            <w:tcW w:w="3213" w:type="dxa"/>
          </w:tcPr>
          <w:p>
            <w:pPr>
              <w:pStyle w:val="Celda"/>
            </w:pPr>
            <w:r>
              <w:t xml:space="preserve">Clasificación regulatoria</w:t>
            </w:r>
          </w:p>
        </w:tc>
        <w:tc>
          <w:tcPr>
            <w:tcW w:w="3213" w:type="dxa"/>
          </w:tcPr>
          <w:p>
            <w:pPr>
              <w:pStyle w:val="Celda"/>
            </w:pPr>
          </w:p>
        </w:tc>
        <w:tc>
          <w:tcPr>
            <w:tcW w:w="3213" w:type="dxa"/>
          </w:tcPr>
          <w:p>
            <w:pPr>
              <w:pStyle w:val="Celda"/>
            </w:pPr>
            <w:r>
              <w:t xml:space="preserve">Prohibido · Alto riesgo · Obligaciones de transparencia · Riesgo mínimo · Fuera de ámbito · Pendiente de clasificar (P11).</w:t>
            </w:r>
          </w:p>
        </w:tc>
      </w:tr>
      <w:tr>
        <w:tc>
          <w:tcPr>
            <w:tcW w:w="3213" w:type="dxa"/>
          </w:tcPr>
          <w:p>
            <w:pPr>
              <w:pStyle w:val="Celda"/>
            </w:pPr>
            <w:r>
              <w:t xml:space="preserve">Versión del documento</w:t>
            </w:r>
          </w:p>
        </w:tc>
        <w:tc>
          <w:tcPr>
            <w:tcW w:w="3213" w:type="dxa"/>
          </w:tcPr>
          <w:p>
            <w:pPr>
              <w:pStyle w:val="Celda"/>
            </w:pPr>
          </w:p>
        </w:tc>
        <w:tc>
          <w:tcPr>
            <w:tcW w:w="3213" w:type="dxa"/>
          </w:tcPr>
          <w:p>
            <w:pPr>
              <w:pStyle w:val="Celda"/>
            </w:pPr>
            <w:r>
              <w:t xml:space="preserve">0.1, 0.2…; 1.0 al aprobarse. Cada cambio en producción incrementa la versión.</w:t>
            </w:r>
          </w:p>
        </w:tc>
      </w:tr>
      <w:tr>
        <w:tc>
          <w:tcPr>
            <w:tcW w:w="3213" w:type="dxa"/>
          </w:tcPr>
          <w:p>
            <w:pPr>
              <w:pStyle w:val="Celda"/>
            </w:pPr>
            <w:r>
              <w:t xml:space="preserve">Autor</w:t>
            </w:r>
          </w:p>
        </w:tc>
        <w:tc>
          <w:tcPr>
            <w:tcW w:w="3213" w:type="dxa"/>
          </w:tcPr>
          <w:p>
            <w:pPr>
              <w:pStyle w:val="Celda"/>
            </w:pPr>
          </w:p>
        </w:tc>
        <w:tc>
          <w:tcPr>
            <w:tcW w:w="3213" w:type="dxa"/>
          </w:tcPr>
          <w:p>
            <w:pPr>
              <w:pStyle w:val="Celda"/>
            </w:pPr>
            <w:r>
              <w:t xml:space="preserve">Rol y nombre.</w:t>
            </w:r>
          </w:p>
        </w:tc>
      </w:tr>
      <w:tr>
        <w:tc>
          <w:tcPr>
            <w:tcW w:w="3213" w:type="dxa"/>
          </w:tcPr>
          <w:p>
            <w:pPr>
              <w:pStyle w:val="Celda"/>
            </w:pPr>
            <w:r>
              <w:t xml:space="preserve">Fecha</w:t>
            </w:r>
          </w:p>
        </w:tc>
        <w:tc>
          <w:tcPr>
            <w:tcW w:w="3213" w:type="dxa"/>
          </w:tcPr>
          <w:p>
            <w:pPr>
              <w:pStyle w:val="Celda"/>
            </w:pPr>
          </w:p>
        </w:tc>
        <w:tc>
          <w:tcPr>
            <w:tcW w:w="3213" w:type="dxa"/>
          </w:tcPr>
          <w:p>
            <w:pPr>
              <w:pStyle w:val="Celda"/>
            </w:pPr>
            <w:r>
              <w:t xml:space="preserve">DD-MM-AAAA.</w:t>
            </w:r>
          </w:p>
        </w:tc>
      </w:tr>
      <w:tr>
        <w:tc>
          <w:tcPr>
            <w:tcW w:w="3213" w:type="dxa"/>
          </w:tcPr>
          <w:p>
            <w:pPr>
              <w:pStyle w:val="Celda"/>
            </w:pPr>
            <w:r>
              <w:t xml:space="preserve">Estado del documento</w:t>
            </w:r>
          </w:p>
        </w:tc>
        <w:tc>
          <w:tcPr>
            <w:tcW w:w="3213" w:type="dxa"/>
          </w:tcPr>
          <w:p>
            <w:pPr>
              <w:pStyle w:val="Celda"/>
            </w:pPr>
          </w:p>
        </w:tc>
        <w:tc>
          <w:tcPr>
            <w:tcW w:w="3213" w:type="dxa"/>
          </w:tcPr>
          <w:p>
            <w:pPr>
              <w:pStyle w:val="Celda"/>
            </w:pPr>
            <w:r>
              <w:t xml:space="preserve">Borrador · Presentado para verificación · Verificado · Aprobado · Sustituido.</w:t>
            </w:r>
          </w:p>
        </w:tc>
      </w:tr>
    </w:tbl>
    <w:p>
      <w:pPr>
        <w:pStyle w:val="Espacio"/>
      </w:pPr>
    </w:p>
    <w:p>
      <w:pPr>
        <w:pStyle w:val="Separador"/>
      </w:pPr>
    </w:p>
    <w:p>
      <w:pPr>
        <w:pStyle w:val="Heading1"/>
      </w:pPr>
      <w:r>
        <w:t xml:space="preserve">3. Fuentes de datos</w:t>
      </w:r>
    </w:p>
    <w:p>
      <w:r>
        <w:t xml:space="preserve">Una fila por fuente. </w:t>
      </w:r>
      <w:r>
        <w:rPr>
          <w:b/>
        </w:rPr>
        <w:t xml:space="preserve">Tipo de datos:</w:t>
      </w:r>
      <w:r>
        <w:t xml:space="preserve"> Personales · Categorías especiales · Confidencial · Interno · Público · Sintético. </w:t>
      </w:r>
      <w:r>
        <w:rPr>
          <w:b/>
        </w:rPr>
        <w:t xml:space="preserve">Base legal (RGPD art. 6):</w:t>
      </w:r>
      <w:r>
        <w:t xml:space="preserve"> Consentimiento · Contrato · Obligación legal · Intereses vitales · Interés público · Interés legítimo · No aplica (sin datos personales).</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ID</w:t>
            </w:r>
          </w:p>
        </w:tc>
        <w:tc>
          <w:tcPr>
            <w:tcW w:w="1205" w:type="dxa"/>
            <w:shd w:val="clear" w:color="auto" w:fill="F2DFCE"/>
          </w:tcPr>
          <w:p>
            <w:pPr>
              <w:pStyle w:val="Celda"/>
            </w:pPr>
            <w:r>
              <w:rPr>
                <w:b/>
              </w:rPr>
              <w:t xml:space="preserve">Fuente y sistema de origen</w:t>
            </w:r>
          </w:p>
        </w:tc>
        <w:tc>
          <w:tcPr>
            <w:tcW w:w="1205" w:type="dxa"/>
            <w:shd w:val="clear" w:color="auto" w:fill="F2DFCE"/>
          </w:tcPr>
          <w:p>
            <w:pPr>
              <w:pStyle w:val="Celda"/>
            </w:pPr>
            <w:r>
              <w:rPr>
                <w:b/>
              </w:rPr>
              <w:t xml:space="preserve">Responsable del dato</w:t>
            </w:r>
          </w:p>
        </w:tc>
        <w:tc>
          <w:tcPr>
            <w:tcW w:w="1205" w:type="dxa"/>
            <w:shd w:val="clear" w:color="auto" w:fill="F2DFCE"/>
          </w:tcPr>
          <w:p>
            <w:pPr>
              <w:pStyle w:val="Celda"/>
            </w:pPr>
            <w:r>
              <w:rPr>
                <w:b/>
              </w:rPr>
              <w:t xml:space="preserve">Tipo de datos</w:t>
            </w:r>
          </w:p>
        </w:tc>
        <w:tc>
          <w:tcPr>
            <w:tcW w:w="1205" w:type="dxa"/>
            <w:shd w:val="clear" w:color="auto" w:fill="F2DFCE"/>
          </w:tcPr>
          <w:p>
            <w:pPr>
              <w:pStyle w:val="Celda"/>
            </w:pPr>
            <w:r>
              <w:rPr>
                <w:b/>
              </w:rPr>
              <w:t xml:space="preserve">Base legal</w:t>
            </w:r>
          </w:p>
        </w:tc>
        <w:tc>
          <w:tcPr>
            <w:tcW w:w="1205" w:type="dxa"/>
            <w:shd w:val="clear" w:color="auto" w:fill="F2DFCE"/>
          </w:tcPr>
          <w:p>
            <w:pPr>
              <w:pStyle w:val="Celda"/>
            </w:pPr>
            <w:r>
              <w:rPr>
                <w:b/>
              </w:rPr>
              <w:t xml:space="preserve">Restricciones de uso</w:t>
            </w:r>
          </w:p>
        </w:tc>
        <w:tc>
          <w:tcPr>
            <w:tcW w:w="1205" w:type="dxa"/>
            <w:shd w:val="clear" w:color="auto" w:fill="F2DFCE"/>
          </w:tcPr>
          <w:p>
            <w:pPr>
              <w:pStyle w:val="Celda"/>
            </w:pPr>
            <w:r>
              <w:rPr>
                <w:b/>
              </w:rPr>
              <w:t xml:space="preserve">Frecuencia de actualización</w:t>
            </w:r>
          </w:p>
        </w:tc>
        <w:tc>
          <w:tcPr>
            <w:tcW w:w="1205" w:type="dxa"/>
            <w:shd w:val="clear" w:color="auto" w:fill="F2DFCE"/>
          </w:tcPr>
          <w:p>
            <w:pPr>
              <w:pStyle w:val="Celda"/>
            </w:pPr>
            <w:r>
              <w:rPr>
                <w:b/>
              </w:rPr>
              <w:t xml:space="preserve">Calidad verificada (Sí · No · Parcial)</w:t>
            </w:r>
          </w:p>
        </w:tc>
      </w:tr>
      <w:tr>
        <w:tc>
          <w:tcPr>
            <w:tcW w:w="1205" w:type="dxa"/>
          </w:tcPr>
          <w:p>
            <w:pPr>
              <w:pStyle w:val="Celda"/>
            </w:pPr>
            <w:r>
              <w:t xml:space="preserve">F-01 </w:t>
            </w:r>
            <w:r>
              <w:rPr>
                <w:i/>
              </w:rPr>
              <w:t xml:space="preserve">(ejemplo ilustrativo)</w:t>
            </w:r>
          </w:p>
        </w:tc>
        <w:tc>
          <w:tcPr>
            <w:tcW w:w="1205" w:type="dxa"/>
          </w:tcPr>
          <w:p>
            <w:pPr>
              <w:pStyle w:val="Celda"/>
            </w:pPr>
            <w:r>
              <w:t xml:space="preserve">Histórico de incidencias de mantenimiento, tabla de órdenes de trabajo del sistema de gestión de activos</w:t>
            </w:r>
          </w:p>
        </w:tc>
        <w:tc>
          <w:tcPr>
            <w:tcW w:w="1205" w:type="dxa"/>
          </w:tcPr>
          <w:p>
            <w:pPr>
              <w:pStyle w:val="Celda"/>
            </w:pPr>
            <w:r>
              <w:t xml:space="preserve">Jefatura de mantenimiento</w:t>
            </w:r>
          </w:p>
        </w:tc>
        <w:tc>
          <w:tcPr>
            <w:tcW w:w="1205" w:type="dxa"/>
          </w:tcPr>
          <w:p>
            <w:pPr>
              <w:pStyle w:val="Celda"/>
            </w:pPr>
            <w:r>
              <w:t xml:space="preserve">Interno</w:t>
            </w:r>
          </w:p>
        </w:tc>
        <w:tc>
          <w:tcPr>
            <w:tcW w:w="1205" w:type="dxa"/>
          </w:tcPr>
          <w:p>
            <w:pPr>
              <w:pStyle w:val="Celda"/>
            </w:pPr>
            <w:r>
              <w:t xml:space="preserve">No aplica</w:t>
            </w:r>
          </w:p>
        </w:tc>
        <w:tc>
          <w:tcPr>
            <w:tcW w:w="1205" w:type="dxa"/>
          </w:tcPr>
          <w:p>
            <w:pPr>
              <w:pStyle w:val="Celda"/>
            </w:pPr>
            <w:r>
              <w:t xml:space="preserve">Solo uso interno; no se comparte con proveedores</w:t>
            </w:r>
          </w:p>
        </w:tc>
        <w:tc>
          <w:tcPr>
            <w:tcW w:w="1205" w:type="dxa"/>
          </w:tcPr>
          <w:p>
            <w:pPr>
              <w:pStyle w:val="Celda"/>
            </w:pPr>
            <w:r>
              <w:t xml:space="preserve">Diaria</w:t>
            </w:r>
          </w:p>
        </w:tc>
        <w:tc>
          <w:tcPr>
            <w:tcW w:w="1205" w:type="dxa"/>
          </w:tcPr>
          <w:p>
            <w:pPr>
              <w:pStyle w:val="Celda"/>
            </w:pPr>
            <w:r>
              <w:t xml:space="preserve">Parcial: 4 % de registros sin código de avería</w:t>
            </w:r>
          </w:p>
        </w:tc>
      </w:tr>
      <w:tr>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bl>
    <w:p>
      <w:pPr>
        <w:pStyle w:val="Espacio"/>
      </w:pP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 complementario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Datos de terceros o adquiridos</w:t>
            </w:r>
          </w:p>
        </w:tc>
        <w:tc>
          <w:tcPr>
            <w:tcW w:w="3213" w:type="dxa"/>
          </w:tcPr>
          <w:p>
            <w:pPr>
              <w:pStyle w:val="Celda"/>
            </w:pPr>
          </w:p>
        </w:tc>
        <w:tc>
          <w:tcPr>
            <w:tcW w:w="3213" w:type="dxa"/>
          </w:tcPr>
          <w:p>
            <w:pPr>
              <w:pStyle w:val="Celda"/>
            </w:pPr>
            <w:r>
              <w:t xml:space="preserve">Proveedor, licencia y condiciones de uso para IA.</w:t>
            </w:r>
          </w:p>
        </w:tc>
      </w:tr>
      <w:tr>
        <w:tc>
          <w:tcPr>
            <w:tcW w:w="3213" w:type="dxa"/>
          </w:tcPr>
          <w:p>
            <w:pPr>
              <w:pStyle w:val="Celda"/>
            </w:pPr>
            <w:r>
              <w:t xml:space="preserve">Transferencias fuera del Espacio Económico Europeo </w:t>
            </w:r>
            <w:r>
              <w:rPr>
                <w:b/>
              </w:rPr>
              <w:t xml:space="preserve">(Enterprise)</w:t>
            </w:r>
          </w:p>
        </w:tc>
        <w:tc>
          <w:tcPr>
            <w:tcW w:w="3213" w:type="dxa"/>
          </w:tcPr>
          <w:p>
            <w:pPr>
              <w:pStyle w:val="Celda"/>
            </w:pPr>
          </w:p>
        </w:tc>
        <w:tc>
          <w:tcPr>
            <w:tcW w:w="3213" w:type="dxa"/>
          </w:tcPr>
          <w:p>
            <w:pPr>
              <w:pStyle w:val="Celda"/>
            </w:pPr>
            <w:r>
              <w:t xml:space="preserve">Destino, garantía aplicada y referencia a la evaluación de proveedor (P14).</w:t>
            </w:r>
          </w:p>
        </w:tc>
      </w:tr>
      <w:tr>
        <w:tc>
          <w:tcPr>
            <w:tcW w:w="3213" w:type="dxa"/>
          </w:tcPr>
          <w:p>
            <w:pPr>
              <w:pStyle w:val="Celda"/>
            </w:pPr>
            <w:r>
              <w:t xml:space="preserve">Evaluación de impacto en protección de datos</w:t>
            </w:r>
          </w:p>
        </w:tc>
        <w:tc>
          <w:tcPr>
            <w:tcW w:w="3213" w:type="dxa"/>
          </w:tcPr>
          <w:p>
            <w:pPr>
              <w:pStyle w:val="Celda"/>
            </w:pPr>
          </w:p>
        </w:tc>
        <w:tc>
          <w:tcPr>
            <w:tcW w:w="3213" w:type="dxa"/>
          </w:tcPr>
          <w:p>
            <w:pPr>
              <w:pStyle w:val="Celda"/>
            </w:pPr>
            <w:r>
              <w:t xml:space="preserve">Realizada · No requerida (con justificación) · Pendiente. Enlace a P11.</w:t>
            </w:r>
          </w:p>
        </w:tc>
      </w:tr>
    </w:tbl>
    <w:p>
      <w:pPr>
        <w:pStyle w:val="Espacio"/>
      </w:pPr>
    </w:p>
    <w:p>
      <w:pPr>
        <w:pStyle w:val="Separador"/>
      </w:pPr>
    </w:p>
    <w:p>
      <w:pPr>
        <w:pStyle w:val="Heading1"/>
      </w:pPr>
      <w:r>
        <w:t xml:space="preserve">4. Conjuntos de datos y transformaciones</w:t>
      </w:r>
    </w:p>
    <w:p>
      <w:r>
        <w:rPr>
          <w:b/>
        </w:rPr>
        <w:t xml:space="preserve">Uso:</w:t>
      </w:r>
      <w:r>
        <w:t xml:space="preserve"> Entrenamiento · Ajuste · Validación · Prueba · Base de conocimiento (recuperación) · Inferencia · Monitorización.</w:t>
      </w:r>
    </w:p>
    <w:tbl>
      <w:tblPr>
        <w:tblStyle w:val="TablaSG"/>
        <w:tblW w:w="5000" w:type="pct"/>
        <w:tblLayout w:type="autofit"/>
        <w:tblLook w:val="04A0" w:firstRow="1" w:lastRow="0" w:firstColumn="0" w:lastColumn="0" w:noHBand="1" w:noVBand="1"/>
      </w:tblPr>
      <w:tblGrid>
        <w:gridCol w:w="1071"/>
        <w:gridCol w:w="1071"/>
        <w:gridCol w:w="1071"/>
        <w:gridCol w:w="1071"/>
        <w:gridCol w:w="1071"/>
        <w:gridCol w:w="1071"/>
        <w:gridCol w:w="1071"/>
        <w:gridCol w:w="1071"/>
        <w:gridCol w:w="1071"/>
      </w:tblGrid>
      <w:tr>
        <w:trPr>
          <w:tblHeader/>
        </w:trPr>
        <w:tc>
          <w:tcPr>
            <w:tcW w:w="1071" w:type="dxa"/>
            <w:shd w:val="clear" w:color="auto" w:fill="F2DFCE"/>
          </w:tcPr>
          <w:p>
            <w:pPr>
              <w:pStyle w:val="Celda"/>
            </w:pPr>
            <w:r>
              <w:rPr>
                <w:b/>
              </w:rPr>
              <w:t xml:space="preserve">ID conjunto</w:t>
            </w:r>
          </w:p>
        </w:tc>
        <w:tc>
          <w:tcPr>
            <w:tcW w:w="1071" w:type="dxa"/>
            <w:shd w:val="clear" w:color="auto" w:fill="F2DFCE"/>
          </w:tcPr>
          <w:p>
            <w:pPr>
              <w:pStyle w:val="Celda"/>
            </w:pPr>
            <w:r>
              <w:rPr>
                <w:b/>
              </w:rPr>
              <w:t xml:space="preserve">Uso</w:t>
            </w:r>
          </w:p>
        </w:tc>
        <w:tc>
          <w:tcPr>
            <w:tcW w:w="1071" w:type="dxa"/>
            <w:shd w:val="clear" w:color="auto" w:fill="F2DFCE"/>
          </w:tcPr>
          <w:p>
            <w:pPr>
              <w:pStyle w:val="Celda"/>
            </w:pPr>
            <w:r>
              <w:rPr>
                <w:b/>
              </w:rPr>
              <w:t xml:space="preserve">Fuentes (ID)</w:t>
            </w:r>
          </w:p>
        </w:tc>
        <w:tc>
          <w:tcPr>
            <w:tcW w:w="1071" w:type="dxa"/>
            <w:shd w:val="clear" w:color="auto" w:fill="F2DFCE"/>
          </w:tcPr>
          <w:p>
            <w:pPr>
              <w:pStyle w:val="Celda"/>
            </w:pPr>
            <w:r>
              <w:rPr>
                <w:b/>
              </w:rPr>
              <w:t xml:space="preserve">Transformaciones principales</w:t>
            </w:r>
          </w:p>
        </w:tc>
        <w:tc>
          <w:tcPr>
            <w:tcW w:w="1071" w:type="dxa"/>
            <w:shd w:val="clear" w:color="auto" w:fill="F2DFCE"/>
          </w:tcPr>
          <w:p>
            <w:pPr>
              <w:pStyle w:val="Celda"/>
            </w:pPr>
            <w:r>
              <w:rPr>
                <w:b/>
              </w:rPr>
              <w:t xml:space="preserve">Versión o huella</w:t>
            </w:r>
          </w:p>
        </w:tc>
        <w:tc>
          <w:tcPr>
            <w:tcW w:w="1071" w:type="dxa"/>
            <w:shd w:val="clear" w:color="auto" w:fill="F2DFCE"/>
          </w:tcPr>
          <w:p>
            <w:pPr>
              <w:pStyle w:val="Celda"/>
            </w:pPr>
            <w:r>
              <w:rPr>
                <w:b/>
              </w:rPr>
              <w:t xml:space="preserve">Periodo cubierto</w:t>
            </w:r>
          </w:p>
        </w:tc>
        <w:tc>
          <w:tcPr>
            <w:tcW w:w="1071" w:type="dxa"/>
            <w:shd w:val="clear" w:color="auto" w:fill="F2DFCE"/>
          </w:tcPr>
          <w:p>
            <w:pPr>
              <w:pStyle w:val="Celda"/>
            </w:pPr>
            <w:r>
              <w:rPr>
                <w:b/>
              </w:rPr>
              <w:t xml:space="preserve">Volumen</w:t>
            </w:r>
          </w:p>
        </w:tc>
        <w:tc>
          <w:tcPr>
            <w:tcW w:w="1071" w:type="dxa"/>
            <w:shd w:val="clear" w:color="auto" w:fill="F2DFCE"/>
          </w:tcPr>
          <w:p>
            <w:pPr>
              <w:pStyle w:val="Celda"/>
            </w:pPr>
            <w:r>
              <w:rPr>
                <w:b/>
              </w:rPr>
              <w:t xml:space="preserve">Controles de sesgo y representatividad </w:t>
            </w:r>
            <w:r>
              <w:rPr>
                <w:b/>
              </w:rPr>
              <w:t xml:space="preserve">(Enterprise)</w:t>
            </w:r>
          </w:p>
        </w:tc>
        <w:tc>
          <w:tcPr>
            <w:tcW w:w="1071" w:type="dxa"/>
            <w:shd w:val="clear" w:color="auto" w:fill="F2DFCE"/>
          </w:tcPr>
          <w:p>
            <w:pPr>
              <w:pStyle w:val="Celda"/>
            </w:pPr>
            <w:r>
              <w:rPr>
                <w:b/>
              </w:rPr>
              <w:t xml:space="preserve">Ubicación y retención</w:t>
            </w:r>
          </w:p>
        </w:tc>
      </w:tr>
      <w:tr>
        <w:tc>
          <w:tcPr>
            <w:tcW w:w="1071" w:type="dxa"/>
          </w:tcPr>
          <w:p>
            <w:pPr>
              <w:pStyle w:val="Celda"/>
            </w:pPr>
            <w:r>
              <w:t xml:space="preserve">CD-01 </w:t>
            </w:r>
            <w:r>
              <w:rPr>
                <w:i/>
              </w:rPr>
              <w:t xml:space="preserve">(ejemplo ilustrativo)</w:t>
            </w:r>
          </w:p>
        </w:tc>
        <w:tc>
          <w:tcPr>
            <w:tcW w:w="1071" w:type="dxa"/>
          </w:tcPr>
          <w:p>
            <w:pPr>
              <w:pStyle w:val="Celda"/>
            </w:pPr>
            <w:r>
              <w:t xml:space="preserve">Entrenamiento</w:t>
            </w:r>
          </w:p>
        </w:tc>
        <w:tc>
          <w:tcPr>
            <w:tcW w:w="1071" w:type="dxa"/>
          </w:tcPr>
          <w:p>
            <w:pPr>
              <w:pStyle w:val="Celda"/>
            </w:pPr>
            <w:r>
              <w:t xml:space="preserve">F-01, F-02</w:t>
            </w:r>
          </w:p>
        </w:tc>
        <w:tc>
          <w:tcPr>
            <w:tcW w:w="1071" w:type="dxa"/>
          </w:tcPr>
          <w:p>
            <w:pPr>
              <w:pStyle w:val="Celda"/>
            </w:pPr>
            <w:r>
              <w:t xml:space="preserve">Eliminación de duplicados; imputación de fechas; seudonimización del técnico</w:t>
            </w:r>
          </w:p>
        </w:tc>
        <w:tc>
          <w:tcPr>
            <w:tcW w:w="1071" w:type="dxa"/>
          </w:tcPr>
          <w:p>
            <w:pPr>
              <w:pStyle w:val="Celda"/>
            </w:pPr>
            <w:r>
              <w:t xml:space="preserve">v3 · huella registrada en el repositorio de datos</w:t>
            </w:r>
          </w:p>
        </w:tc>
        <w:tc>
          <w:tcPr>
            <w:tcW w:w="1071" w:type="dxa"/>
          </w:tcPr>
          <w:p>
            <w:pPr>
              <w:pStyle w:val="Celda"/>
            </w:pPr>
            <w:r>
              <w:t xml:space="preserve">01-2023 a 12-2025</w:t>
            </w:r>
          </w:p>
        </w:tc>
        <w:tc>
          <w:tcPr>
            <w:tcW w:w="1071" w:type="dxa"/>
          </w:tcPr>
          <w:p>
            <w:pPr>
              <w:pStyle w:val="Celda"/>
            </w:pPr>
            <w:r>
              <w:t xml:space="preserve">180.000 registros</w:t>
            </w:r>
          </w:p>
        </w:tc>
        <w:tc>
          <w:tcPr>
            <w:tcW w:w="1071" w:type="dxa"/>
          </w:tcPr>
          <w:p>
            <w:pPr>
              <w:pStyle w:val="Celda"/>
            </w:pPr>
            <w:r>
              <w:t xml:space="preserve">Distribución por planta y tipo de activo comparada con la población</w:t>
            </w:r>
          </w:p>
        </w:tc>
        <w:tc>
          <w:tcPr>
            <w:tcW w:w="1071" w:type="dxa"/>
          </w:tcPr>
          <w:p>
            <w:pPr>
              <w:pStyle w:val="Celda"/>
            </w:pPr>
            <w:r>
              <w:t xml:space="preserve">Repositorio analítico; 5 años</w:t>
            </w:r>
          </w:p>
        </w:tc>
      </w:tr>
      <w:tr>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bl>
    <w:p>
      <w:pPr>
        <w:pStyle w:val="Espacio"/>
      </w:pPr>
    </w:p>
    <w:p>
      <w:pPr>
        <w:pStyle w:val="Separador"/>
      </w:pPr>
    </w:p>
    <w:p>
      <w:pPr>
        <w:pStyle w:val="Heading1"/>
      </w:pPr>
      <w:r>
        <w:t xml:space="preserve">5. Modelos y componentes</w:t>
      </w:r>
    </w:p>
    <w:p>
      <w:r>
        <w:rPr>
          <w:b/>
        </w:rPr>
        <w:t xml:space="preserve">Tipo de modelo:</w:t>
      </w:r>
      <w:r>
        <w:t xml:space="preserve"> Propio entrenado · Propio ajustado sobre modelo base · De terceros por API · De terceros desplegado en infraestructura propia · Modelo de propósito general · Reglas (no es IA). </w:t>
      </w:r>
      <w:r>
        <w:rPr>
          <w:b/>
        </w:rPr>
        <w:t xml:space="preserve">Estado:</w:t>
      </w:r>
      <w:r>
        <w:t xml:space="preserve"> En desarrollo · Validado · En producción · Retirado.</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ID modelo</w:t>
            </w:r>
          </w:p>
        </w:tc>
        <w:tc>
          <w:tcPr>
            <w:tcW w:w="1205" w:type="dxa"/>
            <w:shd w:val="clear" w:color="auto" w:fill="F2DFCE"/>
          </w:tcPr>
          <w:p>
            <w:pPr>
              <w:pStyle w:val="Celda"/>
            </w:pPr>
            <w:r>
              <w:rPr>
                <w:b/>
              </w:rPr>
              <w:t xml:space="preserve">Tipo</w:t>
            </w:r>
          </w:p>
        </w:tc>
        <w:tc>
          <w:tcPr>
            <w:tcW w:w="1205" w:type="dxa"/>
            <w:shd w:val="clear" w:color="auto" w:fill="F2DFCE"/>
          </w:tcPr>
          <w:p>
            <w:pPr>
              <w:pStyle w:val="Celda"/>
            </w:pPr>
            <w:r>
              <w:rPr>
                <w:b/>
              </w:rPr>
              <w:t xml:space="preserve">Proveedor y versión exacta</w:t>
            </w:r>
          </w:p>
        </w:tc>
        <w:tc>
          <w:tcPr>
            <w:tcW w:w="1205" w:type="dxa"/>
            <w:shd w:val="clear" w:color="auto" w:fill="F2DFCE"/>
          </w:tcPr>
          <w:p>
            <w:pPr>
              <w:pStyle w:val="Celda"/>
            </w:pPr>
            <w:r>
              <w:rPr>
                <w:b/>
              </w:rPr>
              <w:t xml:space="preserve">Conjuntos usados</w:t>
            </w:r>
          </w:p>
        </w:tc>
        <w:tc>
          <w:tcPr>
            <w:tcW w:w="1205" w:type="dxa"/>
            <w:shd w:val="clear" w:color="auto" w:fill="F2DFCE"/>
          </w:tcPr>
          <w:p>
            <w:pPr>
              <w:pStyle w:val="Celda"/>
            </w:pPr>
            <w:r>
              <w:rPr>
                <w:b/>
              </w:rPr>
              <w:t xml:space="preserve">Finalidad</w:t>
            </w:r>
          </w:p>
        </w:tc>
        <w:tc>
          <w:tcPr>
            <w:tcW w:w="1205" w:type="dxa"/>
            <w:shd w:val="clear" w:color="auto" w:fill="F2DFCE"/>
          </w:tcPr>
          <w:p>
            <w:pPr>
              <w:pStyle w:val="Celda"/>
            </w:pPr>
            <w:r>
              <w:rPr>
                <w:b/>
              </w:rPr>
              <w:t xml:space="preserve">Métricas de referencia</w:t>
            </w:r>
          </w:p>
        </w:tc>
        <w:tc>
          <w:tcPr>
            <w:tcW w:w="1205" w:type="dxa"/>
            <w:shd w:val="clear" w:color="auto" w:fill="F2DFCE"/>
          </w:tcPr>
          <w:p>
            <w:pPr>
              <w:pStyle w:val="Celda"/>
            </w:pPr>
            <w:r>
              <w:rPr>
                <w:b/>
              </w:rPr>
              <w:t xml:space="preserve">Limitaciones conocidas</w:t>
            </w:r>
          </w:p>
        </w:tc>
        <w:tc>
          <w:tcPr>
            <w:tcW w:w="1205" w:type="dxa"/>
            <w:shd w:val="clear" w:color="auto" w:fill="F2DFCE"/>
          </w:tcPr>
          <w:p>
            <w:pPr>
              <w:pStyle w:val="Celda"/>
            </w:pPr>
            <w:r>
              <w:rPr>
                <w:b/>
              </w:rPr>
              <w:t xml:space="preserve">Estado</w:t>
            </w:r>
          </w:p>
        </w:tc>
      </w:tr>
      <w:tr>
        <w:tc>
          <w:tcPr>
            <w:tcW w:w="1205" w:type="dxa"/>
          </w:tcPr>
          <w:p>
            <w:pPr>
              <w:pStyle w:val="Celda"/>
            </w:pPr>
            <w:r>
              <w:t xml:space="preserve">M-01 </w:t>
            </w:r>
            <w:r>
              <w:rPr>
                <w:i/>
              </w:rPr>
              <w:t xml:space="preserve">(ejemplo ilustrativo)</w:t>
            </w:r>
          </w:p>
        </w:tc>
        <w:tc>
          <w:tcPr>
            <w:tcW w:w="1205" w:type="dxa"/>
          </w:tcPr>
          <w:p>
            <w:pPr>
              <w:pStyle w:val="Celda"/>
            </w:pPr>
            <w:r>
              <w:t xml:space="preserve">Propio entrenado</w:t>
            </w:r>
          </w:p>
        </w:tc>
        <w:tc>
          <w:tcPr>
            <w:tcW w:w="1205" w:type="dxa"/>
          </w:tcPr>
          <w:p>
            <w:pPr>
              <w:pStyle w:val="Celda"/>
            </w:pPr>
            <w:r>
              <w:t xml:space="preserve">Interno · v1.4</w:t>
            </w:r>
          </w:p>
        </w:tc>
        <w:tc>
          <w:tcPr>
            <w:tcW w:w="1205" w:type="dxa"/>
          </w:tcPr>
          <w:p>
            <w:pPr>
              <w:pStyle w:val="Celda"/>
            </w:pPr>
            <w:r>
              <w:t xml:space="preserve">CD-01, CD-02</w:t>
            </w:r>
          </w:p>
        </w:tc>
        <w:tc>
          <w:tcPr>
            <w:tcW w:w="1205" w:type="dxa"/>
          </w:tcPr>
          <w:p>
            <w:pPr>
              <w:pStyle w:val="Celda"/>
            </w:pPr>
            <w:r>
              <w:t xml:space="preserve">Estimar probabilidad de avería a 30 días</w:t>
            </w:r>
          </w:p>
        </w:tc>
        <w:tc>
          <w:tcPr>
            <w:tcW w:w="1205" w:type="dxa"/>
          </w:tcPr>
          <w:p>
            <w:pPr>
              <w:pStyle w:val="Celda"/>
            </w:pPr>
            <w:r>
              <w:t xml:space="preserve">Métrica de discriminación y calibración registradas en P22</w:t>
            </w:r>
          </w:p>
        </w:tc>
        <w:tc>
          <w:tcPr>
            <w:tcW w:w="1205" w:type="dxa"/>
          </w:tcPr>
          <w:p>
            <w:pPr>
              <w:pStyle w:val="Celda"/>
            </w:pPr>
            <w:r>
              <w:t xml:space="preserve">Bajo rendimiento en activos con menos de 6 meses de histórico</w:t>
            </w:r>
          </w:p>
        </w:tc>
        <w:tc>
          <w:tcPr>
            <w:tcW w:w="1205" w:type="dxa"/>
          </w:tcPr>
          <w:p>
            <w:pPr>
              <w:pStyle w:val="Celda"/>
            </w:pPr>
            <w:r>
              <w:t xml:space="preserve">Validado</w:t>
            </w:r>
          </w:p>
        </w:tc>
      </w:tr>
      <w:tr>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bl>
    <w:p>
      <w:pPr>
        <w:pStyle w:val="Espacio"/>
      </w:pPr>
    </w:p>
    <w:p>
      <w:r>
        <w:t xml:space="preserve">Componentes de IA generativa y agentes (si aplica):</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Componente</w:t>
            </w:r>
          </w:p>
        </w:tc>
        <w:tc>
          <w:tcPr>
            <w:tcW w:w="1928" w:type="dxa"/>
            <w:shd w:val="clear" w:color="auto" w:fill="F2DFCE"/>
          </w:tcPr>
          <w:p>
            <w:pPr>
              <w:pStyle w:val="Celda"/>
            </w:pPr>
            <w:r>
              <w:rPr>
                <w:b/>
              </w:rPr>
              <w:t xml:space="preserve">Identificador y versión</w:t>
            </w:r>
          </w:p>
        </w:tc>
        <w:tc>
          <w:tcPr>
            <w:tcW w:w="1928" w:type="dxa"/>
            <w:shd w:val="clear" w:color="auto" w:fill="F2DFCE"/>
          </w:tcPr>
          <w:p>
            <w:pPr>
              <w:pStyle w:val="Celda"/>
            </w:pPr>
            <w:r>
              <w:rPr>
                <w:b/>
              </w:rPr>
              <w:t xml:space="preserve">Responsable</w:t>
            </w:r>
          </w:p>
        </w:tc>
        <w:tc>
          <w:tcPr>
            <w:tcW w:w="1928" w:type="dxa"/>
            <w:shd w:val="clear" w:color="auto" w:fill="F2DFCE"/>
          </w:tcPr>
          <w:p>
            <w:pPr>
              <w:pStyle w:val="Celda"/>
            </w:pPr>
            <w:r>
              <w:rPr>
                <w:b/>
              </w:rPr>
              <w:t xml:space="preserve">Ubicación</w:t>
            </w:r>
          </w:p>
        </w:tc>
        <w:tc>
          <w:tcPr>
            <w:tcW w:w="1928" w:type="dxa"/>
            <w:shd w:val="clear" w:color="auto" w:fill="F2DFCE"/>
          </w:tcPr>
          <w:p>
            <w:pPr>
              <w:pStyle w:val="Celda"/>
            </w:pPr>
            <w:r>
              <w:rPr>
                <w:b/>
              </w:rPr>
              <w:t xml:space="preserve">Qué exige un cambio</w:t>
            </w:r>
          </w:p>
        </w:tc>
      </w:tr>
      <w:tr>
        <w:tc>
          <w:tcPr>
            <w:tcW w:w="1928" w:type="dxa"/>
          </w:tcPr>
          <w:p>
            <w:pPr>
              <w:pStyle w:val="Celda"/>
            </w:pPr>
            <w:r>
              <w:t xml:space="preserve">Instrucciones del sistema</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r>
              <w:t xml:space="preserve">Prueba de regresión y registro en P27.</w:t>
            </w:r>
          </w:p>
        </w:tc>
      </w:tr>
      <w:tr>
        <w:tc>
          <w:tcPr>
            <w:tcW w:w="1928" w:type="dxa"/>
          </w:tcPr>
          <w:p>
            <w:pPr>
              <w:pStyle w:val="Celda"/>
            </w:pPr>
            <w:r>
              <w:t xml:space="preserve">Base de conocimiento</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r>
              <w:t xml:space="preserve">Revisión de contenido, fecha de corte y permisos de acceso.</w:t>
            </w:r>
          </w:p>
        </w:tc>
      </w:tr>
      <w:tr>
        <w:tc>
          <w:tcPr>
            <w:tcW w:w="1928" w:type="dxa"/>
          </w:tcPr>
          <w:p>
            <w:pPr>
              <w:pStyle w:val="Celda"/>
            </w:pPr>
            <w:r>
              <w:t xml:space="preserve">Herramientas conectadas del agente</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r>
              <w:t xml:space="preserve">Revisión de permisos en P18.</w:t>
            </w:r>
          </w:p>
        </w:tc>
      </w:tr>
      <w:tr>
        <w:tc>
          <w:tcPr>
            <w:tcW w:w="1928" w:type="dxa"/>
          </w:tcPr>
          <w:p>
            <w:pPr>
              <w:pStyle w:val="Celda"/>
            </w:pPr>
            <w:r>
              <w:t xml:space="preserve">Parámetros de generación </w:t>
            </w:r>
            <w:r>
              <w:rPr>
                <w:b/>
              </w:rPr>
              <w:t xml:space="preserve">(Enterprise)</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r>
              <w:t xml:space="preserve">Prueba de regresión.</w:t>
            </w:r>
          </w:p>
        </w:tc>
      </w:tr>
      <w:tr>
        <w:tc>
          <w:tcPr>
            <w:tcW w:w="1928" w:type="dxa"/>
          </w:tcPr>
          <w:p>
            <w:pPr>
              <w:pStyle w:val="Celda"/>
            </w:pPr>
            <w:r>
              <w:t xml:space="preserve">Modelo de respaldo por coste (documento 52 §10.3), si se prevé</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r>
              <w:t xml:space="preserve">Proveedor y versión exacta; evaluado antes de G5 con el conjunto de referencia y las pruebas de sesgo del principal. Incorporarlo o cambiar sus condiciones es un cambio (documento 52 §6.4).</w:t>
            </w:r>
          </w:p>
        </w:tc>
      </w:tr>
    </w:tbl>
    <w:p>
      <w:pPr>
        <w:pStyle w:val="Espacio"/>
      </w:pPr>
    </w:p>
    <w:p>
      <w:pPr>
        <w:pStyle w:val="Separador"/>
      </w:pPr>
    </w:p>
    <w:p>
      <w:pPr>
        <w:pStyle w:val="Heading1"/>
      </w:pPr>
      <w:r>
        <w:t xml:space="preserve">6. Recorrido de extremo a extremo</w:t>
      </w:r>
    </w:p>
    <w:p>
      <w:r>
        <w:t xml:space="preserve">Describe, en orden, cómo un dato de origen se convierte en un resultado del sistema. Una fila por paso; sin diagramas en texto.</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Paso</w:t>
            </w:r>
          </w:p>
        </w:tc>
        <w:tc>
          <w:tcPr>
            <w:tcW w:w="1928" w:type="dxa"/>
            <w:shd w:val="clear" w:color="auto" w:fill="F2DFCE"/>
          </w:tcPr>
          <w:p>
            <w:pPr>
              <w:pStyle w:val="Celda"/>
            </w:pPr>
            <w:r>
              <w:rPr>
                <w:b/>
              </w:rPr>
              <w:t xml:space="preserve">Entrada</w:t>
            </w:r>
          </w:p>
        </w:tc>
        <w:tc>
          <w:tcPr>
            <w:tcW w:w="1928" w:type="dxa"/>
            <w:shd w:val="clear" w:color="auto" w:fill="F2DFCE"/>
          </w:tcPr>
          <w:p>
            <w:pPr>
              <w:pStyle w:val="Celda"/>
            </w:pPr>
            <w:r>
              <w:rPr>
                <w:b/>
              </w:rPr>
              <w:t xml:space="preserve">Proceso</w:t>
            </w:r>
          </w:p>
        </w:tc>
        <w:tc>
          <w:tcPr>
            <w:tcW w:w="1928" w:type="dxa"/>
            <w:shd w:val="clear" w:color="auto" w:fill="F2DFCE"/>
          </w:tcPr>
          <w:p>
            <w:pPr>
              <w:pStyle w:val="Celda"/>
            </w:pPr>
            <w:r>
              <w:rPr>
                <w:b/>
              </w:rPr>
              <w:t xml:space="preserve">Salida</w:t>
            </w:r>
          </w:p>
        </w:tc>
        <w:tc>
          <w:tcPr>
            <w:tcW w:w="1928" w:type="dxa"/>
            <w:shd w:val="clear" w:color="auto" w:fill="F2DFCE"/>
          </w:tcPr>
          <w:p>
            <w:pPr>
              <w:pStyle w:val="Celda"/>
            </w:pPr>
            <w:r>
              <w:rPr>
                <w:b/>
              </w:rPr>
              <w:t xml:space="preserve">Registro que lo evidencia</w:t>
            </w:r>
          </w:p>
        </w:tc>
      </w:tr>
      <w:tr>
        <w:tc>
          <w:tcPr>
            <w:tcW w:w="1928" w:type="dxa"/>
          </w:tcPr>
          <w:p>
            <w:pPr>
              <w:pStyle w:val="Celda"/>
            </w:pPr>
            <w:r>
              <w:t xml:space="preserve">1 </w:t>
            </w:r>
            <w:r>
              <w:rPr>
                <w:i/>
              </w:rPr>
              <w:t xml:space="preserve">(ejemplo ilustrativo)</w:t>
            </w:r>
          </w:p>
        </w:tc>
        <w:tc>
          <w:tcPr>
            <w:tcW w:w="1928" w:type="dxa"/>
          </w:tcPr>
          <w:p>
            <w:pPr>
              <w:pStyle w:val="Celda"/>
            </w:pPr>
            <w:r>
              <w:t xml:space="preserve">F-01</w:t>
            </w:r>
          </w:p>
        </w:tc>
        <w:tc>
          <w:tcPr>
            <w:tcW w:w="1928" w:type="dxa"/>
          </w:tcPr>
          <w:p>
            <w:pPr>
              <w:pStyle w:val="Celda"/>
            </w:pPr>
            <w:r>
              <w:t xml:space="preserve">Extracción nocturna</w:t>
            </w:r>
          </w:p>
        </w:tc>
        <w:tc>
          <w:tcPr>
            <w:tcW w:w="1928" w:type="dxa"/>
          </w:tcPr>
          <w:p>
            <w:pPr>
              <w:pStyle w:val="Celda"/>
            </w:pPr>
            <w:r>
              <w:t xml:space="preserve">Copia bruta fechada</w:t>
            </w:r>
          </w:p>
        </w:tc>
        <w:tc>
          <w:tcPr>
            <w:tcW w:w="1928" w:type="dxa"/>
          </w:tcPr>
          <w:p>
            <w:pPr>
              <w:pStyle w:val="Celda"/>
            </w:pPr>
            <w:r>
              <w:t xml:space="preserve">Registro del proceso de carga</w:t>
            </w:r>
          </w:p>
        </w:tc>
      </w:tr>
      <w:tr>
        <w:tc>
          <w:tcPr>
            <w:tcW w:w="1928" w:type="dxa"/>
          </w:tcPr>
          <w:p>
            <w:pPr>
              <w:pStyle w:val="Celda"/>
            </w:pPr>
            <w:r>
              <w:t xml:space="preserve">2 </w:t>
            </w:r>
            <w:r>
              <w:rPr>
                <w:i/>
              </w:rPr>
              <w:t xml:space="preserve">(ejemplo ilustrativo)</w:t>
            </w:r>
          </w:p>
        </w:tc>
        <w:tc>
          <w:tcPr>
            <w:tcW w:w="1928" w:type="dxa"/>
          </w:tcPr>
          <w:p>
            <w:pPr>
              <w:pStyle w:val="Celda"/>
            </w:pPr>
            <w:r>
              <w:t xml:space="preserve">Copia bruta</w:t>
            </w:r>
          </w:p>
        </w:tc>
        <w:tc>
          <w:tcPr>
            <w:tcW w:w="1928" w:type="dxa"/>
          </w:tcPr>
          <w:p>
            <w:pPr>
              <w:pStyle w:val="Celda"/>
            </w:pPr>
            <w:r>
              <w:t xml:space="preserve">Transformaciones de CD-01</w:t>
            </w:r>
          </w:p>
        </w:tc>
        <w:tc>
          <w:tcPr>
            <w:tcW w:w="1928" w:type="dxa"/>
          </w:tcPr>
          <w:p>
            <w:pPr>
              <w:pStyle w:val="Celda"/>
            </w:pPr>
            <w:r>
              <w:t xml:space="preserve">CD-01 v3</w:t>
            </w:r>
          </w:p>
        </w:tc>
        <w:tc>
          <w:tcPr>
            <w:tcW w:w="1928" w:type="dxa"/>
          </w:tcPr>
          <w:p>
            <w:pPr>
              <w:pStyle w:val="Celda"/>
            </w:pPr>
            <w:r>
              <w:t xml:space="preserve">Huella del conjunto</w:t>
            </w:r>
          </w:p>
        </w:tc>
      </w:tr>
      <w:tr>
        <w:tc>
          <w:tcPr>
            <w:tcW w:w="1928" w:type="dxa"/>
          </w:tcPr>
          <w:p>
            <w:pPr>
              <w:pStyle w:val="Celda"/>
            </w:pPr>
            <w:r>
              <w:t xml:space="preserve">3 </w:t>
            </w:r>
            <w:r>
              <w:rPr>
                <w:i/>
              </w:rPr>
              <w:t xml:space="preserve">(ejemplo ilustrativo)</w:t>
            </w:r>
          </w:p>
        </w:tc>
        <w:tc>
          <w:tcPr>
            <w:tcW w:w="1928" w:type="dxa"/>
          </w:tcPr>
          <w:p>
            <w:pPr>
              <w:pStyle w:val="Celda"/>
            </w:pPr>
            <w:r>
              <w:t xml:space="preserve">Datos del día</w:t>
            </w:r>
          </w:p>
        </w:tc>
        <w:tc>
          <w:tcPr>
            <w:tcW w:w="1928" w:type="dxa"/>
          </w:tcPr>
          <w:p>
            <w:pPr>
              <w:pStyle w:val="Celda"/>
            </w:pPr>
            <w:r>
              <w:t xml:space="preserve">Inferencia con M-01 v1.4</w:t>
            </w:r>
          </w:p>
        </w:tc>
        <w:tc>
          <w:tcPr>
            <w:tcW w:w="1928" w:type="dxa"/>
          </w:tcPr>
          <w:p>
            <w:pPr>
              <w:pStyle w:val="Celda"/>
            </w:pPr>
            <w:r>
              <w:t xml:space="preserve">Lista priorizada de activos</w:t>
            </w:r>
          </w:p>
        </w:tc>
        <w:tc>
          <w:tcPr>
            <w:tcW w:w="1928" w:type="dxa"/>
          </w:tcPr>
          <w:p>
            <w:pPr>
              <w:pStyle w:val="Celda"/>
            </w:pPr>
            <w:r>
              <w:t xml:space="preserve">Registro de inferencias con versión del modelo</w:t>
            </w:r>
          </w:p>
        </w:tc>
      </w:tr>
      <w:tr>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pPr>
        <w:pStyle w:val="Separador"/>
      </w:pPr>
    </w:p>
    <w:p>
      <w:pPr>
        <w:pStyle w:val="Heading1"/>
      </w:pPr>
      <w:r>
        <w:t xml:space="preserve">7. Reproducibilidad y trazabilidad de resultados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¿Puede vincularse cada resultado a la versión de modelo, datos e instrucciones?</w:t>
            </w:r>
          </w:p>
        </w:tc>
        <w:tc>
          <w:tcPr>
            <w:tcW w:w="3213" w:type="dxa"/>
          </w:tcPr>
          <w:p>
            <w:pPr>
              <w:pStyle w:val="Celda"/>
            </w:pPr>
          </w:p>
        </w:tc>
        <w:tc>
          <w:tcPr>
            <w:tcW w:w="3213" w:type="dxa"/>
          </w:tcPr>
          <w:p>
            <w:pPr>
              <w:pStyle w:val="Celda"/>
            </w:pPr>
            <w:r>
              <w:t xml:space="preserve">Sí · Parcialmente · No. Si no, es un hallazgo para G4.</w:t>
            </w:r>
          </w:p>
        </w:tc>
      </w:tr>
      <w:tr>
        <w:tc>
          <w:tcPr>
            <w:tcW w:w="3213" w:type="dxa"/>
          </w:tcPr>
          <w:p>
            <w:pPr>
              <w:pStyle w:val="Celda"/>
            </w:pPr>
            <w:r>
              <w:t xml:space="preserve">Registros automáticos que se conservan</w:t>
            </w:r>
          </w:p>
        </w:tc>
        <w:tc>
          <w:tcPr>
            <w:tcW w:w="3213" w:type="dxa"/>
          </w:tcPr>
          <w:p>
            <w:pPr>
              <w:pStyle w:val="Celda"/>
            </w:pPr>
          </w:p>
        </w:tc>
        <w:tc>
          <w:tcPr>
            <w:tcW w:w="3213" w:type="dxa"/>
          </w:tcPr>
          <w:p>
            <w:pPr>
              <w:pStyle w:val="Celda"/>
            </w:pPr>
            <w:r>
              <w:t xml:space="preserve">Qué se registra (entrada, salida, versión, fecha, usuario). En sistemas de alto riesgo, alinear con las obligaciones de registro del Reglamento Europeo de IA (documento 34).</w:t>
            </w:r>
          </w:p>
        </w:tc>
      </w:tr>
      <w:tr>
        <w:tc>
          <w:tcPr>
            <w:tcW w:w="3213" w:type="dxa"/>
          </w:tcPr>
          <w:p>
            <w:pPr>
              <w:pStyle w:val="Celda"/>
            </w:pPr>
            <w:r>
              <w:t xml:space="preserve">Plazo de conservación de registros</w:t>
            </w:r>
          </w:p>
        </w:tc>
        <w:tc>
          <w:tcPr>
            <w:tcW w:w="3213" w:type="dxa"/>
          </w:tcPr>
          <w:p>
            <w:pPr>
              <w:pStyle w:val="Celda"/>
            </w:pPr>
          </w:p>
        </w:tc>
        <w:tc>
          <w:tcPr>
            <w:tcW w:w="3213" w:type="dxa"/>
          </w:tcPr>
          <w:p>
            <w:pPr>
              <w:pStyle w:val="Celda"/>
            </w:pPr>
            <w:r>
              <w:t xml:space="preserve">Plazo fijado por la compañía, no inferior al que exija la regulación aplicable.</w:t>
            </w:r>
          </w:p>
        </w:tc>
      </w:tr>
      <w:tr>
        <w:tc>
          <w:tcPr>
            <w:tcW w:w="3213" w:type="dxa"/>
          </w:tcPr>
          <w:p>
            <w:pPr>
              <w:pStyle w:val="Celda"/>
            </w:pPr>
            <w:r>
              <w:t xml:space="preserve">Capacidad de reentrenar o regenerar una versión anterior </w:t>
            </w:r>
            <w:r>
              <w:rPr>
                <w:b/>
              </w:rPr>
              <w:t xml:space="preserve">(Enterprise)</w:t>
            </w:r>
          </w:p>
        </w:tc>
        <w:tc>
          <w:tcPr>
            <w:tcW w:w="3213" w:type="dxa"/>
          </w:tcPr>
          <w:p>
            <w:pPr>
              <w:pStyle w:val="Celda"/>
            </w:pPr>
          </w:p>
        </w:tc>
        <w:tc>
          <w:tcPr>
            <w:tcW w:w="3213" w:type="dxa"/>
          </w:tcPr>
          <w:p>
            <w:pPr>
              <w:pStyle w:val="Celda"/>
            </w:pPr>
            <w:r>
              <w:t xml:space="preserve">Qué se guarda para reconstruir una versión (código, datos, parámetros).</w:t>
            </w:r>
          </w:p>
        </w:tc>
      </w:tr>
      <w:tr>
        <w:tc>
          <w:tcPr>
            <w:tcW w:w="3213" w:type="dxa"/>
          </w:tcPr>
          <w:p>
            <w:pPr>
              <w:pStyle w:val="Celda"/>
            </w:pPr>
            <w:r>
              <w:t xml:space="preserve">Referencia para detectar deriva</w:t>
            </w:r>
          </w:p>
        </w:tc>
        <w:tc>
          <w:tcPr>
            <w:tcW w:w="3213" w:type="dxa"/>
          </w:tcPr>
          <w:p>
            <w:pPr>
              <w:pStyle w:val="Celda"/>
            </w:pPr>
          </w:p>
        </w:tc>
        <w:tc>
          <w:tcPr>
            <w:tcW w:w="3213" w:type="dxa"/>
          </w:tcPr>
          <w:p>
            <w:pPr>
              <w:pStyle w:val="Celda"/>
            </w:pPr>
            <w:r>
              <w:t xml:space="preserve">Conjunto y periodo que sirve de referencia para la monitorización (P25). En IA generativa y agentes, referencia de uso: temas, intenciones y alcance validados en G5 (documento 52 §4.2.6).</w:t>
            </w:r>
          </w:p>
        </w:tc>
      </w:tr>
    </w:tbl>
    <w:p>
      <w:pPr>
        <w:pStyle w:val="Espacio"/>
      </w:pPr>
    </w:p>
    <w:p>
      <w:pPr>
        <w:pStyle w:val="Separador"/>
      </w:pPr>
    </w:p>
    <w:p>
      <w:pPr>
        <w:pStyle w:val="Heading1"/>
      </w:pPr>
      <w:r>
        <w:t xml:space="preserve">8. Tratamiento en caso de reversión o retirada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Versión estable anterior disponible</w:t>
            </w:r>
          </w:p>
        </w:tc>
        <w:tc>
          <w:tcPr>
            <w:tcW w:w="3213" w:type="dxa"/>
          </w:tcPr>
          <w:p>
            <w:pPr>
              <w:pStyle w:val="Celda"/>
            </w:pPr>
          </w:p>
        </w:tc>
        <w:tc>
          <w:tcPr>
            <w:tcW w:w="3213" w:type="dxa"/>
          </w:tcPr>
          <w:p>
            <w:pPr>
              <w:pStyle w:val="Celda"/>
            </w:pPr>
            <w:r>
              <w:t xml:space="preserve">Identificador del modelo y componentes a los que se vuelve (P19).</w:t>
            </w:r>
          </w:p>
        </w:tc>
      </w:tr>
      <w:tr>
        <w:tc>
          <w:tcPr>
            <w:tcW w:w="3213" w:type="dxa"/>
          </w:tcPr>
          <w:p>
            <w:pPr>
              <w:pStyle w:val="Celda"/>
            </w:pPr>
            <w:r>
              <w:t xml:space="preserve">Datos que deben conservarse</w:t>
            </w:r>
          </w:p>
        </w:tc>
        <w:tc>
          <w:tcPr>
            <w:tcW w:w="3213" w:type="dxa"/>
          </w:tcPr>
          <w:p>
            <w:pPr>
              <w:pStyle w:val="Celda"/>
            </w:pPr>
          </w:p>
        </w:tc>
        <w:tc>
          <w:tcPr>
            <w:tcW w:w="3213" w:type="dxa"/>
          </w:tcPr>
          <w:p>
            <w:pPr>
              <w:pStyle w:val="Celda"/>
            </w:pPr>
            <w:r>
              <w:t xml:space="preserve">Por obligación legal, auditoría o defensa jurídica.</w:t>
            </w:r>
          </w:p>
        </w:tc>
      </w:tr>
      <w:tr>
        <w:tc>
          <w:tcPr>
            <w:tcW w:w="3213" w:type="dxa"/>
          </w:tcPr>
          <w:p>
            <w:pPr>
              <w:pStyle w:val="Celda"/>
            </w:pPr>
            <w:r>
              <w:t xml:space="preserve">Datos que deben borrarse o anonimizarse</w:t>
            </w:r>
          </w:p>
        </w:tc>
        <w:tc>
          <w:tcPr>
            <w:tcW w:w="3213" w:type="dxa"/>
          </w:tcPr>
          <w:p>
            <w:pPr>
              <w:pStyle w:val="Celda"/>
            </w:pPr>
          </w:p>
        </w:tc>
        <w:tc>
          <w:tcPr>
            <w:tcW w:w="3213" w:type="dxa"/>
          </w:tcPr>
          <w:p>
            <w:pPr>
              <w:pStyle w:val="Celda"/>
            </w:pPr>
            <w:r>
              <w:t xml:space="preserve">Incluye copias en proveedores.</w:t>
            </w:r>
          </w:p>
        </w:tc>
      </w:tr>
      <w:tr>
        <w:tc>
          <w:tcPr>
            <w:tcW w:w="3213" w:type="dxa"/>
          </w:tcPr>
          <w:p>
            <w:pPr>
              <w:pStyle w:val="Celda"/>
            </w:pPr>
            <w:r>
              <w:t xml:space="preserve">Obligaciones del proveedor al terminar </w:t>
            </w:r>
            <w:r>
              <w:rPr>
                <w:b/>
              </w:rPr>
              <w:t xml:space="preserve">(Enterprise)</w:t>
            </w:r>
          </w:p>
        </w:tc>
        <w:tc>
          <w:tcPr>
            <w:tcW w:w="3213" w:type="dxa"/>
          </w:tcPr>
          <w:p>
            <w:pPr>
              <w:pStyle w:val="Celda"/>
            </w:pPr>
          </w:p>
        </w:tc>
        <w:tc>
          <w:tcPr>
            <w:tcW w:w="3213" w:type="dxa"/>
          </w:tcPr>
          <w:p>
            <w:pPr>
              <w:pStyle w:val="Celda"/>
            </w:pPr>
            <w:r>
              <w:t xml:space="preserve">Devolución, borrado certificado, no reutilización para entrenamiento. Se detalla en P30.</w:t>
            </w:r>
          </w:p>
        </w:tc>
      </w:tr>
    </w:tbl>
    <w:p>
      <w:pPr>
        <w:pStyle w:val="Espacio"/>
      </w:pPr>
    </w:p>
    <w:p>
      <w:pPr>
        <w:pStyle w:val="Separador"/>
      </w:pPr>
    </w:p>
    <w:p>
      <w:pPr>
        <w:pStyle w:val="Heading1"/>
      </w:pPr>
      <w:r>
        <w:t xml:space="preserve">9. Criterios de calidad</w:t>
      </w:r>
    </w:p>
    <w:p>
      <w:r>
        <w:t xml:space="preserve">El verificador comprueba, como mínimo, lo siguiente. Los criterios formales de G4 están en el documento 21 y la lista de verificación LV-G4 en el documento 22.</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Comprobación</w:t>
            </w:r>
          </w:p>
        </w:tc>
        <w:tc>
          <w:tcPr>
            <w:tcW w:w="3213" w:type="dxa"/>
            <w:shd w:val="clear" w:color="auto" w:fill="F2DFCE"/>
          </w:tcPr>
          <w:p>
            <w:pPr>
              <w:pStyle w:val="Celda"/>
            </w:pPr>
            <w:r>
              <w:rPr>
                <w:b/>
              </w:rPr>
              <w:t xml:space="preserve">Estado (Cumple · No cumple · No aplica · Pendiente)</w:t>
            </w:r>
          </w:p>
        </w:tc>
      </w:tr>
      <w:tr>
        <w:tc>
          <w:tcPr>
            <w:tcW w:w="3213" w:type="dxa"/>
          </w:tcPr>
          <w:p>
            <w:pPr>
              <w:pStyle w:val="Celda"/>
            </w:pPr>
            <w:r>
              <w:t xml:space="preserve">1</w:t>
            </w:r>
          </w:p>
        </w:tc>
        <w:tc>
          <w:tcPr>
            <w:tcW w:w="3213" w:type="dxa"/>
          </w:tcPr>
          <w:p>
            <w:pPr>
              <w:pStyle w:val="Celda"/>
            </w:pPr>
            <w:r>
              <w:t xml:space="preserve">Todas las fuentes tienen responsable, tipo de datos y base legal cuando hay datos personales.</w:t>
            </w:r>
          </w:p>
        </w:tc>
        <w:tc>
          <w:tcPr>
            <w:tcW w:w="3213" w:type="dxa"/>
          </w:tcPr>
          <w:p>
            <w:pPr>
              <w:pStyle w:val="Celda"/>
            </w:pPr>
          </w:p>
        </w:tc>
      </w:tr>
      <w:tr>
        <w:tc>
          <w:tcPr>
            <w:tcW w:w="3213" w:type="dxa"/>
          </w:tcPr>
          <w:p>
            <w:pPr>
              <w:pStyle w:val="Celda"/>
            </w:pPr>
            <w:r>
              <w:t xml:space="preserve">2</w:t>
            </w:r>
          </w:p>
        </w:tc>
        <w:tc>
          <w:tcPr>
            <w:tcW w:w="3213" w:type="dxa"/>
          </w:tcPr>
          <w:p>
            <w:pPr>
              <w:pStyle w:val="Celda"/>
            </w:pPr>
            <w:r>
              <w:t xml:space="preserve">Cada conjunto de datos tiene versión o huella y periodo cubierto.</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Cada modelo y componente tiene versión exacta, incluidos los de terceros.</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El recorrido de extremo a extremo permite vincular un resultado a sus versiones.</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Las limitaciones conocidas están declaradas y trasladadas a P17 y P24.</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Existe una versión anterior identificada para la reversión.</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La plantilla existía y estaba verificada antes de la solicitud de G4.</w:t>
            </w:r>
          </w:p>
        </w:tc>
        <w:tc>
          <w:tcPr>
            <w:tcW w:w="3213" w:type="dxa"/>
          </w:tcPr>
          <w:p>
            <w:pPr>
              <w:pStyle w:val="Celda"/>
            </w:pPr>
          </w:p>
        </w:tc>
      </w:tr>
    </w:tbl>
    <w:p>
      <w:pPr>
        <w:pStyle w:val="Espacio"/>
      </w:pPr>
    </w:p>
    <w:p>
      <w:pPr>
        <w:pStyle w:val="Separador"/>
      </w:pPr>
    </w:p>
    <w:p>
      <w:pPr>
        <w:pStyle w:val="Heading1"/>
      </w:pPr>
      <w:r>
        <w:t xml:space="preserve">10. Aprobación y verificación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Función</w:t>
            </w:r>
          </w:p>
        </w:tc>
        <w:tc>
          <w:tcPr>
            <w:tcW w:w="1928" w:type="dxa"/>
            <w:shd w:val="clear" w:color="auto" w:fill="F2DFCE"/>
          </w:tcPr>
          <w:p>
            <w:pPr>
              <w:pStyle w:val="Celda"/>
            </w:pPr>
            <w:r>
              <w:rPr>
                <w:b/>
              </w:rPr>
              <w:t xml:space="preserve">Rol</w:t>
            </w:r>
          </w:p>
        </w:tc>
        <w:tc>
          <w:tcPr>
            <w:tcW w:w="1928" w:type="dxa"/>
            <w:shd w:val="clear" w:color="auto" w:fill="F2DFCE"/>
          </w:tcPr>
          <w:p>
            <w:pPr>
              <w:pStyle w:val="Celda"/>
            </w:pPr>
            <w:r>
              <w:rPr>
                <w:b/>
              </w:rPr>
              <w:t xml:space="preserve">Nombre</w:t>
            </w:r>
          </w:p>
        </w:tc>
        <w:tc>
          <w:tcPr>
            <w:tcW w:w="1928" w:type="dxa"/>
            <w:shd w:val="clear" w:color="auto" w:fill="F2DFCE"/>
          </w:tcPr>
          <w:p>
            <w:pPr>
              <w:pStyle w:val="Celda"/>
            </w:pPr>
            <w:r>
              <w:rPr>
                <w:b/>
              </w:rPr>
              <w:t xml:space="preserve">Fecha</w:t>
            </w:r>
          </w:p>
        </w:tc>
        <w:tc>
          <w:tcPr>
            <w:tcW w:w="1928" w:type="dxa"/>
            <w:shd w:val="clear" w:color="auto" w:fill="F2DFCE"/>
          </w:tcPr>
          <w:p>
            <w:pPr>
              <w:pStyle w:val="Celda"/>
            </w:pPr>
            <w:r>
              <w:rPr>
                <w:b/>
              </w:rPr>
              <w:t xml:space="preserve">Firma o referencia</w:t>
            </w:r>
          </w:p>
        </w:tc>
      </w:tr>
      <w:tr>
        <w:tc>
          <w:tcPr>
            <w:tcW w:w="1928" w:type="dxa"/>
          </w:tcPr>
          <w:p>
            <w:pPr>
              <w:pStyle w:val="Celda"/>
            </w:pPr>
            <w:r>
              <w:t xml:space="preserve">Autor</w:t>
            </w:r>
          </w:p>
        </w:tc>
        <w:tc>
          <w:tcPr>
            <w:tcW w:w="1928" w:type="dxa"/>
          </w:tcPr>
          <w:p>
            <w:pPr>
              <w:pStyle w:val="Celda"/>
            </w:pPr>
            <w:r>
              <w:t xml:space="preserve">Responsable técnico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Revisión de base legal</w:t>
            </w:r>
          </w:p>
        </w:tc>
        <w:tc>
          <w:tcPr>
            <w:tcW w:w="1928" w:type="dxa"/>
          </w:tcPr>
          <w:p>
            <w:pPr>
              <w:pStyle w:val="Celda"/>
            </w:pPr>
            <w:r>
              <w:t xml:space="preserve">Protección de datos o responsable de riesgos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Verificador</w:t>
            </w:r>
          </w:p>
        </w:tc>
        <w:tc>
          <w:tcPr>
            <w:tcW w:w="1928" w:type="dxa"/>
          </w:tcPr>
          <w:p>
            <w:pPr>
              <w:pStyle w:val="Celda"/>
            </w:pPr>
            <w:r>
              <w:t xml:space="preserve">Oficina de IA (Lite) · Auditor de IA (Enterprise)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Decisor del </w:t>
            </w:r>
            <w:r>
              <w:rPr>
                <w:i/>
              </w:rPr>
              <w:t xml:space="preserve">gate</w:t>
            </w:r>
          </w:p>
        </w:tc>
        <w:tc>
          <w:tcPr>
            <w:tcW w:w="1928" w:type="dxa"/>
          </w:tcPr>
          <w:p>
            <w:pPr>
              <w:pStyle w:val="Celda"/>
            </w:pPr>
            <w:r>
              <w:t xml:space="preserve">Según 01 §7.5 (registrado en P29)</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Separación de funciones: el verificador no forma parte del equipo que construye y no es la misma persona que el autor (01 §7.4 y §8.2).</w:t>
      </w:r>
    </w:p>
    <w:p>
      <w:pPr>
        <w:pStyle w:val="Separador"/>
      </w:pPr>
    </w:p>
    <w:p>
      <w:pPr>
        <w:pStyle w:val="Heading1"/>
      </w:pPr>
      <w:r>
        <w:t xml:space="preserve">11. Control de versiones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Versión</w:t>
            </w:r>
          </w:p>
        </w:tc>
        <w:tc>
          <w:tcPr>
            <w:tcW w:w="3213" w:type="dxa"/>
            <w:shd w:val="clear" w:color="auto" w:fill="F2DFCE"/>
          </w:tcPr>
          <w:p>
            <w:pPr>
              <w:pStyle w:val="Celda"/>
            </w:pPr>
            <w:r>
              <w:rPr>
                <w:b/>
              </w:rPr>
              <w:t xml:space="preserve">Fecha</w:t>
            </w:r>
          </w:p>
        </w:tc>
        <w:tc>
          <w:tcPr>
            <w:tcW w:w="3213" w:type="dxa"/>
            <w:shd w:val="clear" w:color="auto" w:fill="F2DFCE"/>
          </w:tcPr>
          <w:p>
            <w:pPr>
              <w:pStyle w:val="Celda"/>
            </w:pPr>
            <w:r>
              <w:rPr>
                <w:b/>
              </w:rPr>
              <w:t xml:space="preserve">Cambios</w:t>
            </w:r>
          </w:p>
        </w:tc>
      </w:tr>
      <w:tr>
        <w:tc>
          <w:tcPr>
            <w:tcW w:w="3213" w:type="dxa"/>
          </w:tcPr>
          <w:p>
            <w:pPr>
              <w:pStyle w:val="Celda"/>
            </w:pPr>
            <w:r>
              <w:t xml:space="preserve">0.1</w:t>
            </w:r>
          </w:p>
        </w:tc>
        <w:tc>
          <w:tcPr>
            <w:tcW w:w="3213" w:type="dxa"/>
          </w:tcPr>
          <w:p>
            <w:pPr>
              <w:pStyle w:val="Celda"/>
            </w:pPr>
            <w:r>
              <w:t xml:space="preserve">16-09-2026</w:t>
            </w:r>
          </w:p>
        </w:tc>
        <w:tc>
          <w:tcPr>
            <w:tcW w:w="3213" w:type="dxa"/>
          </w:tcPr>
          <w:p>
            <w:pPr>
              <w:pStyle w:val="Celda"/>
            </w:pPr>
            <w:r>
              <w:t xml:space="preserve">Primera versión de la plantilla.</w:t>
            </w:r>
          </w:p>
        </w:tc>
      </w:tr>
      <w:tr>
        <w:tc>
          <w:tcPr>
            <w:tcW w:w="3213" w:type="dxa"/>
          </w:tcPr>
          <w:p>
            <w:pPr>
              <w:pStyle w:val="Celda"/>
            </w:pPr>
            <w:r>
              <w:t xml:space="preserve">0.1</w:t>
            </w:r>
          </w:p>
        </w:tc>
        <w:tc>
          <w:tcPr>
            <w:tcW w:w="3213" w:type="dxa"/>
          </w:tcPr>
          <w:p>
            <w:pPr>
              <w:pStyle w:val="Celda"/>
            </w:pPr>
            <w:r>
              <w:t xml:space="preserve">18-09-2026</w:t>
            </w:r>
          </w:p>
        </w:tc>
        <w:tc>
          <w:tcPr>
            <w:tcW w:w="3213" w:type="dxa"/>
          </w:tcPr>
          <w:p>
            <w:pPr>
              <w:pStyle w:val="Celda"/>
            </w:pPr>
            <w:r>
              <w:t xml:space="preserve">Modelo de respaldo por coste en los componentes y referencia de uso para la deriva en IA generativa y agentes (documento 52 §4.2.6 y §10.3).</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Plantilla P16 · Linaje de datos y modelos · CC BY 4.0 · Fernando García Varela · Generada desde la fuente Markdown: no edite la plantilla, rellene una copia.</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s-E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P16 · Linaje de datos y modelos</dc:title>
  <dc:creator>Fernando García Varela</dc:creator>
  <dc:language>es</dc:language>
  <dc:description>sha256:d2686e7ee8cd544140307484d4ca29c8833dde36708bbe2eab350ab182ef960a</dc:description>
  <cp:keywords>SEVEN-G</cp:keywords>
</cp:coreProperties>
</file>