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Tesis de IA y apetito de riesgo</w:t>
      </w:r>
    </w:p>
    <w:p>
      <w:r>
        <w:rPr>
          <w:b/>
        </w:rPr>
        <w:t xml:space="preserve">Documento de decisión del consejo en C2: tesis de IA, ambición por esfera, apetito de riesgo, umbrales, horizontes, bandas de cartera, plazos, líneas rojas, presupuesto marco, selección de indicadores y registro de versiones de umbrales.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P35 · Tesis de IA y apetito de riesgo</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Todo el marco decide con los parámetros que el consejo aprueba aquí: qué iniciativa encaja con la tesis en G0, cuándo una iniciativa es Enterprise, qué riesgo residual se puede aceptar, qué retorno se exige en cada </w:t>
      </w:r>
      <w:r>
        <w:rPr>
          <w:i/>
        </w:rPr>
        <w:t xml:space="preserve">gate</w:t>
      </w:r>
      <w:r>
        <w:t xml:space="preserve"> y cuánto se invierte en cada carril. Si no están aprobados y versionados, cada órgano los interpreta a su manera, los umbrales se cambian para mejorar un resultado y la cartera no ejecuta ninguna dirección. Es la herramienta T19 y la evidencia de las preguntas D1.05 y D1.06 del documento 11.</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C2: en la primera implantación, dentro de los 90 días (90 §4.3 y §4.4); después, anualmente tras C5 y de forma extraordinaria ante un desencadenante (13 §13).</w:t>
            </w:r>
          </w:p>
        </w:tc>
      </w:tr>
      <w:tr>
        <w:tc>
          <w:tcPr>
            <w:tcW w:w="4819" w:type="dxa"/>
          </w:tcPr>
          <w:p>
            <w:pPr>
              <w:pStyle w:val="Celda"/>
            </w:pPr>
            <w:r>
              <w:rPr>
                <w:b/>
              </w:rPr>
              <w:t xml:space="preserve">Quién la rellena</w:t>
            </w:r>
          </w:p>
        </w:tc>
        <w:tc>
          <w:tcPr>
            <w:tcW w:w="4819" w:type="dxa"/>
          </w:tcPr>
          <w:p>
            <w:pPr>
              <w:pStyle w:val="Celda"/>
            </w:pPr>
            <w:r>
              <w:t xml:space="preserve">La alta dirección, con la oficina de IA, riesgos, cumplimiento, control de gestión y personas.</w:t>
            </w:r>
          </w:p>
        </w:tc>
      </w:tr>
      <w:tr>
        <w:tc>
          <w:tcPr>
            <w:tcW w:w="4819" w:type="dxa"/>
          </w:tcPr>
          <w:p>
            <w:pPr>
              <w:pStyle w:val="Celda"/>
            </w:pPr>
            <w:r>
              <w:rPr>
                <w:b/>
              </w:rPr>
              <w:t xml:space="preserve">Quién la verifica</w:t>
            </w:r>
          </w:p>
        </w:tc>
        <w:tc>
          <w:tcPr>
            <w:tcW w:w="4819" w:type="dxa"/>
          </w:tcPr>
          <w:p>
            <w:pPr>
              <w:pStyle w:val="Celda"/>
            </w:pPr>
            <w:r>
              <w:t xml:space="preserve">El auditor de IA o la auditoría interna, con los criterios de la sección 15, antes de la aprobación.</w:t>
            </w:r>
          </w:p>
        </w:tc>
      </w:tr>
      <w:tr>
        <w:tc>
          <w:tcPr>
            <w:tcW w:w="4819" w:type="dxa"/>
          </w:tcPr>
          <w:p>
            <w:pPr>
              <w:pStyle w:val="Celda"/>
            </w:pPr>
            <w:r>
              <w:rPr>
                <w:b/>
              </w:rPr>
              <w:t xml:space="preserve">Quién decide o aprueba</w:t>
            </w:r>
          </w:p>
        </w:tc>
        <w:tc>
          <w:tcPr>
            <w:tcW w:w="4819" w:type="dxa"/>
          </w:tcPr>
          <w:p>
            <w:pPr>
              <w:pStyle w:val="Celda"/>
            </w:pPr>
            <w:r>
              <w:t xml:space="preserve">El consejo de administración, o la comisión con facultades delegadas.</w:t>
            </w:r>
          </w:p>
        </w:tc>
      </w:tr>
      <w:tr>
        <w:tc>
          <w:tcPr>
            <w:tcW w:w="4819" w:type="dxa"/>
          </w:tcPr>
          <w:p>
            <w:pPr>
              <w:pStyle w:val="Celda"/>
            </w:pPr>
            <w:r>
              <w:rPr>
                <w:b/>
              </w:rPr>
              <w:t xml:space="preserve">Etapa del ciclo corporativo</w:t>
            </w:r>
          </w:p>
        </w:tc>
        <w:tc>
          <w:tcPr>
            <w:tcW w:w="4819" w:type="dxa"/>
          </w:tcPr>
          <w:p>
            <w:pPr>
              <w:pStyle w:val="Celda"/>
            </w:pPr>
            <w:r>
              <w:t xml:space="preserve">C2 · Dirección. Entrada: informe de diagnóstico C1 (P33). Salida: parámetros de C3 (P36) y de las herramientas.</w:t>
            </w:r>
          </w:p>
        </w:tc>
      </w:tr>
      <w:tr>
        <w:tc>
          <w:tcPr>
            <w:tcW w:w="4819" w:type="dxa"/>
          </w:tcPr>
          <w:p>
            <w:pPr>
              <w:pStyle w:val="Celda"/>
            </w:pPr>
            <w:r>
              <w:rPr>
                <w:b/>
              </w:rPr>
              <w:t xml:space="preserve">Herramienta</w:t>
            </w:r>
          </w:p>
        </w:tc>
        <w:tc>
          <w:tcPr>
            <w:tcW w:w="4819" w:type="dxa"/>
          </w:tcPr>
          <w:p>
            <w:pPr>
              <w:pStyle w:val="Celda"/>
            </w:pPr>
            <w:r>
              <w:t xml:space="preserve">T19 · Plantilla de tesis de IA y apetito de riesgo. Tras la aprobación se actualizan T01, T04, T06, T14, T16 y T17 (13 §13) y la decisión se registra en T18.</w:t>
            </w:r>
          </w:p>
        </w:tc>
      </w:tr>
      <w:tr>
        <w:tc>
          <w:tcPr>
            <w:tcW w:w="4819" w:type="dxa"/>
          </w:tcPr>
          <w:p>
            <w:pPr>
              <w:pStyle w:val="Celda"/>
            </w:pPr>
            <w:r>
              <w:rPr>
                <w:b/>
              </w:rPr>
              <w:t xml:space="preserve">Documento de referencia</w:t>
            </w:r>
          </w:p>
        </w:tc>
        <w:tc>
          <w:tcPr>
            <w:tcW w:w="4819" w:type="dxa"/>
          </w:tcPr>
          <w:p>
            <w:pPr>
              <w:pStyle w:val="Celda"/>
            </w:pPr>
            <w:r>
              <w:t xml:space="preserve">Documento 13, que contiene el método, las reglas y los valores orientativos. Esta plantilla extrae su anexo (13 §15) y no lo modifica. La selección de indicadores sigue el documento 41 (§1, §5, §19 y §20).</w:t>
            </w:r>
          </w:p>
        </w:tc>
      </w:tr>
      <w:tr>
        <w:tc>
          <w:tcPr>
            <w:tcW w:w="4819" w:type="dxa"/>
          </w:tcPr>
          <w:p>
            <w:pPr>
              <w:pStyle w:val="Celda"/>
            </w:pPr>
            <w:r>
              <w:rPr>
                <w:b/>
              </w:rPr>
              <w:t xml:space="preserve">Lite frente a Enterprise</w:t>
            </w:r>
          </w:p>
        </w:tc>
        <w:tc>
          <w:tcPr>
            <w:tcW w:w="4819" w:type="dxa"/>
          </w:tcPr>
          <w:p>
            <w:pPr>
              <w:pStyle w:val="Celda"/>
            </w:pPr>
            <w:r>
              <w:t xml:space="preserve">Los campos marcados </w:t>
            </w:r>
            <w:r>
              <w:rPr>
                <w:b/>
              </w:rPr>
              <w:t xml:space="preserve">(Enterprise)</w:t>
            </w:r>
            <w:r>
              <w:t xml:space="preserve"> pueden omitirse en organizaciones que solo aplican la intensidad Lite, justificándolo.</w:t>
            </w:r>
          </w:p>
        </w:tc>
      </w:tr>
    </w:tbl>
    <w:p>
      <w:pPr>
        <w:pStyle w:val="Espacio"/>
      </w:pPr>
    </w:p>
    <w:p>
      <w:r>
        <w:t xml:space="preserve">Reglas de cumplimentación:</w:t>
      </w:r>
    </w:p>
    <w:p>
      <w:pPr>
        <w:pStyle w:val="Lista"/>
      </w:pPr>
      <w:r>
        <w:t xml:space="preserve">• Donde se indica «valor orientativo», se parte del valor del documento 13 y se sustituye por el aprobado.</w:t>
      </w:r>
    </w:p>
    <w:p>
      <w:pPr>
        <w:pStyle w:val="Lista"/>
      </w:pPr>
      <w:r>
        <w:t xml:space="preserve">• Las escalas de probabilidad, impacto y nivel de riesgo y las respuestas son las del documento 33: esta decisión fija dónde se sitúa la compañía, no las modifica.</w:t>
      </w:r>
    </w:p>
    <w:p>
      <w:pPr>
        <w:pStyle w:val="Lista"/>
      </w:pPr>
      <w:r>
        <w:t xml:space="preserve">• El grado de apetito de una categoría puede </w:t>
      </w:r>
      <w:r>
        <w:rPr>
          <w:b/>
        </w:rPr>
        <w:t xml:space="preserve">endurecer</w:t>
      </w:r>
      <w:r>
        <w:t xml:space="preserve"> la regla general de aceptación del riesgo residual, </w:t>
      </w:r>
      <w:r>
        <w:rPr>
          <w:b/>
        </w:rPr>
        <w:t xml:space="preserve">nunca relajarla</w:t>
      </w:r>
      <w:r>
        <w:t xml:space="preserve"> (13 §5.2).</w:t>
      </w:r>
    </w:p>
    <w:p>
      <w:pPr>
        <w:pStyle w:val="Lista"/>
      </w:pPr>
      <w:r>
        <w:t xml:space="preserve">• Los plazos aprobados no pueden superar los que establezca la regulación aplicable.</w:t>
      </w:r>
    </w:p>
    <w:p>
      <w:pPr>
        <w:pStyle w:val="Lista"/>
      </w:pPr>
      <w:r>
        <w:t xml:space="preserve">• Cada versión se identifica con número y fecha; se conserva la anterior (13 §13).</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Compañía o grupo</w:t>
            </w:r>
          </w:p>
        </w:tc>
        <w:tc>
          <w:tcPr>
            <w:tcW w:w="3213" w:type="dxa"/>
          </w:tcPr>
          <w:p>
            <w:pPr>
              <w:pStyle w:val="Celda"/>
            </w:pPr>
          </w:p>
        </w:tc>
        <w:tc>
          <w:tcPr>
            <w:tcW w:w="3213" w:type="dxa"/>
          </w:tcPr>
          <w:p>
            <w:pPr>
              <w:pStyle w:val="Celda"/>
            </w:pPr>
            <w:r>
              <w:t xml:space="preserve">Perímetro societario al que aplica la decisión.</w:t>
            </w:r>
          </w:p>
        </w:tc>
      </w:tr>
      <w:tr>
        <w:tc>
          <w:tcPr>
            <w:tcW w:w="3213" w:type="dxa"/>
          </w:tcPr>
          <w:p>
            <w:pPr>
              <w:pStyle w:val="Celda"/>
            </w:pPr>
            <w:r>
              <w:t xml:space="preserve">Órgano que aprueba</w:t>
            </w:r>
          </w:p>
        </w:tc>
        <w:tc>
          <w:tcPr>
            <w:tcW w:w="3213" w:type="dxa"/>
          </w:tcPr>
          <w:p>
            <w:pPr>
              <w:pStyle w:val="Celda"/>
            </w:pPr>
          </w:p>
        </w:tc>
        <w:tc>
          <w:tcPr>
            <w:tcW w:w="3213" w:type="dxa"/>
          </w:tcPr>
          <w:p>
            <w:pPr>
              <w:pStyle w:val="Celda"/>
            </w:pPr>
            <w:r>
              <w:t xml:space="preserve">Consejo de administración o comisión con facultades delegadas.</w:t>
            </w:r>
          </w:p>
        </w:tc>
      </w:tr>
      <w:tr>
        <w:tc>
          <w:tcPr>
            <w:tcW w:w="3213" w:type="dxa"/>
          </w:tcPr>
          <w:p>
            <w:pPr>
              <w:pStyle w:val="Celda"/>
            </w:pPr>
            <w:r>
              <w:t xml:space="preserve">Fecha de la sesión</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r>
              <w:t xml:space="preserve">1.0 en la primera aprobación; se incrementa en cada revisión.</w:t>
            </w:r>
          </w:p>
        </w:tc>
      </w:tr>
      <w:tr>
        <w:tc>
          <w:tcPr>
            <w:tcW w:w="3213" w:type="dxa"/>
          </w:tcPr>
          <w:p>
            <w:pPr>
              <w:pStyle w:val="Celda"/>
            </w:pPr>
            <w:r>
              <w:t xml:space="preserve">Identificador en el registro de decisiones (T18)</w:t>
            </w:r>
          </w:p>
        </w:tc>
        <w:tc>
          <w:tcPr>
            <w:tcW w:w="3213" w:type="dxa"/>
          </w:tcPr>
          <w:p>
            <w:pPr>
              <w:pStyle w:val="Celda"/>
            </w:pPr>
          </w:p>
        </w:tc>
        <w:tc>
          <w:tcPr>
            <w:tcW w:w="3213" w:type="dxa"/>
          </w:tcPr>
          <w:p>
            <w:pPr>
              <w:pStyle w:val="Celda"/>
            </w:pPr>
            <w:r>
              <w:t xml:space="preserve">DEC-AAAA-NNN (documento 62).</w:t>
            </w:r>
          </w:p>
        </w:tc>
      </w:tr>
      <w:tr>
        <w:tc>
          <w:tcPr>
            <w:tcW w:w="3213" w:type="dxa"/>
          </w:tcPr>
          <w:p>
            <w:pPr>
              <w:pStyle w:val="Celda"/>
            </w:pPr>
            <w:r>
              <w:t xml:space="preserve">Preparado por</w:t>
            </w:r>
          </w:p>
        </w:tc>
        <w:tc>
          <w:tcPr>
            <w:tcW w:w="3213" w:type="dxa"/>
          </w:tcPr>
          <w:p>
            <w:pPr>
              <w:pStyle w:val="Celda"/>
            </w:pPr>
          </w:p>
        </w:tc>
        <w:tc>
          <w:tcPr>
            <w:tcW w:w="3213" w:type="dxa"/>
          </w:tcPr>
          <w:p>
            <w:pPr>
              <w:pStyle w:val="Celda"/>
            </w:pPr>
            <w:r>
              <w:t xml:space="preserve">Nombre y cargo.</w:t>
            </w:r>
          </w:p>
        </w:tc>
      </w:tr>
      <w:tr>
        <w:tc>
          <w:tcPr>
            <w:tcW w:w="3213" w:type="dxa"/>
          </w:tcPr>
          <w:p>
            <w:pPr>
              <w:pStyle w:val="Celda"/>
            </w:pPr>
            <w:r>
              <w:t xml:space="preserve">Verificado por</w:t>
            </w:r>
          </w:p>
        </w:tc>
        <w:tc>
          <w:tcPr>
            <w:tcW w:w="3213" w:type="dxa"/>
          </w:tcPr>
          <w:p>
            <w:pPr>
              <w:pStyle w:val="Celda"/>
            </w:pPr>
          </w:p>
        </w:tc>
        <w:tc>
          <w:tcPr>
            <w:tcW w:w="3213" w:type="dxa"/>
          </w:tcPr>
          <w:p>
            <w:pPr>
              <w:pStyle w:val="Celda"/>
            </w:pPr>
            <w:r>
              <w:t xml:space="preserve">Auditor de IA o auditoría interna; distinto de quien prepara.</w:t>
            </w:r>
          </w:p>
        </w:tc>
      </w:tr>
      <w:tr>
        <w:tc>
          <w:tcPr>
            <w:tcW w:w="3213" w:type="dxa"/>
          </w:tcPr>
          <w:p>
            <w:pPr>
              <w:pStyle w:val="Celda"/>
            </w:pPr>
            <w:r>
              <w:t xml:space="preserve">Informe de C1 de referencia</w:t>
            </w:r>
          </w:p>
        </w:tc>
        <w:tc>
          <w:tcPr>
            <w:tcW w:w="3213" w:type="dxa"/>
          </w:tcPr>
          <w:p>
            <w:pPr>
              <w:pStyle w:val="Celda"/>
            </w:pPr>
          </w:p>
        </w:tc>
        <w:tc>
          <w:tcPr>
            <w:tcW w:w="3213" w:type="dxa"/>
          </w:tcPr>
          <w:p>
            <w:pPr>
              <w:pStyle w:val="Celda"/>
            </w:pPr>
            <w:r>
              <w:t xml:space="preserve">Código, fecha y versión de P33.</w:t>
            </w:r>
          </w:p>
        </w:tc>
      </w:tr>
    </w:tbl>
    <w:p>
      <w:pPr>
        <w:pStyle w:val="Espacio"/>
      </w:pPr>
    </w:p>
    <w:p>
      <w:pPr>
        <w:pStyle w:val="Separador"/>
      </w:pPr>
    </w:p>
    <w:p>
      <w:pPr>
        <w:pStyle w:val="Heading1"/>
      </w:pPr>
      <w:r>
        <w:t xml:space="preserve">3. Acuerdos propuestos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Nº</w:t>
            </w:r>
          </w:p>
        </w:tc>
        <w:tc>
          <w:tcPr>
            <w:tcW w:w="3213" w:type="dxa"/>
            <w:shd w:val="clear" w:color="auto" w:fill="F2DFCE"/>
          </w:tcPr>
          <w:p>
            <w:pPr>
              <w:pStyle w:val="Celda"/>
            </w:pPr>
            <w:r>
              <w:rPr>
                <w:b/>
              </w:rPr>
              <w:t xml:space="preserve">Acuerdo</w:t>
            </w:r>
          </w:p>
        </w:tc>
        <w:tc>
          <w:tcPr>
            <w:tcW w:w="3213" w:type="dxa"/>
            <w:shd w:val="clear" w:color="auto" w:fill="F2DFCE"/>
          </w:tcPr>
          <w:p>
            <w:pPr>
              <w:pStyle w:val="Celda"/>
            </w:pPr>
            <w:r>
              <w:rPr>
                <w:b/>
              </w:rPr>
              <w:t xml:space="preserve">Guía</w:t>
            </w:r>
          </w:p>
        </w:tc>
      </w:tr>
      <w:tr>
        <w:tc>
          <w:tcPr>
            <w:tcW w:w="3213" w:type="dxa"/>
          </w:tcPr>
          <w:p>
            <w:pPr>
              <w:pStyle w:val="Celda"/>
            </w:pPr>
            <w:r>
              <w:t xml:space="preserve">1</w:t>
            </w:r>
          </w:p>
        </w:tc>
        <w:tc>
          <w:tcPr>
            <w:tcW w:w="3213" w:type="dxa"/>
          </w:tcPr>
          <w:p>
            <w:pPr>
              <w:pStyle w:val="Celda"/>
            </w:pPr>
            <w:r>
              <w:t xml:space="preserve">Se aprueba la tesis de IA de la sección 4.</w:t>
            </w:r>
          </w:p>
        </w:tc>
        <w:tc>
          <w:tcPr>
            <w:tcW w:w="3213" w:type="dxa"/>
          </w:tcPr>
          <w:p>
            <w:pPr>
              <w:pStyle w:val="Celda"/>
            </w:pPr>
            <w:r>
              <w:t xml:space="preserve">Un acuerdo por componente, en forma «Se aprueba…».</w:t>
            </w:r>
          </w:p>
        </w:tc>
      </w:tr>
      <w:tr>
        <w:tc>
          <w:tcPr>
            <w:tcW w:w="3213" w:type="dxa"/>
          </w:tcPr>
          <w:p>
            <w:pPr>
              <w:pStyle w:val="Celda"/>
            </w:pPr>
            <w:r>
              <w:t xml:space="preserve">2</w:t>
            </w:r>
          </w:p>
        </w:tc>
        <w:tc>
          <w:tcPr>
            <w:tcW w:w="3213" w:type="dxa"/>
          </w:tcPr>
          <w:p>
            <w:pPr>
              <w:pStyle w:val="Celda"/>
            </w:pPr>
            <w:r>
              <w:t xml:space="preserve">Se aprueba la ambición por esfera de la sección 5.</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Se aprueba el apetito de riesgo por categoría y sus métricas de tolerancia de la sección 6.</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Se aprueban los umbrales de las secciones 7 y 8.</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Se aprueban los plazos de la sección 9.</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Se aprueban las líneas rojas de la sección 10.</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Se aprueba el presupuesto marco de la sección 11.</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Se aprueban los objetivos de seguimiento y la vigencia de la sección 12.</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Se aprueba la selección de indicadores de la sección 13.</w:t>
            </w:r>
          </w:p>
        </w:tc>
        <w:tc>
          <w:tcPr>
            <w:tcW w:w="3213" w:type="dxa"/>
          </w:tcPr>
          <w:p>
            <w:pPr>
              <w:pStyle w:val="Celda"/>
            </w:pPr>
          </w:p>
        </w:tc>
      </w:tr>
      <w:tr>
        <w:tc>
          <w:tcPr>
            <w:tcW w:w="3213" w:type="dxa"/>
          </w:tcPr>
          <w:p>
            <w:pPr>
              <w:pStyle w:val="Celda"/>
            </w:pPr>
            <w:r>
              <w:t xml:space="preserve">10</w:t>
            </w:r>
          </w:p>
        </w:tc>
        <w:tc>
          <w:tcPr>
            <w:tcW w:w="3213" w:type="dxa"/>
          </w:tcPr>
          <w:p>
            <w:pPr>
              <w:pStyle w:val="Celda"/>
            </w:pPr>
            <w:r>
              <w:t xml:space="preserve">Se aprueba la versión de umbrales de la sección 14.</w:t>
            </w:r>
          </w:p>
        </w:tc>
        <w:tc>
          <w:tcPr>
            <w:tcW w:w="3213" w:type="dxa"/>
          </w:tcPr>
          <w:p>
            <w:pPr>
              <w:pStyle w:val="Celda"/>
            </w:pPr>
          </w:p>
        </w:tc>
      </w:tr>
    </w:tbl>
    <w:p>
      <w:pPr>
        <w:pStyle w:val="Espacio"/>
      </w:pPr>
    </w:p>
    <w:p>
      <w:pPr>
        <w:pStyle w:val="Separador"/>
      </w:pPr>
    </w:p>
    <w:p>
      <w:pPr>
        <w:pStyle w:val="Heading1"/>
      </w:pPr>
      <w:r>
        <w:t xml:space="preserve">4. Tesis de IA</w:t>
      </w:r>
    </w:p>
    <w:p>
      <w:r>
        <w:t xml:space="preserve">Estructura y criterios de calidad en 13 §3. De dos a cuatro páginas; debe poder usarse para decir que no a una iniciativa.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Contexto</w:t>
            </w:r>
          </w:p>
        </w:tc>
        <w:tc>
          <w:tcPr>
            <w:tcW w:w="3213" w:type="dxa"/>
          </w:tcPr>
          <w:p>
            <w:pPr>
              <w:pStyle w:val="Celda"/>
            </w:pPr>
          </w:p>
        </w:tc>
        <w:tc>
          <w:tcPr>
            <w:tcW w:w="3213" w:type="dxa"/>
          </w:tcPr>
          <w:p>
            <w:pPr>
              <w:pStyle w:val="Celda"/>
            </w:pPr>
            <w:r>
              <w:t xml:space="preserve">Cómo cambia la IA las reglas del sector. ¿Por qué ahora?</w:t>
            </w:r>
          </w:p>
        </w:tc>
      </w:tr>
      <w:tr>
        <w:tc>
          <w:tcPr>
            <w:tcW w:w="3213" w:type="dxa"/>
          </w:tcPr>
          <w:p>
            <w:pPr>
              <w:pStyle w:val="Celda"/>
            </w:pPr>
            <w:r>
              <w:t xml:space="preserve">Papel de la IA en la estrategia</w:t>
            </w:r>
          </w:p>
        </w:tc>
        <w:tc>
          <w:tcPr>
            <w:tcW w:w="3213" w:type="dxa"/>
          </w:tcPr>
          <w:p>
            <w:pPr>
              <w:pStyle w:val="Celda"/>
            </w:pPr>
          </w:p>
        </w:tc>
        <w:tc>
          <w:tcPr>
            <w:tcW w:w="3213" w:type="dxa"/>
          </w:tcPr>
          <w:p>
            <w:pPr>
              <w:pStyle w:val="Celda"/>
            </w:pPr>
            <w:r>
              <w:t xml:space="preserve">Peso relativo de eficiencia, crecimiento y modelo operativo.</w:t>
            </w:r>
          </w:p>
        </w:tc>
      </w:tr>
      <w:tr>
        <w:tc>
          <w:tcPr>
            <w:tcW w:w="3213" w:type="dxa"/>
          </w:tcPr>
          <w:p>
            <w:pPr>
              <w:pStyle w:val="Celda"/>
            </w:pPr>
            <w:r>
              <w:t xml:space="preserve">Dónde jugamos</w:t>
            </w:r>
          </w:p>
        </w:tc>
        <w:tc>
          <w:tcPr>
            <w:tcW w:w="3213" w:type="dxa"/>
          </w:tcPr>
          <w:p>
            <w:pPr>
              <w:pStyle w:val="Celda"/>
            </w:pPr>
          </w:p>
        </w:tc>
        <w:tc>
          <w:tcPr>
            <w:tcW w:w="3213" w:type="dxa"/>
          </w:tcPr>
          <w:p>
            <w:pPr>
              <w:pStyle w:val="Celda"/>
            </w:pPr>
            <w:r>
              <w:t xml:space="preserve">Remite a la sección 5.</w:t>
            </w:r>
          </w:p>
        </w:tc>
      </w:tr>
      <w:tr>
        <w:tc>
          <w:tcPr>
            <w:tcW w:w="3213" w:type="dxa"/>
          </w:tcPr>
          <w:p>
            <w:pPr>
              <w:pStyle w:val="Celda"/>
            </w:pPr>
            <w:r>
              <w:t xml:space="preserve">Qué no haremos</w:t>
            </w:r>
          </w:p>
        </w:tc>
        <w:tc>
          <w:tcPr>
            <w:tcW w:w="3213" w:type="dxa"/>
          </w:tcPr>
          <w:p>
            <w:pPr>
              <w:pStyle w:val="Celda"/>
            </w:pPr>
          </w:p>
        </w:tc>
        <w:tc>
          <w:tcPr>
            <w:tcW w:w="3213" w:type="dxa"/>
          </w:tcPr>
          <w:p>
            <w:pPr>
              <w:pStyle w:val="Celda"/>
            </w:pPr>
            <w:r>
              <w:t xml:space="preserve">Al menos tres renuncias concretas.</w:t>
            </w:r>
          </w:p>
        </w:tc>
      </w:tr>
      <w:tr>
        <w:tc>
          <w:tcPr>
            <w:tcW w:w="3213" w:type="dxa"/>
          </w:tcPr>
          <w:p>
            <w:pPr>
              <w:pStyle w:val="Celda"/>
            </w:pPr>
            <w:r>
              <w:t xml:space="preserve">Posición sobre las personas</w:t>
            </w:r>
          </w:p>
        </w:tc>
        <w:tc>
          <w:tcPr>
            <w:tcW w:w="3213" w:type="dxa"/>
          </w:tcPr>
          <w:p>
            <w:pPr>
              <w:pStyle w:val="Celda"/>
            </w:pPr>
          </w:p>
        </w:tc>
        <w:tc>
          <w:tcPr>
            <w:tcW w:w="3213" w:type="dxa"/>
          </w:tcPr>
          <w:p>
            <w:pPr>
              <w:pStyle w:val="Celda"/>
            </w:pPr>
            <w:r>
              <w:t xml:space="preserve">Sustituir, aumentar o reorganizar, por ámbito, con compromisos.</w:t>
            </w:r>
          </w:p>
        </w:tc>
      </w:tr>
      <w:tr>
        <w:tc>
          <w:tcPr>
            <w:tcW w:w="3213" w:type="dxa"/>
          </w:tcPr>
          <w:p>
            <w:pPr>
              <w:pStyle w:val="Celda"/>
            </w:pPr>
            <w:r>
              <w:t xml:space="preserve">Condiciones habilitantes</w:t>
            </w:r>
          </w:p>
        </w:tc>
        <w:tc>
          <w:tcPr>
            <w:tcW w:w="3213" w:type="dxa"/>
          </w:tcPr>
          <w:p>
            <w:pPr>
              <w:pStyle w:val="Celda"/>
            </w:pPr>
          </w:p>
        </w:tc>
        <w:tc>
          <w:tcPr>
            <w:tcW w:w="3213" w:type="dxa"/>
          </w:tcPr>
          <w:p>
            <w:pPr>
              <w:pStyle w:val="Celda"/>
            </w:pPr>
            <w:r>
              <w:t xml:space="preserve">Datos, conocimiento, capacidades, plataforma, proveedores.</w:t>
            </w:r>
          </w:p>
        </w:tc>
      </w:tr>
      <w:tr>
        <w:tc>
          <w:tcPr>
            <w:tcW w:w="3213" w:type="dxa"/>
          </w:tcPr>
          <w:p>
            <w:pPr>
              <w:pStyle w:val="Celda"/>
            </w:pPr>
            <w:r>
              <w:t xml:space="preserve">Principios</w:t>
            </w:r>
          </w:p>
        </w:tc>
        <w:tc>
          <w:tcPr>
            <w:tcW w:w="3213" w:type="dxa"/>
          </w:tcPr>
          <w:p>
            <w:pPr>
              <w:pStyle w:val="Celda"/>
            </w:pPr>
          </w:p>
        </w:tc>
        <w:tc>
          <w:tcPr>
            <w:tcW w:w="3213" w:type="dxa"/>
          </w:tcPr>
          <w:p>
            <w:pPr>
              <w:pStyle w:val="Celda"/>
            </w:pPr>
            <w:r>
              <w:t xml:space="preserve">Remite a la política corporativa (documento 31).</w:t>
            </w:r>
          </w:p>
        </w:tc>
      </w:tr>
      <w:tr>
        <w:tc>
          <w:tcPr>
            <w:tcW w:w="3213" w:type="dxa"/>
          </w:tcPr>
          <w:p>
            <w:pPr>
              <w:pStyle w:val="Celda"/>
            </w:pPr>
            <w:r>
              <w:t xml:space="preserve">Cómo sabremos que funciona</w:t>
            </w:r>
          </w:p>
        </w:tc>
        <w:tc>
          <w:tcPr>
            <w:tcW w:w="3213" w:type="dxa"/>
          </w:tcPr>
          <w:p>
            <w:pPr>
              <w:pStyle w:val="Celda"/>
            </w:pPr>
          </w:p>
        </w:tc>
        <w:tc>
          <w:tcPr>
            <w:tcW w:w="3213" w:type="dxa"/>
          </w:tcPr>
          <w:p>
            <w:pPr>
              <w:pStyle w:val="Celda"/>
            </w:pPr>
            <w:r>
              <w:t xml:space="preserve">Perfil objetivo, madurez objetivo, valor validado y valor neto, con horizonte.</w:t>
            </w:r>
          </w:p>
        </w:tc>
      </w:tr>
    </w:tbl>
    <w:p>
      <w:pPr>
        <w:pStyle w:val="Espacio"/>
      </w:pPr>
    </w:p>
    <w:p>
      <w:pPr>
        <w:pStyle w:val="Separador"/>
      </w:pPr>
    </w:p>
    <w:p>
      <w:pPr>
        <w:pStyle w:val="Heading1"/>
      </w:pPr>
      <w:r>
        <w:t xml:space="preserve">5. Ambición por esfera</w:t>
      </w:r>
    </w:p>
    <w:p>
      <w:r>
        <w:t xml:space="preserve">Reglas en 13 §4.2. Como mucho tres esferas de prioridad alta; toda esfera con Transformar tiene sobre y candidata.</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Esfera</w:t>
            </w:r>
          </w:p>
        </w:tc>
        <w:tc>
          <w:tcPr>
            <w:tcW w:w="1377" w:type="dxa"/>
            <w:shd w:val="clear" w:color="auto" w:fill="F2DFCE"/>
          </w:tcPr>
          <w:p>
            <w:pPr>
              <w:pStyle w:val="Celda"/>
            </w:pPr>
            <w:r>
              <w:rPr>
                <w:b/>
              </w:rPr>
              <w:t xml:space="preserve">Prioridad (Alta · Media · Baja · No prioritaria)</w:t>
            </w:r>
          </w:p>
        </w:tc>
        <w:tc>
          <w:tcPr>
            <w:tcW w:w="1377" w:type="dxa"/>
            <w:shd w:val="clear" w:color="auto" w:fill="F2DFCE"/>
          </w:tcPr>
          <w:p>
            <w:pPr>
              <w:pStyle w:val="Celda"/>
            </w:pPr>
            <w:r>
              <w:rPr>
                <w:b/>
              </w:rPr>
              <w:t xml:space="preserve">Nivel alcanzado (C1)</w:t>
            </w:r>
          </w:p>
        </w:tc>
        <w:tc>
          <w:tcPr>
            <w:tcW w:w="1377" w:type="dxa"/>
            <w:shd w:val="clear" w:color="auto" w:fill="F2DFCE"/>
          </w:tcPr>
          <w:p>
            <w:pPr>
              <w:pStyle w:val="Celda"/>
            </w:pPr>
            <w:r>
              <w:rPr>
                <w:b/>
              </w:rPr>
              <w:t xml:space="preserve">Ambición objetivo</w:t>
            </w:r>
          </w:p>
        </w:tc>
        <w:tc>
          <w:tcPr>
            <w:tcW w:w="1377" w:type="dxa"/>
            <w:shd w:val="clear" w:color="auto" w:fill="F2DFCE"/>
          </w:tcPr>
          <w:p>
            <w:pPr>
              <w:pStyle w:val="Celda"/>
            </w:pPr>
            <w:r>
              <w:rPr>
                <w:b/>
              </w:rPr>
              <w:t xml:space="preserve">Horizonte (meses)</w:t>
            </w:r>
          </w:p>
        </w:tc>
        <w:tc>
          <w:tcPr>
            <w:tcW w:w="1377" w:type="dxa"/>
            <w:shd w:val="clear" w:color="auto" w:fill="F2DFCE"/>
          </w:tcPr>
          <w:p>
            <w:pPr>
              <w:pStyle w:val="Celda"/>
            </w:pPr>
            <w:r>
              <w:rPr>
                <w:b/>
              </w:rPr>
              <w:t xml:space="preserve">Indicador principal (actual → objetivo)</w:t>
            </w:r>
          </w:p>
        </w:tc>
        <w:tc>
          <w:tcPr>
            <w:tcW w:w="1377" w:type="dxa"/>
            <w:shd w:val="clear" w:color="auto" w:fill="F2DFCE"/>
          </w:tcPr>
          <w:p>
            <w:pPr>
              <w:pStyle w:val="Celda"/>
            </w:pPr>
            <w:r>
              <w:rPr>
                <w:b/>
              </w:rPr>
              <w:t xml:space="preserve">Responsable</w:t>
            </w:r>
          </w:p>
        </w:tc>
      </w:tr>
      <w:tr>
        <w:tc>
          <w:tcPr>
            <w:tcW w:w="1377" w:type="dxa"/>
          </w:tcPr>
          <w:p>
            <w:pPr>
              <w:pStyle w:val="Celda"/>
            </w:pPr>
            <w:r>
              <w:t xml:space="preserve">01 · Cliente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02 · Producto y servicio</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03 · Personas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04 · Operaciones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05 · Datos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06 · Conocimiento</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07 · Decisión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(ejemplo ilustrativo)</w:t>
            </w:r>
            <w:r>
              <w:t xml:space="preserve"> 04 · Operaciones</w:t>
            </w:r>
          </w:p>
        </w:tc>
        <w:tc>
          <w:tcPr>
            <w:tcW w:w="1377" w:type="dxa"/>
          </w:tcPr>
          <w:p>
            <w:pPr>
              <w:pStyle w:val="Celda"/>
            </w:pPr>
            <w:r>
              <w:t xml:space="preserve">Alta</w:t>
            </w:r>
          </w:p>
        </w:tc>
        <w:tc>
          <w:tcPr>
            <w:tcW w:w="1377" w:type="dxa"/>
          </w:tcPr>
          <w:p>
            <w:pPr>
              <w:pStyle w:val="Celda"/>
            </w:pPr>
            <w:r>
              <w:t xml:space="preserve">Optimizar</w:t>
            </w:r>
          </w:p>
        </w:tc>
        <w:tc>
          <w:tcPr>
            <w:tcW w:w="1377" w:type="dxa"/>
          </w:tcPr>
          <w:p>
            <w:pPr>
              <w:pStyle w:val="Celda"/>
            </w:pPr>
            <w:r>
              <w:t xml:space="preserve">Optimizar</w:t>
            </w:r>
          </w:p>
        </w:tc>
        <w:tc>
          <w:tcPr>
            <w:tcW w:w="1377" w:type="dxa"/>
          </w:tcPr>
          <w:p>
            <w:pPr>
              <w:pStyle w:val="Celda"/>
            </w:pPr>
            <w:r>
              <w:t xml:space="preserve">12</w:t>
            </w:r>
          </w:p>
        </w:tc>
        <w:tc>
          <w:tcPr>
            <w:tcW w:w="1377" w:type="dxa"/>
          </w:tcPr>
          <w:p>
            <w:pPr>
              <w:pStyle w:val="Celda"/>
            </w:pPr>
            <w:r>
              <w:t xml:space="preserve">IE04.06 Ahorro materializado validado: 1,80 M€ → 2,50 M€</w:t>
            </w:r>
          </w:p>
        </w:tc>
        <w:tc>
          <w:tcPr>
            <w:tcW w:w="1377" w:type="dxa"/>
          </w:tcPr>
          <w:p>
            <w:pPr>
              <w:pStyle w:val="Celda"/>
            </w:pPr>
            <w:r>
              <w:t xml:space="preserve">Director de operaciones</w:t>
            </w:r>
          </w:p>
        </w:tc>
      </w:tr>
    </w:tbl>
    <w:p>
      <w:pPr>
        <w:pStyle w:val="Espacio"/>
      </w:pPr>
    </w:p>
    <w:p>
      <w:r>
        <w:t xml:space="preserve">Para las esferas 08 y 09 se fija un grado, nunca un nivel de ambición.</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Esfera</w:t>
            </w:r>
          </w:p>
        </w:tc>
        <w:tc>
          <w:tcPr>
            <w:tcW w:w="1377" w:type="dxa"/>
            <w:shd w:val="clear" w:color="auto" w:fill="F2DFCE"/>
          </w:tcPr>
          <w:p>
            <w:pPr>
              <w:pStyle w:val="Celda"/>
            </w:pPr>
            <w:r>
              <w:rPr>
                <w:b/>
              </w:rPr>
              <w:t xml:space="preserve">Dimensión</w:t>
            </w:r>
          </w:p>
        </w:tc>
        <w:tc>
          <w:tcPr>
            <w:tcW w:w="1377" w:type="dxa"/>
            <w:shd w:val="clear" w:color="auto" w:fill="F2DFCE"/>
          </w:tcPr>
          <w:p>
            <w:pPr>
              <w:pStyle w:val="Celda"/>
            </w:pPr>
            <w:r>
              <w:rPr>
                <w:b/>
              </w:rPr>
              <w:t xml:space="preserve">Grado actual</w:t>
            </w:r>
          </w:p>
        </w:tc>
        <w:tc>
          <w:tcPr>
            <w:tcW w:w="1377" w:type="dxa"/>
            <w:shd w:val="clear" w:color="auto" w:fill="F2DFCE"/>
          </w:tcPr>
          <w:p>
            <w:pPr>
              <w:pStyle w:val="Celda"/>
            </w:pPr>
            <w:r>
              <w:rPr>
                <w:b/>
              </w:rPr>
              <w:t xml:space="preserve">Grado objetivo (Ausente · Básico · Sistemático · Avanzado)</w:t>
            </w:r>
          </w:p>
        </w:tc>
        <w:tc>
          <w:tcPr>
            <w:tcW w:w="1377" w:type="dxa"/>
            <w:shd w:val="clear" w:color="auto" w:fill="F2DFCE"/>
          </w:tcPr>
          <w:p>
            <w:pPr>
              <w:pStyle w:val="Celda"/>
            </w:pPr>
            <w:r>
              <w:rPr>
                <w:b/>
              </w:rPr>
              <w:t xml:space="preserve">Horizonte</w:t>
            </w:r>
          </w:p>
        </w:tc>
        <w:tc>
          <w:tcPr>
            <w:tcW w:w="1377" w:type="dxa"/>
            <w:shd w:val="clear" w:color="auto" w:fill="F2DFCE"/>
          </w:tcPr>
          <w:p>
            <w:pPr>
              <w:pStyle w:val="Celda"/>
            </w:pPr>
            <w:r>
              <w:rPr>
                <w:b/>
              </w:rPr>
              <w:t xml:space="preserve">Indicador</w:t>
            </w:r>
          </w:p>
        </w:tc>
        <w:tc>
          <w:tcPr>
            <w:tcW w:w="1377" w:type="dxa"/>
            <w:shd w:val="clear" w:color="auto" w:fill="F2DFCE"/>
          </w:tcPr>
          <w:p>
            <w:pPr>
              <w:pStyle w:val="Celda"/>
            </w:pPr>
            <w:r>
              <w:rPr>
                <w:b/>
              </w:rPr>
              <w:t xml:space="preserve">Responsable</w:t>
            </w:r>
          </w:p>
        </w:tc>
      </w:tr>
      <w:tr>
        <w:tc>
          <w:tcPr>
            <w:tcW w:w="1377" w:type="dxa"/>
          </w:tcPr>
          <w:p>
            <w:pPr>
              <w:pStyle w:val="Celda"/>
            </w:pPr>
            <w:r>
              <w:t xml:space="preserve">08</w:t>
            </w:r>
          </w:p>
        </w:tc>
        <w:tc>
          <w:tcPr>
            <w:tcW w:w="1377" w:type="dxa"/>
          </w:tcPr>
          <w:p>
            <w:pPr>
              <w:pStyle w:val="Celda"/>
            </w:pPr>
            <w:r>
              <w:t xml:space="preserve">Cumplimiento</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08</w:t>
            </w:r>
          </w:p>
        </w:tc>
        <w:tc>
          <w:tcPr>
            <w:tcW w:w="1377" w:type="dxa"/>
          </w:tcPr>
          <w:p>
            <w:pPr>
              <w:pStyle w:val="Celda"/>
            </w:pPr>
            <w:r>
              <w:t xml:space="preserve">Anticipación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08</w:t>
            </w:r>
          </w:p>
        </w:tc>
        <w:tc>
          <w:tcPr>
            <w:tcW w:w="1377" w:type="dxa"/>
          </w:tcPr>
          <w:p>
            <w:pPr>
              <w:pStyle w:val="Celda"/>
            </w:pPr>
            <w:r>
              <w:t xml:space="preserve">Liderazgo ético</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09</w:t>
            </w:r>
          </w:p>
        </w:tc>
        <w:tc>
          <w:tcPr>
            <w:tcW w:w="1377" w:type="dxa"/>
          </w:tcPr>
          <w:p>
            <w:pPr>
              <w:pStyle w:val="Celda"/>
            </w:pPr>
            <w:r>
              <w:t xml:space="preserve">Estructura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09</w:t>
            </w:r>
          </w:p>
        </w:tc>
        <w:tc>
          <w:tcPr>
            <w:tcW w:w="1377" w:type="dxa"/>
          </w:tcPr>
          <w:p>
            <w:pPr>
              <w:pStyle w:val="Celda"/>
            </w:pPr>
            <w:r>
              <w:t xml:space="preserve">Velocidad y control</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09</w:t>
            </w:r>
          </w:p>
        </w:tc>
        <w:tc>
          <w:tcPr>
            <w:tcW w:w="1377" w:type="dxa"/>
          </w:tcPr>
          <w:p>
            <w:pPr>
              <w:pStyle w:val="Celda"/>
            </w:pPr>
            <w:r>
              <w:t xml:space="preserve">Ecosistema de proveedores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6. Apetito de riesgo</w:t>
      </w:r>
    </w:p>
    <w:p>
      <w:pPr>
        <w:pStyle w:val="Heading2"/>
      </w:pPr>
      <w:r>
        <w:t xml:space="preserve">6.1 Grado y declaración por categoría</w:t>
      </w:r>
    </w:p>
    <w:p>
      <w:r>
        <w:t xml:space="preserve">Grados de 13 §5.2: </w:t>
      </w:r>
      <w:r>
        <w:rPr>
          <w:b/>
        </w:rPr>
        <w:t xml:space="preserve">Averso · Cauteloso · Moderado · Abierto</w:t>
      </w:r>
      <w:r>
        <w:t xml:space="preserve">. Grados de partida recomendados en 13 §5.3. La aceptación excepcional de un riesgo Crítico que permite el grado Abierto no se admite en LEG ni en SEG (13 §5.2).</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Código</w:t>
            </w:r>
          </w:p>
        </w:tc>
        <w:tc>
          <w:tcPr>
            <w:tcW w:w="1928" w:type="dxa"/>
            <w:shd w:val="clear" w:color="auto" w:fill="F2DFCE"/>
          </w:tcPr>
          <w:p>
            <w:pPr>
              <w:pStyle w:val="Celda"/>
            </w:pPr>
            <w:r>
              <w:rPr>
                <w:b/>
              </w:rPr>
              <w:t xml:space="preserve">Categoría</w:t>
            </w:r>
          </w:p>
        </w:tc>
        <w:tc>
          <w:tcPr>
            <w:tcW w:w="1928" w:type="dxa"/>
            <w:shd w:val="clear" w:color="auto" w:fill="F2DFCE"/>
          </w:tcPr>
          <w:p>
            <w:pPr>
              <w:pStyle w:val="Celda"/>
            </w:pPr>
            <w:r>
              <w:rPr>
                <w:b/>
              </w:rPr>
              <w:t xml:space="preserve">Grado</w:t>
            </w:r>
          </w:p>
        </w:tc>
        <w:tc>
          <w:tcPr>
            <w:tcW w:w="1928" w:type="dxa"/>
            <w:shd w:val="clear" w:color="auto" w:fill="F2DFCE"/>
          </w:tcPr>
          <w:p>
            <w:pPr>
              <w:pStyle w:val="Celda"/>
            </w:pPr>
            <w:r>
              <w:rPr>
                <w:b/>
              </w:rPr>
              <w:t xml:space="preserve">Declaración</w:t>
            </w:r>
          </w:p>
        </w:tc>
        <w:tc>
          <w:tcPr>
            <w:tcW w:w="1928" w:type="dxa"/>
            <w:shd w:val="clear" w:color="auto" w:fill="F2DFCE"/>
          </w:tcPr>
          <w:p>
            <w:pPr>
              <w:pStyle w:val="Celda"/>
            </w:pPr>
            <w:r>
              <w:rPr>
                <w:b/>
              </w:rPr>
              <w:t xml:space="preserve">Responsable</w:t>
            </w:r>
          </w:p>
        </w:tc>
      </w:tr>
      <w:tr>
        <w:tc>
          <w:tcPr>
            <w:tcW w:w="1928" w:type="dxa"/>
          </w:tcPr>
          <w:p>
            <w:pPr>
              <w:pStyle w:val="Celda"/>
            </w:pPr>
            <w:r>
              <w:t xml:space="preserve">EST</w:t>
            </w:r>
          </w:p>
        </w:tc>
        <w:tc>
          <w:tcPr>
            <w:tcW w:w="1928" w:type="dxa"/>
          </w:tcPr>
          <w:p>
            <w:pPr>
              <w:pStyle w:val="Celda"/>
            </w:pPr>
            <w:r>
              <w:t xml:space="preserve">Estratégico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TEC</w:t>
            </w:r>
          </w:p>
        </w:tc>
        <w:tc>
          <w:tcPr>
            <w:tcW w:w="1928" w:type="dxa"/>
          </w:tcPr>
          <w:p>
            <w:pPr>
              <w:pStyle w:val="Celda"/>
            </w:pPr>
            <w:r>
              <w:t xml:space="preserve">Técnico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DAT</w:t>
            </w:r>
          </w:p>
        </w:tc>
        <w:tc>
          <w:tcPr>
            <w:tcW w:w="1928" w:type="dxa"/>
          </w:tcPr>
          <w:p>
            <w:pPr>
              <w:pStyle w:val="Celda"/>
            </w:pPr>
            <w:r>
              <w:t xml:space="preserve">Datos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ECO</w:t>
            </w:r>
          </w:p>
        </w:tc>
        <w:tc>
          <w:tcPr>
            <w:tcW w:w="1928" w:type="dxa"/>
          </w:tcPr>
          <w:p>
            <w:pPr>
              <w:pStyle w:val="Celda"/>
            </w:pPr>
            <w:r>
              <w:t xml:space="preserve">Económico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LEG</w:t>
            </w:r>
          </w:p>
        </w:tc>
        <w:tc>
          <w:tcPr>
            <w:tcW w:w="1928" w:type="dxa"/>
          </w:tcPr>
          <w:p>
            <w:pPr>
              <w:pStyle w:val="Celda"/>
            </w:pPr>
            <w:r>
              <w:t xml:space="preserve">Legal y cumplimiento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ORG</w:t>
            </w:r>
          </w:p>
        </w:tc>
        <w:tc>
          <w:tcPr>
            <w:tcW w:w="1928" w:type="dxa"/>
          </w:tcPr>
          <w:p>
            <w:pPr>
              <w:pStyle w:val="Celda"/>
            </w:pPr>
            <w:r>
              <w:t xml:space="preserve">Organizativo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REP</w:t>
            </w:r>
          </w:p>
        </w:tc>
        <w:tc>
          <w:tcPr>
            <w:tcW w:w="1928" w:type="dxa"/>
          </w:tcPr>
          <w:p>
            <w:pPr>
              <w:pStyle w:val="Celda"/>
            </w:pPr>
            <w:r>
              <w:t xml:space="preserve">Reputacional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GEN</w:t>
            </w:r>
          </w:p>
        </w:tc>
        <w:tc>
          <w:tcPr>
            <w:tcW w:w="1928" w:type="dxa"/>
          </w:tcPr>
          <w:p>
            <w:pPr>
              <w:pStyle w:val="Celda"/>
            </w:pPr>
            <w:r>
              <w:t xml:space="preserve">IA generativa y agentes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SEG</w:t>
            </w:r>
          </w:p>
        </w:tc>
        <w:tc>
          <w:tcPr>
            <w:tcW w:w="1928" w:type="dxa"/>
          </w:tcPr>
          <w:p>
            <w:pPr>
              <w:pStyle w:val="Celda"/>
            </w:pPr>
            <w:r>
              <w:t xml:space="preserve">Seguridad e IA ofensiva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TER</w:t>
            </w:r>
          </w:p>
        </w:tc>
        <w:tc>
          <w:tcPr>
            <w:tcW w:w="1928" w:type="dxa"/>
          </w:tcPr>
          <w:p>
            <w:pPr>
              <w:pStyle w:val="Celda"/>
            </w:pPr>
            <w:r>
              <w:t xml:space="preserve">Terceros</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Heading2"/>
      </w:pPr>
      <w:r>
        <w:t xml:space="preserve">6.2 Métricas de tolerancia</w:t>
      </w:r>
    </w:p>
    <w:p>
      <w:r>
        <w:t xml:space="preserve">Al menos una métrica por categoría, con fórmula, tolerancia (ámbar) y límite (rojo). Catálogo de partida en 13 §5.3; escalado en 13 §5.5. «—» en ámbar indica tolerancia cero.</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Categoría</w:t>
            </w:r>
          </w:p>
        </w:tc>
        <w:tc>
          <w:tcPr>
            <w:tcW w:w="1377" w:type="dxa"/>
            <w:shd w:val="clear" w:color="auto" w:fill="F2DFCE"/>
          </w:tcPr>
          <w:p>
            <w:pPr>
              <w:pStyle w:val="Celda"/>
            </w:pPr>
            <w:r>
              <w:rPr>
                <w:b/>
              </w:rPr>
              <w:t xml:space="preserve">Métrica</w:t>
            </w:r>
          </w:p>
        </w:tc>
        <w:tc>
          <w:tcPr>
            <w:tcW w:w="1377" w:type="dxa"/>
            <w:shd w:val="clear" w:color="auto" w:fill="F2DFCE"/>
          </w:tcPr>
          <w:p>
            <w:pPr>
              <w:pStyle w:val="Celda"/>
            </w:pPr>
            <w:r>
              <w:rPr>
                <w:b/>
              </w:rPr>
              <w:t xml:space="preserve">Fórmula</w:t>
            </w:r>
          </w:p>
        </w:tc>
        <w:tc>
          <w:tcPr>
            <w:tcW w:w="1377" w:type="dxa"/>
            <w:shd w:val="clear" w:color="auto" w:fill="F2DFCE"/>
          </w:tcPr>
          <w:p>
            <w:pPr>
              <w:pStyle w:val="Celda"/>
            </w:pPr>
            <w:r>
              <w:rPr>
                <w:b/>
              </w:rPr>
              <w:t xml:space="preserve">Tolerancia (ámbar)</w:t>
            </w:r>
          </w:p>
        </w:tc>
        <w:tc>
          <w:tcPr>
            <w:tcW w:w="1377" w:type="dxa"/>
            <w:shd w:val="clear" w:color="auto" w:fill="F2DFCE"/>
          </w:tcPr>
          <w:p>
            <w:pPr>
              <w:pStyle w:val="Celda"/>
            </w:pPr>
            <w:r>
              <w:rPr>
                <w:b/>
              </w:rPr>
              <w:t xml:space="preserve">Límite (rojo)</w:t>
            </w:r>
          </w:p>
        </w:tc>
        <w:tc>
          <w:tcPr>
            <w:tcW w:w="1377" w:type="dxa"/>
            <w:shd w:val="clear" w:color="auto" w:fill="F2DFCE"/>
          </w:tcPr>
          <w:p>
            <w:pPr>
              <w:pStyle w:val="Celda"/>
            </w:pPr>
            <w:r>
              <w:rPr>
                <w:b/>
              </w:rPr>
              <w:t xml:space="preserve">Fuente</w:t>
            </w:r>
          </w:p>
        </w:tc>
        <w:tc>
          <w:tcPr>
            <w:tcW w:w="1377" w:type="dxa"/>
            <w:shd w:val="clear" w:color="auto" w:fill="F2DFCE"/>
          </w:tcPr>
          <w:p>
            <w:pPr>
              <w:pStyle w:val="Celda"/>
            </w:pPr>
            <w:r>
              <w:rPr>
                <w:b/>
              </w:rPr>
              <w:t xml:space="preserve">Frecuencia</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(ejemplo ilustrativo)</w:t>
            </w:r>
            <w:r>
              <w:t xml:space="preserve"> TER</w:t>
            </w:r>
          </w:p>
        </w:tc>
        <w:tc>
          <w:tcPr>
            <w:tcW w:w="1377" w:type="dxa"/>
          </w:tcPr>
          <w:p>
            <w:pPr>
              <w:pStyle w:val="Celda"/>
            </w:pPr>
            <w:r>
              <w:t xml:space="preserve">Concentración de proveedor</w:t>
            </w:r>
          </w:p>
        </w:tc>
        <w:tc>
          <w:tcPr>
            <w:tcW w:w="1377" w:type="dxa"/>
          </w:tcPr>
          <w:p>
            <w:pPr>
              <w:pStyle w:val="Celda"/>
            </w:pPr>
            <w:r>
              <w:t xml:space="preserve">Gasto en el proveedor principal de modelos ÷ gasto total en modelos × 100</w:t>
            </w:r>
          </w:p>
        </w:tc>
        <w:tc>
          <w:tcPr>
            <w:tcW w:w="1377" w:type="dxa"/>
          </w:tcPr>
          <w:p>
            <w:pPr>
              <w:pStyle w:val="Celda"/>
            </w:pPr>
            <w:r>
              <w:t xml:space="preserve">&gt; 60 %</w:t>
            </w:r>
          </w:p>
        </w:tc>
        <w:tc>
          <w:tcPr>
            <w:tcW w:w="1377" w:type="dxa"/>
          </w:tcPr>
          <w:p>
            <w:pPr>
              <w:pStyle w:val="Celda"/>
            </w:pPr>
            <w:r>
              <w:t xml:space="preserve">&gt; 80 %</w:t>
            </w:r>
          </w:p>
        </w:tc>
        <w:tc>
          <w:tcPr>
            <w:tcW w:w="1377" w:type="dxa"/>
          </w:tcPr>
          <w:p>
            <w:pPr>
              <w:pStyle w:val="Celda"/>
            </w:pPr>
            <w:r>
              <w:t xml:space="preserve">T09, T13</w:t>
            </w:r>
          </w:p>
        </w:tc>
        <w:tc>
          <w:tcPr>
            <w:tcW w:w="1377" w:type="dxa"/>
          </w:tcPr>
          <w:p>
            <w:pPr>
              <w:pStyle w:val="Celda"/>
            </w:pPr>
            <w:r>
              <w:t xml:space="preserve">Trimestral</w:t>
            </w:r>
          </w:p>
        </w:tc>
      </w:tr>
    </w:tbl>
    <w:p>
      <w:pPr>
        <w:pStyle w:val="Espacio"/>
      </w:pPr>
    </w:p>
    <w:p>
      <w:pPr>
        <w:pStyle w:val="Separador"/>
      </w:pPr>
    </w:p>
    <w:p>
      <w:pPr>
        <w:pStyle w:val="Heading1"/>
      </w:pPr>
      <w:r>
        <w:t xml:space="preserve">7. Umbrales económicos</w:t>
      </w:r>
    </w:p>
    <w:p>
      <w:pPr>
        <w:pStyle w:val="Heading2"/>
      </w:pPr>
      <w:r>
        <w:t xml:space="preserve">7.1 Umbrales de impacto económico</w:t>
      </w:r>
    </w:p>
    <w:p>
      <w:r>
        <w:t xml:space="preserve">Proporcionados al tamaño sobre una magnitud de referencia estable (13 §5.4). Los usa la matriz de riesgos (P12, T06).</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Magnitud de referencia y valor</w:t>
            </w:r>
          </w:p>
        </w:tc>
        <w:tc>
          <w:tcPr>
            <w:tcW w:w="3213" w:type="dxa"/>
          </w:tcPr>
          <w:p>
            <w:pPr>
              <w:pStyle w:val="Celda"/>
            </w:pPr>
          </w:p>
        </w:tc>
        <w:tc>
          <w:tcPr>
            <w:tcW w:w="3213" w:type="dxa"/>
          </w:tcPr>
          <w:p>
            <w:pPr>
              <w:pStyle w:val="Celda"/>
            </w:pPr>
            <w:r>
              <w:t xml:space="preserve">EBITDA, ingresos, recursos propios o presupuesto; ejercicio de referencia.</w:t>
            </w:r>
          </w:p>
        </w:tc>
      </w:tr>
      <w:tr>
        <w:tc>
          <w:tcPr>
            <w:tcW w:w="3213" w:type="dxa"/>
          </w:tcPr>
          <w:p>
            <w:pPr>
              <w:pStyle w:val="Celda"/>
            </w:pPr>
            <w:r>
              <w:t xml:space="preserve">Impacto 1 · Insignificante</w:t>
            </w:r>
          </w:p>
        </w:tc>
        <w:tc>
          <w:tcPr>
            <w:tcW w:w="3213" w:type="dxa"/>
          </w:tcPr>
          <w:p>
            <w:pPr>
              <w:pStyle w:val="Celda"/>
            </w:pPr>
          </w:p>
        </w:tc>
        <w:tc>
          <w:tcPr>
            <w:tcW w:w="3213" w:type="dxa"/>
          </w:tcPr>
          <w:p>
            <w:pPr>
              <w:pStyle w:val="Celda"/>
            </w:pPr>
            <w:r>
              <w:t xml:space="preserve">Proporción y euros.</w:t>
            </w:r>
          </w:p>
        </w:tc>
      </w:tr>
      <w:tr>
        <w:tc>
          <w:tcPr>
            <w:tcW w:w="3213" w:type="dxa"/>
          </w:tcPr>
          <w:p>
            <w:pPr>
              <w:pStyle w:val="Celda"/>
            </w:pPr>
            <w:r>
              <w:t xml:space="preserve">Impacto 2 · Menor</w:t>
            </w:r>
          </w:p>
        </w:tc>
        <w:tc>
          <w:tcPr>
            <w:tcW w:w="3213" w:type="dxa"/>
          </w:tcPr>
          <w:p>
            <w:pPr>
              <w:pStyle w:val="Celda"/>
            </w:pPr>
          </w:p>
        </w:tc>
        <w:tc>
          <w:tcPr>
            <w:tcW w:w="3213" w:type="dxa"/>
          </w:tcPr>
          <w:p>
            <w:pPr>
              <w:pStyle w:val="Celda"/>
            </w:pPr>
          </w:p>
        </w:tc>
      </w:tr>
      <w:tr>
        <w:tc>
          <w:tcPr>
            <w:tcW w:w="3213" w:type="dxa"/>
          </w:tcPr>
          <w:p>
            <w:pPr>
              <w:pStyle w:val="Celda"/>
            </w:pPr>
            <w:r>
              <w:t xml:space="preserve">Impacto 3 · Moderado</w:t>
            </w:r>
          </w:p>
        </w:tc>
        <w:tc>
          <w:tcPr>
            <w:tcW w:w="3213" w:type="dxa"/>
          </w:tcPr>
          <w:p>
            <w:pPr>
              <w:pStyle w:val="Celda"/>
            </w:pPr>
          </w:p>
        </w:tc>
        <w:tc>
          <w:tcPr>
            <w:tcW w:w="3213" w:type="dxa"/>
          </w:tcPr>
          <w:p>
            <w:pPr>
              <w:pStyle w:val="Celda"/>
            </w:pPr>
          </w:p>
        </w:tc>
      </w:tr>
      <w:tr>
        <w:tc>
          <w:tcPr>
            <w:tcW w:w="3213" w:type="dxa"/>
          </w:tcPr>
          <w:p>
            <w:pPr>
              <w:pStyle w:val="Celda"/>
            </w:pPr>
            <w:r>
              <w:t xml:space="preserve">Impacto 4 · Grave</w:t>
            </w:r>
          </w:p>
        </w:tc>
        <w:tc>
          <w:tcPr>
            <w:tcW w:w="3213" w:type="dxa"/>
          </w:tcPr>
          <w:p>
            <w:pPr>
              <w:pStyle w:val="Celda"/>
            </w:pPr>
          </w:p>
        </w:tc>
        <w:tc>
          <w:tcPr>
            <w:tcW w:w="3213" w:type="dxa"/>
          </w:tcPr>
          <w:p>
            <w:pPr>
              <w:pStyle w:val="Celda"/>
            </w:pPr>
          </w:p>
        </w:tc>
      </w:tr>
      <w:tr>
        <w:tc>
          <w:tcPr>
            <w:tcW w:w="3213" w:type="dxa"/>
          </w:tcPr>
          <w:p>
            <w:pPr>
              <w:pStyle w:val="Celda"/>
            </w:pPr>
            <w:r>
              <w:t xml:space="preserve">Impacto 5 · Crítico</w:t>
            </w:r>
          </w:p>
        </w:tc>
        <w:tc>
          <w:tcPr>
            <w:tcW w:w="3213" w:type="dxa"/>
          </w:tcPr>
          <w:p>
            <w:pPr>
              <w:pStyle w:val="Celda"/>
            </w:pPr>
          </w:p>
        </w:tc>
        <w:tc>
          <w:tcPr>
            <w:tcW w:w="3213" w:type="dxa"/>
          </w:tcPr>
          <w:p>
            <w:pPr>
              <w:pStyle w:val="Celda"/>
            </w:pPr>
          </w:p>
        </w:tc>
      </w:tr>
    </w:tbl>
    <w:p>
      <w:pPr>
        <w:pStyle w:val="Espacio"/>
      </w:pPr>
    </w:p>
    <w:p>
      <w:pPr>
        <w:pStyle w:val="Heading2"/>
      </w:pPr>
      <w:r>
        <w:t xml:space="preserve">7.2 Umbrales de inversión y materialidad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Umbral de inversión Enterprise</w:t>
            </w:r>
          </w:p>
        </w:tc>
        <w:tc>
          <w:tcPr>
            <w:tcW w:w="3213" w:type="dxa"/>
          </w:tcPr>
          <w:p>
            <w:pPr>
              <w:pStyle w:val="Celda"/>
            </w:pPr>
          </w:p>
        </w:tc>
        <w:tc>
          <w:tcPr>
            <w:tcW w:w="3213" w:type="dxa"/>
          </w:tcPr>
          <w:p>
            <w:pPr>
              <w:pStyle w:val="Celda"/>
            </w:pPr>
            <w:r>
              <w:t xml:space="preserve">Coste total a tres años; valor orientativo 0,5 % del EBITDA (13 §6). Fragmentar para quedar por debajo es no conformidad mayor.</w:t>
            </w:r>
          </w:p>
        </w:tc>
      </w:tr>
      <w:tr>
        <w:tc>
          <w:tcPr>
            <w:tcW w:w="3213" w:type="dxa"/>
          </w:tcPr>
          <w:p>
            <w:pPr>
              <w:pStyle w:val="Celda"/>
            </w:pPr>
            <w:r>
              <w:t xml:space="preserve">Materialidad para información individual al consejo</w:t>
            </w:r>
          </w:p>
        </w:tc>
        <w:tc>
          <w:tcPr>
            <w:tcW w:w="3213" w:type="dxa"/>
          </w:tcPr>
          <w:p>
            <w:pPr>
              <w:pStyle w:val="Celda"/>
            </w:pPr>
          </w:p>
        </w:tc>
        <w:tc>
          <w:tcPr>
            <w:tcW w:w="3213" w:type="dxa"/>
          </w:tcPr>
          <w:p>
            <w:pPr>
              <w:pStyle w:val="Celda"/>
            </w:pPr>
            <w:r>
              <w:t xml:space="preserve">Valor orientativo 2 % del EBITDA.</w:t>
            </w:r>
          </w:p>
        </w:tc>
      </w:tr>
      <w:tr>
        <w:tc>
          <w:tcPr>
            <w:tcW w:w="3213" w:type="dxa"/>
          </w:tcPr>
          <w:p>
            <w:pPr>
              <w:pStyle w:val="Celda"/>
            </w:pPr>
            <w:r>
              <w:t xml:space="preserve">Umbral de aprobación del consejo por importe </w:t>
            </w:r>
            <w:r>
              <w:rPr>
                <w:b/>
              </w:rPr>
              <w:t xml:space="preserve">(Enterprise)</w:t>
            </w:r>
          </w:p>
        </w:tc>
        <w:tc>
          <w:tcPr>
            <w:tcW w:w="3213" w:type="dxa"/>
          </w:tcPr>
          <w:p>
            <w:pPr>
              <w:pStyle w:val="Celda"/>
            </w:pPr>
          </w:p>
        </w:tc>
        <w:tc>
          <w:tcPr>
            <w:tcW w:w="3213" w:type="dxa"/>
          </w:tcPr>
          <w:p>
            <w:pPr>
              <w:pStyle w:val="Celda"/>
            </w:pPr>
            <w:r>
              <w:t xml:space="preserve">Opcional, según reglas de delegación.</w:t>
            </w:r>
          </w:p>
        </w:tc>
      </w:tr>
      <w:tr>
        <w:tc>
          <w:tcPr>
            <w:tcW w:w="3213" w:type="dxa"/>
          </w:tcPr>
          <w:p>
            <w:pPr>
              <w:pStyle w:val="Celda"/>
            </w:pPr>
            <w:r>
              <w:t xml:space="preserve">Escala mínima en producción (B3)</w:t>
            </w:r>
          </w:p>
        </w:tc>
        <w:tc>
          <w:tcPr>
            <w:tcW w:w="3213" w:type="dxa"/>
          </w:tcPr>
          <w:p>
            <w:pPr>
              <w:pStyle w:val="Celda"/>
            </w:pPr>
          </w:p>
        </w:tc>
        <w:tc>
          <w:tcPr>
            <w:tcW w:w="3213" w:type="dxa"/>
          </w:tcPr>
          <w:p>
            <w:pPr>
              <w:pStyle w:val="Celda"/>
            </w:pPr>
            <w:r>
              <w:t xml:space="preserve">Valor orientativo 5.</w:t>
            </w:r>
          </w:p>
        </w:tc>
      </w:tr>
    </w:tbl>
    <w:p>
      <w:pPr>
        <w:pStyle w:val="Espacio"/>
      </w:pPr>
    </w:p>
    <w:p>
      <w:pPr>
        <w:pStyle w:val="Separador"/>
      </w:pPr>
    </w:p>
    <w:p>
      <w:pPr>
        <w:pStyle w:val="Heading1"/>
      </w:pPr>
      <w:r>
        <w:t xml:space="preserve">8. Horizonte de retorno y equilibrio de cartera</w:t>
      </w:r>
    </w:p>
    <w:p>
      <w:pPr>
        <w:pStyle w:val="Heading2"/>
      </w:pPr>
      <w:r>
        <w:t xml:space="preserve">8.1 Horizonte de retorno</w:t>
      </w:r>
    </w:p>
    <w:p>
      <w:r>
        <w:t xml:space="preserve">Valores orientativos y definiciones en 13 §7 y documento 40. En G3 el único criterio económico de viabilidad es VAN ≥ 0 con el horizonte y la tasa aquí fijados.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Nivel</w:t>
            </w:r>
          </w:p>
        </w:tc>
        <w:tc>
          <w:tcPr>
            <w:tcW w:w="2410" w:type="dxa"/>
            <w:shd w:val="clear" w:color="auto" w:fill="F2DFCE"/>
          </w:tcPr>
          <w:p>
            <w:pPr>
              <w:pStyle w:val="Celda"/>
            </w:pPr>
            <w:r>
              <w:rPr>
                <w:b/>
              </w:rPr>
              <w:t xml:space="preserve">Criterio en G3</w:t>
            </w:r>
          </w:p>
        </w:tc>
        <w:tc>
          <w:tcPr>
            <w:tcW w:w="2410" w:type="dxa"/>
            <w:shd w:val="clear" w:color="auto" w:fill="F2DFCE"/>
          </w:tcPr>
          <w:p>
            <w:pPr>
              <w:pStyle w:val="Celda"/>
            </w:pPr>
            <w:r>
              <w:rPr>
                <w:b/>
              </w:rPr>
              <w:t xml:space="preserve">Plazo en G7</w:t>
            </w:r>
          </w:p>
        </w:tc>
        <w:tc>
          <w:tcPr>
            <w:tcW w:w="2410" w:type="dxa"/>
            <w:shd w:val="clear" w:color="auto" w:fill="F2DFCE"/>
          </w:tcPr>
          <w:p>
            <w:pPr>
              <w:pStyle w:val="Celda"/>
            </w:pPr>
            <w:r>
              <w:rPr>
                <w:b/>
              </w:rPr>
              <w:t xml:space="preserve">Guía</w:t>
            </w:r>
          </w:p>
        </w:tc>
      </w:tr>
      <w:tr>
        <w:tc>
          <w:tcPr>
            <w:tcW w:w="2410" w:type="dxa"/>
          </w:tcPr>
          <w:p>
            <w:pPr>
              <w:pStyle w:val="Celda"/>
            </w:pPr>
            <w:r>
              <w:t xml:space="preserve">Optimizar</w:t>
            </w:r>
          </w:p>
        </w:tc>
        <w:tc>
          <w:tcPr>
            <w:tcW w:w="2410" w:type="dxa"/>
          </w:tcPr>
          <w:p>
            <w:pPr>
              <w:pStyle w:val="Celda"/>
            </w:pPr>
          </w:p>
        </w:tc>
        <w:tc>
          <w:tcPr>
            <w:tcW w:w="2410" w:type="dxa"/>
          </w:tcPr>
          <w:p>
            <w:pPr>
              <w:pStyle w:val="Celda"/>
            </w:pPr>
          </w:p>
        </w:tc>
        <w:tc>
          <w:tcPr>
            <w:tcW w:w="2410" w:type="dxa"/>
          </w:tcPr>
          <w:p>
            <w:pPr>
              <w:pStyle w:val="Celda"/>
            </w:pPr>
            <w:r>
              <w:t xml:space="preserve">Valores orientativos de 13 §7.</w:t>
            </w:r>
          </w:p>
        </w:tc>
      </w:tr>
      <w:tr>
        <w:tc>
          <w:tcPr>
            <w:tcW w:w="2410" w:type="dxa"/>
          </w:tcPr>
          <w:p>
            <w:pPr>
              <w:pStyle w:val="Celda"/>
            </w:pPr>
            <w:r>
              <w:t xml:space="preserve">Aumentar</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Transformar</w:t>
            </w:r>
          </w:p>
        </w:tc>
        <w:tc>
          <w:tcPr>
            <w:tcW w:w="2410" w:type="dxa"/>
          </w:tcPr>
          <w:p>
            <w:pPr>
              <w:pStyle w:val="Celda"/>
            </w:pPr>
          </w:p>
        </w:tc>
        <w:tc>
          <w:tcPr>
            <w:tcW w:w="2410" w:type="dxa"/>
          </w:tcPr>
          <w:p>
            <w:pPr>
              <w:pStyle w:val="Celda"/>
            </w:pPr>
          </w:p>
        </w:tc>
        <w:tc>
          <w:tcPr>
            <w:tcW w:w="2410" w:type="dxa"/>
          </w:tcPr>
          <w:p>
            <w:pPr>
              <w:pStyle w:val="Celda"/>
            </w:pPr>
            <w:r>
              <w:t xml:space="preserve">Límite de la primera etapa y frecuencia de hitos.</w:t>
            </w:r>
          </w:p>
        </w:tc>
      </w:tr>
      <w:tr>
        <w:tc>
          <w:tcPr>
            <w:tcW w:w="2410" w:type="dxa"/>
          </w:tcPr>
          <w:p>
            <w:pPr>
              <w:pStyle w:val="Celda"/>
            </w:pPr>
            <w:r>
              <w:t xml:space="preserve">Horizonte y tasa para el VAN</w:t>
            </w:r>
          </w:p>
        </w:tc>
        <w:tc>
          <w:tcPr>
            <w:tcW w:w="2410" w:type="dxa"/>
          </w:tcPr>
          <w:p>
            <w:pPr>
              <w:pStyle w:val="Celda"/>
            </w:pPr>
          </w:p>
        </w:tc>
        <w:tc>
          <w:tcPr>
            <w:tcW w:w="2410" w:type="dxa"/>
          </w:tcPr>
          <w:p>
            <w:pPr>
              <w:pStyle w:val="Celda"/>
            </w:pPr>
            <w:r>
              <w:t xml:space="preserve">—</w:t>
            </w:r>
          </w:p>
        </w:tc>
        <w:tc>
          <w:tcPr>
            <w:tcW w:w="2410" w:type="dxa"/>
          </w:tcPr>
          <w:p>
            <w:pPr>
              <w:pStyle w:val="Celda"/>
            </w:pPr>
            <w:r>
              <w:t xml:space="preserve">Documento 40.</w:t>
            </w:r>
          </w:p>
        </w:tc>
      </w:tr>
    </w:tbl>
    <w:p>
      <w:pPr>
        <w:pStyle w:val="Espacio"/>
      </w:pPr>
    </w:p>
    <w:p>
      <w:pPr>
        <w:pStyle w:val="Heading2"/>
      </w:pPr>
      <w:r>
        <w:t xml:space="preserve">8.2 Equilibrio objetivo de cartera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Postura</w:t>
            </w:r>
          </w:p>
        </w:tc>
        <w:tc>
          <w:tcPr>
            <w:tcW w:w="3213" w:type="dxa"/>
          </w:tcPr>
          <w:p>
            <w:pPr>
              <w:pStyle w:val="Celda"/>
            </w:pPr>
          </w:p>
        </w:tc>
        <w:tc>
          <w:tcPr>
            <w:tcW w:w="3213" w:type="dxa"/>
          </w:tcPr>
          <w:p>
            <w:pPr>
              <w:pStyle w:val="Celda"/>
            </w:pPr>
            <w:r>
              <w:t xml:space="preserve">Prudente, Equilibrada, Ambiciosa o propia (13 §8).</w:t>
            </w:r>
          </w:p>
        </w:tc>
      </w:tr>
      <w:tr>
        <w:tc>
          <w:tcPr>
            <w:tcW w:w="3213" w:type="dxa"/>
          </w:tcPr>
          <w:p>
            <w:pPr>
              <w:pStyle w:val="Celda"/>
            </w:pPr>
            <w:r>
              <w:t xml:space="preserve">Banda de Optimizar</w:t>
            </w:r>
          </w:p>
        </w:tc>
        <w:tc>
          <w:tcPr>
            <w:tcW w:w="3213" w:type="dxa"/>
          </w:tcPr>
          <w:p>
            <w:pPr>
              <w:pStyle w:val="Celda"/>
            </w:pPr>
          </w:p>
        </w:tc>
        <w:tc>
          <w:tcPr>
            <w:tcW w:w="3213" w:type="dxa"/>
          </w:tcPr>
          <w:p>
            <w:pPr>
              <w:pStyle w:val="Celda"/>
            </w:pPr>
            <w:r>
              <w:t xml:space="preserve">Porcentaje mínimo y máximo.</w:t>
            </w:r>
          </w:p>
        </w:tc>
      </w:tr>
      <w:tr>
        <w:tc>
          <w:tcPr>
            <w:tcW w:w="3213" w:type="dxa"/>
          </w:tcPr>
          <w:p>
            <w:pPr>
              <w:pStyle w:val="Celda"/>
            </w:pPr>
            <w:r>
              <w:t xml:space="preserve">Banda de Aumentar</w:t>
            </w:r>
          </w:p>
        </w:tc>
        <w:tc>
          <w:tcPr>
            <w:tcW w:w="3213" w:type="dxa"/>
          </w:tcPr>
          <w:p>
            <w:pPr>
              <w:pStyle w:val="Celda"/>
            </w:pPr>
          </w:p>
        </w:tc>
        <w:tc>
          <w:tcPr>
            <w:tcW w:w="3213" w:type="dxa"/>
          </w:tcPr>
          <w:p>
            <w:pPr>
              <w:pStyle w:val="Celda"/>
            </w:pPr>
          </w:p>
        </w:tc>
      </w:tr>
      <w:tr>
        <w:tc>
          <w:tcPr>
            <w:tcW w:w="3213" w:type="dxa"/>
          </w:tcPr>
          <w:p>
            <w:pPr>
              <w:pStyle w:val="Celda"/>
            </w:pPr>
            <w:r>
              <w:t xml:space="preserve">Banda de Transformar</w:t>
            </w:r>
          </w:p>
        </w:tc>
        <w:tc>
          <w:tcPr>
            <w:tcW w:w="3213" w:type="dxa"/>
          </w:tcPr>
          <w:p>
            <w:pPr>
              <w:pStyle w:val="Celda"/>
            </w:pPr>
          </w:p>
        </w:tc>
        <w:tc>
          <w:tcPr>
            <w:tcW w:w="3213" w:type="dxa"/>
          </w:tcPr>
          <w:p>
            <w:pPr>
              <w:pStyle w:val="Celda"/>
            </w:pPr>
            <w:r>
              <w:t xml:space="preserve">No puede empezar en 0 % si hay Transformar en la tesis (salvo el primer año).</w:t>
            </w:r>
          </w:p>
        </w:tc>
      </w:tr>
    </w:tbl>
    <w:p>
      <w:pPr>
        <w:pStyle w:val="Espacio"/>
      </w:pPr>
    </w:p>
    <w:p>
      <w:pPr>
        <w:pStyle w:val="Separador"/>
      </w:pPr>
    </w:p>
    <w:p>
      <w:pPr>
        <w:pStyle w:val="Heading1"/>
      </w:pPr>
      <w:r>
        <w:t xml:space="preserve">9. Plazos</w:t>
      </w:r>
    </w:p>
    <w:p>
      <w:pPr>
        <w:pStyle w:val="Heading2"/>
      </w:pPr>
      <w:r>
        <w:t xml:space="preserve">9.1 Plazos de referencia</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Plazo</w:t>
            </w:r>
          </w:p>
        </w:tc>
        <w:tc>
          <w:tcPr>
            <w:tcW w:w="2410" w:type="dxa"/>
            <w:shd w:val="clear" w:color="auto" w:fill="F2DFCE"/>
          </w:tcPr>
          <w:p>
            <w:pPr>
              <w:pStyle w:val="Celda"/>
            </w:pPr>
            <w:r>
              <w:rPr>
                <w:b/>
              </w:rPr>
              <w:t xml:space="preserve">Lite</w:t>
            </w:r>
          </w:p>
        </w:tc>
        <w:tc>
          <w:tcPr>
            <w:tcW w:w="2410" w:type="dxa"/>
            <w:shd w:val="clear" w:color="auto" w:fill="F2DFCE"/>
          </w:tcPr>
          <w:p>
            <w:pPr>
              <w:pStyle w:val="Celda"/>
            </w:pPr>
            <w:r>
              <w:rPr>
                <w:b/>
              </w:rPr>
              <w:t xml:space="preserve">Enterprise</w:t>
            </w:r>
          </w:p>
        </w:tc>
        <w:tc>
          <w:tcPr>
            <w:tcW w:w="2410" w:type="dxa"/>
            <w:shd w:val="clear" w:color="auto" w:fill="F2DFCE"/>
          </w:tcPr>
          <w:p>
            <w:pPr>
              <w:pStyle w:val="Celda"/>
            </w:pPr>
            <w:r>
              <w:rPr>
                <w:b/>
              </w:rPr>
              <w:t xml:space="preserve">Guía</w:t>
            </w:r>
          </w:p>
        </w:tc>
      </w:tr>
      <w:tr>
        <w:tc>
          <w:tcPr>
            <w:tcW w:w="2410" w:type="dxa"/>
          </w:tcPr>
          <w:p>
            <w:pPr>
              <w:pStyle w:val="Celda"/>
            </w:pPr>
            <w:r>
              <w:t xml:space="preserve">Fase 0</w:t>
            </w:r>
          </w:p>
        </w:tc>
        <w:tc>
          <w:tcPr>
            <w:tcW w:w="2410" w:type="dxa"/>
          </w:tcPr>
          <w:p>
            <w:pPr>
              <w:pStyle w:val="Celda"/>
            </w:pPr>
          </w:p>
        </w:tc>
        <w:tc>
          <w:tcPr>
            <w:tcW w:w="2410" w:type="dxa"/>
          </w:tcPr>
          <w:p>
            <w:pPr>
              <w:pStyle w:val="Celda"/>
            </w:pPr>
          </w:p>
        </w:tc>
        <w:tc>
          <w:tcPr>
            <w:tcW w:w="2410" w:type="dxa"/>
          </w:tcPr>
          <w:p>
            <w:pPr>
              <w:pStyle w:val="Celda"/>
            </w:pPr>
            <w:r>
              <w:t xml:space="preserve">Valores orientativos de 03 §3.6.</w:t>
            </w:r>
          </w:p>
        </w:tc>
      </w:tr>
      <w:tr>
        <w:tc>
          <w:tcPr>
            <w:tcW w:w="2410" w:type="dxa"/>
          </w:tcPr>
          <w:p>
            <w:pPr>
              <w:pStyle w:val="Celda"/>
            </w:pPr>
            <w:r>
              <w:t xml:space="preserve">Fase 1</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Fase 2</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Fase 3</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Fase 4</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Fase 5</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Fase 7</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Decisión de </w:t>
            </w:r>
            <w:r>
              <w:rPr>
                <w:i/>
              </w:rPr>
              <w:t xml:space="preserve">gate</w:t>
            </w:r>
          </w:p>
        </w:tc>
        <w:tc>
          <w:tcPr>
            <w:tcW w:w="2410" w:type="dxa"/>
          </w:tcPr>
          <w:p>
            <w:pPr>
              <w:pStyle w:val="Celda"/>
            </w:pPr>
          </w:p>
        </w:tc>
        <w:tc>
          <w:tcPr>
            <w:tcW w:w="2410" w:type="dxa"/>
          </w:tcPr>
          <w:p>
            <w:pPr>
              <w:pStyle w:val="Celda"/>
            </w:pPr>
          </w:p>
        </w:tc>
        <w:tc>
          <w:tcPr>
            <w:tcW w:w="2410" w:type="dxa"/>
          </w:tcPr>
          <w:p>
            <w:pPr>
              <w:pStyle w:val="Celda"/>
            </w:pPr>
            <w:r>
              <w:t xml:space="preserve">Días hábiles.</w:t>
            </w:r>
          </w:p>
        </w:tc>
      </w:tr>
      <w:tr>
        <w:tc>
          <w:tcPr>
            <w:tcW w:w="2410" w:type="dxa"/>
          </w:tcPr>
          <w:p>
            <w:pPr>
              <w:pStyle w:val="Celda"/>
            </w:pPr>
            <w:r>
              <w:t xml:space="preserve">Periodicidad de R6</w:t>
            </w:r>
          </w:p>
        </w:tc>
        <w:tc>
          <w:tcPr>
            <w:tcW w:w="2410" w:type="dxa"/>
          </w:tcPr>
          <w:p>
            <w:pPr>
              <w:pStyle w:val="Celda"/>
            </w:pPr>
          </w:p>
        </w:tc>
        <w:tc>
          <w:tcPr>
            <w:tcW w:w="2410" w:type="dxa"/>
          </w:tcPr>
          <w:p>
            <w:pPr>
              <w:pStyle w:val="Celda"/>
            </w:pPr>
          </w:p>
        </w:tc>
        <w:tc>
          <w:tcPr>
            <w:tcW w:w="2410" w:type="dxa"/>
          </w:tcPr>
          <w:p>
            <w:pPr>
              <w:pStyle w:val="Celda"/>
            </w:pPr>
            <w:r>
              <w:t xml:space="preserve">No más larga que semestral (Lite) o trimestral (Enterprise).</w:t>
            </w:r>
          </w:p>
        </w:tc>
      </w:tr>
      <w:tr>
        <w:tc>
          <w:tcPr>
            <w:tcW w:w="2410" w:type="dxa"/>
          </w:tcPr>
          <w:p>
            <w:pPr>
              <w:pStyle w:val="Celda"/>
            </w:pPr>
            <w:r>
              <w:t xml:space="preserve">Regularización de iniciativas anteriores</w:t>
            </w:r>
          </w:p>
        </w:tc>
        <w:tc>
          <w:tcPr>
            <w:tcW w:w="2410" w:type="dxa"/>
          </w:tcPr>
          <w:p>
            <w:pPr>
              <w:pStyle w:val="Celda"/>
            </w:pPr>
          </w:p>
        </w:tc>
        <w:tc>
          <w:tcPr>
            <w:tcW w:w="2410" w:type="dxa"/>
          </w:tcPr>
          <w:p>
            <w:pPr>
              <w:pStyle w:val="Celda"/>
            </w:pPr>
          </w:p>
        </w:tc>
        <w:tc>
          <w:tcPr>
            <w:tcW w:w="2410" w:type="dxa"/>
          </w:tcPr>
          <w:p>
            <w:pPr>
              <w:pStyle w:val="Celda"/>
            </w:pPr>
            <w:r>
              <w:t xml:space="preserve">Meses.</w:t>
            </w:r>
          </w:p>
        </w:tc>
      </w:tr>
      <w:tr>
        <w:tc>
          <w:tcPr>
            <w:tcW w:w="2410" w:type="dxa"/>
          </w:tcPr>
          <w:p>
            <w:pPr>
              <w:pStyle w:val="Celda"/>
            </w:pPr>
            <w:r>
              <w:t xml:space="preserve">Clasificación regulatoria pendiente</w:t>
            </w:r>
          </w:p>
        </w:tc>
        <w:tc>
          <w:tcPr>
            <w:tcW w:w="2410" w:type="dxa"/>
          </w:tcPr>
          <w:p>
            <w:pPr>
              <w:pStyle w:val="Celda"/>
            </w:pPr>
          </w:p>
        </w:tc>
        <w:tc>
          <w:tcPr>
            <w:tcW w:w="2410" w:type="dxa"/>
          </w:tcPr>
          <w:p>
            <w:pPr>
              <w:pStyle w:val="Celda"/>
            </w:pPr>
          </w:p>
        </w:tc>
        <w:tc>
          <w:tcPr>
            <w:tcW w:w="2410" w:type="dxa"/>
          </w:tcPr>
          <w:p>
            <w:pPr>
              <w:pStyle w:val="Celda"/>
            </w:pPr>
            <w:r>
              <w:t xml:space="preserve">Días.</w:t>
            </w:r>
          </w:p>
        </w:tc>
      </w:tr>
      <w:tr>
        <w:tc>
          <w:tcPr>
            <w:tcW w:w="2410" w:type="dxa"/>
          </w:tcPr>
          <w:p>
            <w:pPr>
              <w:pStyle w:val="Celda"/>
            </w:pPr>
            <w:r>
              <w:t xml:space="preserve">Plazo máximo de una condición de </w:t>
            </w:r>
            <w:r>
              <w:rPr>
                <w:i/>
              </w:rPr>
              <w:t xml:space="preserve">gate</w:t>
            </w:r>
          </w:p>
        </w:tc>
        <w:tc>
          <w:tcPr>
            <w:tcW w:w="2410" w:type="dxa"/>
          </w:tcPr>
          <w:p>
            <w:pPr>
              <w:pStyle w:val="Celda"/>
            </w:pPr>
          </w:p>
        </w:tc>
        <w:tc>
          <w:tcPr>
            <w:tcW w:w="2410" w:type="dxa"/>
          </w:tcPr>
          <w:p>
            <w:pPr>
              <w:pStyle w:val="Celda"/>
            </w:pPr>
          </w:p>
        </w:tc>
        <w:tc>
          <w:tcPr>
            <w:tcW w:w="2410" w:type="dxa"/>
          </w:tcPr>
          <w:p>
            <w:pPr>
              <w:pStyle w:val="Celda"/>
            </w:pPr>
            <w:r>
              <w:t xml:space="preserve">Hasta el siguiente </w:t>
            </w:r>
            <w:r>
              <w:rPr>
                <w:i/>
              </w:rPr>
              <w:t xml:space="preserve">gate</w:t>
            </w:r>
            <w:r>
              <w:t xml:space="preserve">; en R6, valor orientativo 90 días (13 §9).</w:t>
            </w:r>
          </w:p>
        </w:tc>
      </w:tr>
    </w:tbl>
    <w:p>
      <w:pPr>
        <w:pStyle w:val="Espacio"/>
      </w:pPr>
    </w:p>
    <w:p>
      <w:pPr>
        <w:pStyle w:val="Heading2"/>
      </w:pPr>
      <w:r>
        <w:t xml:space="preserve">9.2 Plazos de no conformidades e incidentes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Campo</w:t>
            </w:r>
          </w:p>
        </w:tc>
        <w:tc>
          <w:tcPr>
            <w:tcW w:w="1928" w:type="dxa"/>
            <w:shd w:val="clear" w:color="auto" w:fill="F2DFCE"/>
          </w:tcPr>
          <w:p>
            <w:pPr>
              <w:pStyle w:val="Celda"/>
            </w:pPr>
            <w:r>
              <w:rPr>
                <w:b/>
              </w:rPr>
              <w:t xml:space="preserve">Contención</w:t>
            </w:r>
          </w:p>
        </w:tc>
        <w:tc>
          <w:tcPr>
            <w:tcW w:w="1928" w:type="dxa"/>
            <w:shd w:val="clear" w:color="auto" w:fill="F2DFCE"/>
          </w:tcPr>
          <w:p>
            <w:pPr>
              <w:pStyle w:val="Celda"/>
            </w:pPr>
            <w:r>
              <w:rPr>
                <w:b/>
              </w:rPr>
              <w:t xml:space="preserve">Plan de acción o comunicación</w:t>
            </w:r>
          </w:p>
        </w:tc>
        <w:tc>
          <w:tcPr>
            <w:tcW w:w="1928" w:type="dxa"/>
            <w:shd w:val="clear" w:color="auto" w:fill="F2DFCE"/>
          </w:tcPr>
          <w:p>
            <w:pPr>
              <w:pStyle w:val="Celda"/>
            </w:pPr>
            <w:r>
              <w:rPr>
                <w:b/>
              </w:rPr>
              <w:t xml:space="preserve">Informa a</w:t>
            </w:r>
          </w:p>
        </w:tc>
        <w:tc>
          <w:tcPr>
            <w:tcW w:w="1928" w:type="dxa"/>
            <w:shd w:val="clear" w:color="auto" w:fill="F2DFCE"/>
          </w:tcPr>
          <w:p>
            <w:pPr>
              <w:pStyle w:val="Celda"/>
            </w:pPr>
            <w:r>
              <w:rPr>
                <w:b/>
              </w:rPr>
              <w:t xml:space="preserve">Guía</w:t>
            </w:r>
          </w:p>
        </w:tc>
      </w:tr>
      <w:tr>
        <w:tc>
          <w:tcPr>
            <w:tcW w:w="1928" w:type="dxa"/>
          </w:tcPr>
          <w:p>
            <w:pPr>
              <w:pStyle w:val="Celda"/>
            </w:pPr>
            <w:r>
              <w:t xml:space="preserve">No conformidad crítica</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Referencia: 48 horas y 10 días.</w:t>
            </w:r>
          </w:p>
        </w:tc>
      </w:tr>
      <w:tr>
        <w:tc>
          <w:tcPr>
            <w:tcW w:w="1928" w:type="dxa"/>
          </w:tcPr>
          <w:p>
            <w:pPr>
              <w:pStyle w:val="Celda"/>
            </w:pPr>
            <w:r>
              <w:t xml:space="preserve">No conformidad mayor</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Referencia: 10 y 30 días.</w:t>
            </w:r>
          </w:p>
        </w:tc>
      </w:tr>
      <w:tr>
        <w:tc>
          <w:tcPr>
            <w:tcW w:w="1928" w:type="dxa"/>
          </w:tcPr>
          <w:p>
            <w:pPr>
              <w:pStyle w:val="Celda"/>
            </w:pPr>
            <w:r>
              <w:t xml:space="preserve">No conformidad menor</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Antes del siguiente </w:t>
            </w:r>
            <w:r>
              <w:rPr>
                <w:i/>
              </w:rPr>
              <w:t xml:space="preserve">gate</w:t>
            </w:r>
            <w:r>
              <w:t xml:space="preserve">.</w:t>
            </w:r>
          </w:p>
        </w:tc>
      </w:tr>
      <w:tr>
        <w:tc>
          <w:tcPr>
            <w:tcW w:w="1928" w:type="dxa"/>
          </w:tcPr>
          <w:p>
            <w:pPr>
              <w:pStyle w:val="Celda"/>
            </w:pPr>
            <w:r>
              <w:t xml:space="preserve">Incidente S1</w:t>
            </w:r>
          </w:p>
        </w:tc>
        <w:tc>
          <w:tcPr>
            <w:tcW w:w="1928" w:type="dxa"/>
          </w:tcPr>
          <w:p>
            <w:pPr>
              <w:pStyle w:val="Celda"/>
            </w:pPr>
            <w:r>
              <w:t xml:space="preserve">—</w:t>
            </w:r>
          </w:p>
        </w:tc>
        <w:tc>
          <w:tcPr>
            <w:tcW w:w="1928" w:type="dxa"/>
          </w:tcPr>
          <w:p>
            <w:pPr>
              <w:pStyle w:val="Celda"/>
            </w:pPr>
          </w:p>
        </w:tc>
        <w:tc>
          <w:tcPr>
            <w:tcW w:w="1928" w:type="dxa"/>
          </w:tcPr>
          <w:p>
            <w:pPr>
              <w:pStyle w:val="Celda"/>
            </w:pPr>
          </w:p>
        </w:tc>
        <w:tc>
          <w:tcPr>
            <w:tcW w:w="1928" w:type="dxa"/>
          </w:tcPr>
          <w:p>
            <w:pPr>
              <w:pStyle w:val="Celda"/>
            </w:pPr>
            <w:r>
              <w:t xml:space="preserve">Sin perjuicio de los plazos regulatorios, que prevalecen (13 §10.2).</w:t>
            </w:r>
          </w:p>
        </w:tc>
      </w:tr>
      <w:tr>
        <w:tc>
          <w:tcPr>
            <w:tcW w:w="1928" w:type="dxa"/>
          </w:tcPr>
          <w:p>
            <w:pPr>
              <w:pStyle w:val="Celda"/>
            </w:pPr>
            <w:r>
              <w:t xml:space="preserve">Incidente S2</w:t>
            </w:r>
          </w:p>
        </w:tc>
        <w:tc>
          <w:tcPr>
            <w:tcW w:w="1928" w:type="dxa"/>
          </w:tcPr>
          <w:p>
            <w:pPr>
              <w:pStyle w:val="Celda"/>
            </w:pPr>
            <w:r>
              <w:t xml:space="preserv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Incidente S3 </w:t>
            </w:r>
            <w:r>
              <w:rPr>
                <w:b/>
              </w:rPr>
              <w:t xml:space="preserve">(Enterprise)</w:t>
            </w:r>
          </w:p>
        </w:tc>
        <w:tc>
          <w:tcPr>
            <w:tcW w:w="1928" w:type="dxa"/>
          </w:tcPr>
          <w:p>
            <w:pPr>
              <w:pStyle w:val="Celda"/>
            </w:pPr>
            <w:r>
              <w:t xml:space="preserv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10. Líneas rojas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Confirmación del mínimo SEVEN-G</w:t>
            </w:r>
          </w:p>
        </w:tc>
        <w:tc>
          <w:tcPr>
            <w:tcW w:w="3213" w:type="dxa"/>
          </w:tcPr>
          <w:p>
            <w:pPr>
              <w:pStyle w:val="Celda"/>
            </w:pPr>
            <w:r>
              <w:t xml:space="preserve">Sí · No</w:t>
            </w:r>
          </w:p>
        </w:tc>
        <w:tc>
          <w:tcPr>
            <w:tcW w:w="3213" w:type="dxa"/>
          </w:tcPr>
          <w:p>
            <w:pPr>
              <w:pStyle w:val="Celda"/>
            </w:pPr>
            <w:r>
              <w:t xml:space="preserve">Prácticas prohibidas y tabla de 13 §11.2. La compañía puede ampliarlo, no reducirlo.</w:t>
            </w:r>
          </w:p>
        </w:tc>
      </w:tr>
      <w:tr>
        <w:tc>
          <w:tcPr>
            <w:tcW w:w="3213" w:type="dxa"/>
          </w:tcPr>
          <w:p>
            <w:pPr>
              <w:pStyle w:val="Celda"/>
            </w:pPr>
            <w:r>
              <w:t xml:space="preserve">Ampliaciones de la tabla de decisiones no delegables</w:t>
            </w:r>
          </w:p>
        </w:tc>
        <w:tc>
          <w:tcPr>
            <w:tcW w:w="3213" w:type="dxa"/>
          </w:tcPr>
          <w:p>
            <w:pPr>
              <w:pStyle w:val="Celda"/>
            </w:pPr>
          </w:p>
        </w:tc>
        <w:tc>
          <w:tcPr>
            <w:tcW w:w="3213" w:type="dxa"/>
          </w:tcPr>
          <w:p>
            <w:pPr>
              <w:pStyle w:val="Celda"/>
            </w:pPr>
            <w:r>
              <w:t xml:space="preserve">Decisión, autonomía máxima (A0–A3) y motivo.</w:t>
            </w:r>
          </w:p>
        </w:tc>
      </w:tr>
      <w:tr>
        <w:tc>
          <w:tcPr>
            <w:tcW w:w="3213" w:type="dxa"/>
          </w:tcPr>
          <w:p>
            <w:pPr>
              <w:pStyle w:val="Celda"/>
            </w:pPr>
            <w:r>
              <w:t xml:space="preserve">Líneas rojas propias</w:t>
            </w:r>
          </w:p>
        </w:tc>
        <w:tc>
          <w:tcPr>
            <w:tcW w:w="3213" w:type="dxa"/>
          </w:tcPr>
          <w:p>
            <w:pPr>
              <w:pStyle w:val="Celda"/>
            </w:pPr>
          </w:p>
        </w:tc>
        <w:tc>
          <w:tcPr>
            <w:tcW w:w="3213" w:type="dxa"/>
          </w:tcPr>
          <w:p>
            <w:pPr>
              <w:pStyle w:val="Celda"/>
            </w:pPr>
            <w:r>
              <w:t xml:space="preserve">Ejemplos en 13 §11.3. Solo el consejo puede modificarlas.</w:t>
            </w:r>
          </w:p>
        </w:tc>
      </w:tr>
    </w:tbl>
    <w:p>
      <w:pPr>
        <w:pStyle w:val="Espacio"/>
      </w:pPr>
    </w:p>
    <w:p>
      <w:pPr>
        <w:pStyle w:val="Separador"/>
      </w:pPr>
    </w:p>
    <w:p>
      <w:pPr>
        <w:pStyle w:val="Heading1"/>
      </w:pPr>
      <w:r>
        <w:t xml:space="preserve">11. Presupuesto marco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Sobre</w:t>
            </w:r>
          </w:p>
        </w:tc>
        <w:tc>
          <w:tcPr>
            <w:tcW w:w="2410" w:type="dxa"/>
            <w:shd w:val="clear" w:color="auto" w:fill="F2DFCE"/>
          </w:tcPr>
          <w:p>
            <w:pPr>
              <w:pStyle w:val="Celda"/>
            </w:pPr>
            <w:r>
              <w:rPr>
                <w:b/>
              </w:rPr>
              <w:t xml:space="preserve">Importe</w:t>
            </w:r>
          </w:p>
        </w:tc>
        <w:tc>
          <w:tcPr>
            <w:tcW w:w="2410" w:type="dxa"/>
            <w:shd w:val="clear" w:color="auto" w:fill="F2DFCE"/>
          </w:tcPr>
          <w:p>
            <w:pPr>
              <w:pStyle w:val="Celda"/>
            </w:pPr>
            <w:r>
              <w:rPr>
                <w:b/>
              </w:rPr>
              <w:t xml:space="preserve">% del total</w:t>
            </w:r>
          </w:p>
        </w:tc>
        <w:tc>
          <w:tcPr>
            <w:tcW w:w="2410" w:type="dxa"/>
            <w:shd w:val="clear" w:color="auto" w:fill="F2DFCE"/>
          </w:tcPr>
          <w:p>
            <w:pPr>
              <w:pStyle w:val="Celda"/>
            </w:pPr>
            <w:r>
              <w:rPr>
                <w:b/>
              </w:rPr>
              <w:t xml:space="preserve">Guía</w:t>
            </w:r>
          </w:p>
        </w:tc>
      </w:tr>
      <w:tr>
        <w:tc>
          <w:tcPr>
            <w:tcW w:w="2410" w:type="dxa"/>
          </w:tcPr>
          <w:p>
            <w:pPr>
              <w:pStyle w:val="Celda"/>
            </w:pPr>
            <w:r>
              <w:t xml:space="preserve">Optimizar</w:t>
            </w:r>
          </w:p>
        </w:tc>
        <w:tc>
          <w:tcPr>
            <w:tcW w:w="2410" w:type="dxa"/>
          </w:tcPr>
          <w:p>
            <w:pPr>
              <w:pStyle w:val="Celda"/>
            </w:pPr>
          </w:p>
        </w:tc>
        <w:tc>
          <w:tcPr>
            <w:tcW w:w="2410" w:type="dxa"/>
          </w:tcPr>
          <w:p>
            <w:pPr>
              <w:pStyle w:val="Celda"/>
            </w:pPr>
          </w:p>
        </w:tc>
        <w:tc>
          <w:tcPr>
            <w:tcW w:w="2410" w:type="dxa"/>
          </w:tcPr>
          <w:p>
            <w:pPr>
              <w:pStyle w:val="Celda"/>
            </w:pPr>
            <w:r>
              <w:t xml:space="preserve">Dentro de la banda de la sección 8.2.</w:t>
            </w:r>
          </w:p>
        </w:tc>
      </w:tr>
      <w:tr>
        <w:tc>
          <w:tcPr>
            <w:tcW w:w="2410" w:type="dxa"/>
          </w:tcPr>
          <w:p>
            <w:pPr>
              <w:pStyle w:val="Celda"/>
            </w:pPr>
            <w:r>
              <w:t xml:space="preserve">Aumentar</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Transformar por etapas</w:t>
            </w:r>
          </w:p>
        </w:tc>
        <w:tc>
          <w:tcPr>
            <w:tcW w:w="2410" w:type="dxa"/>
          </w:tcPr>
          <w:p>
            <w:pPr>
              <w:pStyle w:val="Celda"/>
            </w:pPr>
          </w:p>
        </w:tc>
        <w:tc>
          <w:tcPr>
            <w:tcW w:w="2410" w:type="dxa"/>
          </w:tcPr>
          <w:p>
            <w:pPr>
              <w:pStyle w:val="Celda"/>
            </w:pPr>
          </w:p>
        </w:tc>
        <w:tc>
          <w:tcPr>
            <w:tcW w:w="2410" w:type="dxa"/>
          </w:tcPr>
          <w:p>
            <w:pPr>
              <w:pStyle w:val="Celda"/>
            </w:pPr>
            <w:r>
              <w:t xml:space="preserve">Etapas aprobadas y pendientes de liberar.</w:t>
            </w:r>
          </w:p>
        </w:tc>
      </w:tr>
      <w:tr>
        <w:tc>
          <w:tcPr>
            <w:tcW w:w="2410" w:type="dxa"/>
          </w:tcPr>
          <w:p>
            <w:pPr>
              <w:pStyle w:val="Celda"/>
            </w:pPr>
            <w:r>
              <w:t xml:space="preserve">Habilitación</w:t>
            </w:r>
          </w:p>
        </w:tc>
        <w:tc>
          <w:tcPr>
            <w:tcW w:w="2410" w:type="dxa"/>
          </w:tcPr>
          <w:p>
            <w:pPr>
              <w:pStyle w:val="Celda"/>
            </w:pPr>
          </w:p>
        </w:tc>
        <w:tc>
          <w:tcPr>
            <w:tcW w:w="2410" w:type="dxa"/>
          </w:tcPr>
          <w:p>
            <w:pPr>
              <w:pStyle w:val="Celda"/>
            </w:pPr>
          </w:p>
        </w:tc>
        <w:tc>
          <w:tcPr>
            <w:tcW w:w="2410" w:type="dxa"/>
          </w:tcPr>
          <w:p>
            <w:pPr>
              <w:pStyle w:val="Celda"/>
            </w:pPr>
            <w:r>
              <w:t xml:space="preserve">Incluye esferas 08 y 09.</w:t>
            </w:r>
          </w:p>
        </w:tc>
      </w:tr>
      <w:tr>
        <w:tc>
          <w:tcPr>
            <w:tcW w:w="2410" w:type="dxa"/>
          </w:tcPr>
          <w:p>
            <w:pPr>
              <w:pStyle w:val="Celda"/>
            </w:pPr>
            <w:r>
              <w:t xml:space="preserve">Coste recurrente comprometido</w:t>
            </w:r>
          </w:p>
        </w:tc>
        <w:tc>
          <w:tcPr>
            <w:tcW w:w="2410" w:type="dxa"/>
          </w:tcPr>
          <w:p>
            <w:pPr>
              <w:pStyle w:val="Celda"/>
            </w:pPr>
          </w:p>
        </w:tc>
        <w:tc>
          <w:tcPr>
            <w:tcW w:w="2410" w:type="dxa"/>
          </w:tcPr>
          <w:p>
            <w:pPr>
              <w:pStyle w:val="Celda"/>
            </w:pPr>
          </w:p>
        </w:tc>
        <w:tc>
          <w:tcPr>
            <w:tcW w:w="2410" w:type="dxa"/>
          </w:tcPr>
          <w:p>
            <w:pPr>
              <w:pStyle w:val="Celda"/>
            </w:pPr>
            <w:r>
              <w:t xml:space="preserve">Se presupuesta completo.</w:t>
            </w:r>
          </w:p>
        </w:tc>
      </w:tr>
      <w:tr>
        <w:tc>
          <w:tcPr>
            <w:tcW w:w="2410" w:type="dxa"/>
          </w:tcPr>
          <w:p>
            <w:pPr>
              <w:pStyle w:val="Celda"/>
            </w:pPr>
            <w:r>
              <w:t xml:space="preserve">Adopción y formación</w:t>
            </w:r>
          </w:p>
        </w:tc>
        <w:tc>
          <w:tcPr>
            <w:tcW w:w="2410" w:type="dxa"/>
          </w:tcPr>
          <w:p>
            <w:pPr>
              <w:pStyle w:val="Celda"/>
            </w:pPr>
          </w:p>
        </w:tc>
        <w:tc>
          <w:tcPr>
            <w:tcW w:w="2410" w:type="dxa"/>
          </w:tcPr>
          <w:p>
            <w:pPr>
              <w:pStyle w:val="Celda"/>
            </w:pPr>
          </w:p>
        </w:tc>
        <w:tc>
          <w:tcPr>
            <w:tcW w:w="2410" w:type="dxa"/>
          </w:tcPr>
          <w:p>
            <w:pPr>
              <w:pStyle w:val="Celda"/>
            </w:pPr>
            <w:r>
              <w:t xml:space="preserve">Explícito, no residual.</w:t>
            </w:r>
          </w:p>
        </w:tc>
      </w:tr>
      <w:tr>
        <w:tc>
          <w:tcPr>
            <w:tcW w:w="2410" w:type="dxa"/>
          </w:tcPr>
          <w:p>
            <w:pPr>
              <w:pStyle w:val="Celda"/>
            </w:pPr>
            <w:r>
              <w:t xml:space="preserve">Contingencia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rPr>
                <w:b/>
              </w:rPr>
              <w:t xml:space="preserve">Total</w:t>
            </w:r>
          </w:p>
        </w:tc>
        <w:tc>
          <w:tcPr>
            <w:tcW w:w="2410" w:type="dxa"/>
          </w:tcPr>
          <w:p>
            <w:pPr>
              <w:pStyle w:val="Celda"/>
            </w:pPr>
          </w:p>
        </w:tc>
        <w:tc>
          <w:tcPr>
            <w:tcW w:w="2410" w:type="dxa"/>
          </w:tcPr>
          <w:p>
            <w:pPr>
              <w:pStyle w:val="Celda"/>
            </w:pPr>
            <w:r>
              <w:t xml:space="preserve">100 %</w:t>
            </w:r>
          </w:p>
        </w:tc>
        <w:tc>
          <w:tcPr>
            <w:tcW w:w="2410" w:type="dxa"/>
          </w:tcPr>
          <w:p>
            <w:pPr>
              <w:pStyle w:val="Celda"/>
            </w:pPr>
          </w:p>
        </w:tc>
      </w:tr>
      <w:tr>
        <w:tc>
          <w:tcPr>
            <w:tcW w:w="2410" w:type="dxa"/>
          </w:tcPr>
          <w:p>
            <w:pPr>
              <w:pStyle w:val="Celda"/>
            </w:pPr>
            <w:r>
              <w:t xml:space="preserve">Reglas de reasignación</w:t>
            </w:r>
          </w:p>
        </w:tc>
        <w:tc>
          <w:tcPr>
            <w:tcW w:w="2410" w:type="dxa"/>
          </w:tcPr>
          <w:p>
            <w:pPr>
              <w:pStyle w:val="Celda"/>
            </w:pPr>
          </w:p>
        </w:tc>
        <w:tc>
          <w:tcPr>
            <w:tcW w:w="2410" w:type="dxa"/>
          </w:tcPr>
          <w:p>
            <w:pPr>
              <w:pStyle w:val="Celda"/>
            </w:pPr>
          </w:p>
        </w:tc>
        <w:tc>
          <w:tcPr>
            <w:tcW w:w="2410" w:type="dxa"/>
          </w:tcPr>
          <w:p>
            <w:pPr>
              <w:pStyle w:val="Celda"/>
            </w:pPr>
            <w:r>
              <w:t xml:space="preserve">Límites del comité y del consejo (13 §12).</w:t>
            </w:r>
          </w:p>
        </w:tc>
      </w:tr>
    </w:tbl>
    <w:p>
      <w:pPr>
        <w:pStyle w:val="Espacio"/>
      </w:pPr>
    </w:p>
    <w:p>
      <w:pPr>
        <w:pStyle w:val="Separador"/>
      </w:pPr>
    </w:p>
    <w:p>
      <w:pPr>
        <w:pStyle w:val="Heading1"/>
      </w:pPr>
      <w:r>
        <w:t xml:space="preserve">12. Objetivos de seguimiento, revisión y vigencia</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Indicador</w:t>
            </w:r>
          </w:p>
        </w:tc>
        <w:tc>
          <w:tcPr>
            <w:tcW w:w="1928" w:type="dxa"/>
            <w:shd w:val="clear" w:color="auto" w:fill="F2DFCE"/>
          </w:tcPr>
          <w:p>
            <w:pPr>
              <w:pStyle w:val="Celda"/>
            </w:pPr>
            <w:r>
              <w:rPr>
                <w:b/>
              </w:rPr>
              <w:t xml:space="preserve">Valor actual (C1)</w:t>
            </w:r>
          </w:p>
        </w:tc>
        <w:tc>
          <w:tcPr>
            <w:tcW w:w="1928" w:type="dxa"/>
            <w:shd w:val="clear" w:color="auto" w:fill="F2DFCE"/>
          </w:tcPr>
          <w:p>
            <w:pPr>
              <w:pStyle w:val="Celda"/>
            </w:pPr>
            <w:r>
              <w:rPr>
                <w:b/>
              </w:rPr>
              <w:t xml:space="preserve">Objetivo</w:t>
            </w:r>
          </w:p>
        </w:tc>
        <w:tc>
          <w:tcPr>
            <w:tcW w:w="1928" w:type="dxa"/>
            <w:shd w:val="clear" w:color="auto" w:fill="F2DFCE"/>
          </w:tcPr>
          <w:p>
            <w:pPr>
              <w:pStyle w:val="Celda"/>
            </w:pPr>
            <w:r>
              <w:rPr>
                <w:b/>
              </w:rPr>
              <w:t xml:space="preserve">Horizonte</w:t>
            </w:r>
          </w:p>
        </w:tc>
        <w:tc>
          <w:tcPr>
            <w:tcW w:w="1928" w:type="dxa"/>
            <w:shd w:val="clear" w:color="auto" w:fill="F2DFCE"/>
          </w:tcPr>
          <w:p>
            <w:pPr>
              <w:pStyle w:val="Celda"/>
            </w:pPr>
            <w:r>
              <w:rPr>
                <w:b/>
              </w:rPr>
              <w:t xml:space="preserve">Guía</w:t>
            </w:r>
          </w:p>
        </w:tc>
      </w:tr>
      <w:tr>
        <w:tc>
          <w:tcPr>
            <w:tcW w:w="1928" w:type="dxa"/>
          </w:tcPr>
          <w:p>
            <w:pPr>
              <w:pStyle w:val="Celda"/>
            </w:pPr>
            <w:r>
              <w:t xml:space="preserve">Perfil del índice de transformación</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Documento 12.</w:t>
            </w:r>
          </w:p>
        </w:tc>
      </w:tr>
      <w:tr>
        <w:tc>
          <w:tcPr>
            <w:tcW w:w="1928" w:type="dxa"/>
          </w:tcPr>
          <w:p>
            <w:pPr>
              <w:pStyle w:val="Celda"/>
            </w:pPr>
            <w:r>
              <w:t xml:space="preserve">Nivel global de madurez y dimensiones prioritarias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Documento 11; referencias de 11 §8.</w:t>
            </w:r>
          </w:p>
        </w:tc>
      </w:tr>
      <w:tr>
        <w:tc>
          <w:tcPr>
            <w:tcW w:w="1928" w:type="dxa"/>
          </w:tcPr>
          <w:p>
            <w:pPr>
              <w:pStyle w:val="Celda"/>
            </w:pPr>
            <w:r>
              <w:t xml:space="preserve">Proporción de valor validado</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Condición B2.</w:t>
            </w:r>
          </w:p>
        </w:tc>
      </w:tr>
      <w:tr>
        <w:tc>
          <w:tcPr>
            <w:tcW w:w="1928" w:type="dxa"/>
          </w:tcPr>
          <w:p>
            <w:pPr>
              <w:pStyle w:val="Celda"/>
            </w:pPr>
            <w:r>
              <w:t xml:space="preserve">Valor neto anual de la cartera</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Documento 40.</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Vigencia</w:t>
            </w:r>
          </w:p>
        </w:tc>
        <w:tc>
          <w:tcPr>
            <w:tcW w:w="3213" w:type="dxa"/>
          </w:tcPr>
          <w:p>
            <w:pPr>
              <w:pStyle w:val="Celda"/>
            </w:pPr>
          </w:p>
        </w:tc>
        <w:tc>
          <w:tcPr>
            <w:tcW w:w="3213" w:type="dxa"/>
          </w:tcPr>
          <w:p>
            <w:pPr>
              <w:pStyle w:val="Celda"/>
            </w:pPr>
            <w:r>
              <w:t xml:space="preserve">Hasta la aprobación de la siguiente versión.</w:t>
            </w:r>
          </w:p>
        </w:tc>
      </w:tr>
      <w:tr>
        <w:tc>
          <w:tcPr>
            <w:tcW w:w="3213" w:type="dxa"/>
          </w:tcPr>
          <w:p>
            <w:pPr>
              <w:pStyle w:val="Celda"/>
            </w:pPr>
            <w:r>
              <w:t xml:space="preserve">Fecha prevista de revisión anual</w:t>
            </w:r>
          </w:p>
        </w:tc>
        <w:tc>
          <w:tcPr>
            <w:tcW w:w="3213" w:type="dxa"/>
          </w:tcPr>
          <w:p>
            <w:pPr>
              <w:pStyle w:val="Celda"/>
            </w:pPr>
          </w:p>
        </w:tc>
        <w:tc>
          <w:tcPr>
            <w:tcW w:w="3213" w:type="dxa"/>
          </w:tcPr>
          <w:p>
            <w:pPr>
              <w:pStyle w:val="Celda"/>
            </w:pPr>
            <w:r>
              <w:t xml:space="preserve">Tras C5 (P37).</w:t>
            </w:r>
          </w:p>
        </w:tc>
      </w:tr>
      <w:tr>
        <w:tc>
          <w:tcPr>
            <w:tcW w:w="3213" w:type="dxa"/>
          </w:tcPr>
          <w:p>
            <w:pPr>
              <w:pStyle w:val="Celda"/>
            </w:pPr>
            <w:r>
              <w:t xml:space="preserve">Desencadenantes adicionales de revisión extraordinaria</w:t>
            </w:r>
          </w:p>
        </w:tc>
        <w:tc>
          <w:tcPr>
            <w:tcW w:w="3213" w:type="dxa"/>
          </w:tcPr>
          <w:p>
            <w:pPr>
              <w:pStyle w:val="Celda"/>
            </w:pPr>
          </w:p>
        </w:tc>
        <w:tc>
          <w:tcPr>
            <w:tcW w:w="3213" w:type="dxa"/>
          </w:tcPr>
          <w:p>
            <w:pPr>
              <w:pStyle w:val="Celda"/>
            </w:pPr>
            <w:r>
              <w:t xml:space="preserve">Además de los de 13 §13.</w:t>
            </w:r>
          </w:p>
        </w:tc>
      </w:tr>
    </w:tbl>
    <w:p>
      <w:pPr>
        <w:pStyle w:val="Espacio"/>
      </w:pPr>
    </w:p>
    <w:p>
      <w:pPr>
        <w:pStyle w:val="Separador"/>
      </w:pPr>
    </w:p>
    <w:p>
      <w:pPr>
        <w:pStyle w:val="Heading1"/>
      </w:pPr>
      <w:r>
        <w:t xml:space="preserve">13. Selección de indicadores aprobada</w:t>
      </w:r>
    </w:p>
    <w:p>
      <w:r>
        <w:t xml:space="preserve">Ninguna compañía necesita todos los indicadores del catálogo: se seleccionan en C2 según la tesis, la cartera y la intensidad, y la selección se registra (41 §1). Punto de partida: el conjunto mínimo recomendado para Lite (41 §19) y la selección para el panel del consejo (41 §20). Los umbrales marcados «a fijar» en el catálogo se aprueban aquí.</w:t>
      </w:r>
    </w:p>
    <w:p>
      <w:pPr>
        <w:pStyle w:val="Heading2"/>
      </w:pPr>
      <w:r>
        <w:t xml:space="preserve">13.1 Indicadores del catálogo</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Código (IND-FAM-NN)</w:t>
            </w:r>
          </w:p>
        </w:tc>
        <w:tc>
          <w:tcPr>
            <w:tcW w:w="1205" w:type="dxa"/>
            <w:shd w:val="clear" w:color="auto" w:fill="F2DFCE"/>
          </w:tcPr>
          <w:p>
            <w:pPr>
              <w:pStyle w:val="Celda"/>
            </w:pPr>
            <w:r>
              <w:rPr>
                <w:b/>
              </w:rPr>
              <w:t xml:space="preserve">Nombre</w:t>
            </w:r>
          </w:p>
        </w:tc>
        <w:tc>
          <w:tcPr>
            <w:tcW w:w="1205" w:type="dxa"/>
            <w:shd w:val="clear" w:color="auto" w:fill="F2DFCE"/>
          </w:tcPr>
          <w:p>
            <w:pPr>
              <w:pStyle w:val="Celda"/>
            </w:pPr>
            <w:r>
              <w:rPr>
                <w:b/>
              </w:rPr>
              <w:t xml:space="preserve">Meta</w:t>
            </w:r>
          </w:p>
        </w:tc>
        <w:tc>
          <w:tcPr>
            <w:tcW w:w="1205" w:type="dxa"/>
            <w:shd w:val="clear" w:color="auto" w:fill="F2DFCE"/>
          </w:tcPr>
          <w:p>
            <w:pPr>
              <w:pStyle w:val="Celda"/>
            </w:pPr>
            <w:r>
              <w:rPr>
                <w:b/>
              </w:rPr>
              <w:t xml:space="preserve">Umbral o lectura de semáforo</w:t>
            </w:r>
          </w:p>
        </w:tc>
        <w:tc>
          <w:tcPr>
            <w:tcW w:w="1205" w:type="dxa"/>
            <w:shd w:val="clear" w:color="auto" w:fill="F2DFCE"/>
          </w:tcPr>
          <w:p>
            <w:pPr>
              <w:pStyle w:val="Celda"/>
            </w:pPr>
            <w:r>
              <w:rPr>
                <w:b/>
              </w:rPr>
              <w:t xml:space="preserve">Periodicidad</w:t>
            </w:r>
          </w:p>
        </w:tc>
        <w:tc>
          <w:tcPr>
            <w:tcW w:w="1205" w:type="dxa"/>
            <w:shd w:val="clear" w:color="auto" w:fill="F2DFCE"/>
          </w:tcPr>
          <w:p>
            <w:pPr>
              <w:pStyle w:val="Celda"/>
            </w:pPr>
            <w:r>
              <w:rPr>
                <w:b/>
              </w:rPr>
              <w:t xml:space="preserve">Responsable</w:t>
            </w:r>
          </w:p>
        </w:tc>
        <w:tc>
          <w:tcPr>
            <w:tcW w:w="1205" w:type="dxa"/>
            <w:shd w:val="clear" w:color="auto" w:fill="F2DFCE"/>
          </w:tcPr>
          <w:p>
            <w:pPr>
              <w:pStyle w:val="Celda"/>
            </w:pPr>
            <w:r>
              <w:rPr>
                <w:b/>
              </w:rPr>
              <w:t xml:space="preserve">Fuente</w:t>
            </w:r>
          </w:p>
        </w:tc>
        <w:tc>
          <w:tcPr>
            <w:tcW w:w="1205" w:type="dxa"/>
            <w:shd w:val="clear" w:color="auto" w:fill="F2DFCE"/>
          </w:tcPr>
          <w:p>
            <w:pPr>
              <w:pStyle w:val="Celda"/>
            </w:pPr>
            <w:r>
              <w:rPr>
                <w:b/>
              </w:rPr>
              <w:t xml:space="preserve">En el panel del consejo (Sí · No)</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(ejemplo ilustrativo)</w:t>
            </w:r>
            <w:r>
              <w:t xml:space="preserve"> IND-VAL-05</w:t>
            </w:r>
          </w:p>
        </w:tc>
        <w:tc>
          <w:tcPr>
            <w:tcW w:w="1205" w:type="dxa"/>
          </w:tcPr>
          <w:p>
            <w:pPr>
              <w:pStyle w:val="Celda"/>
            </w:pPr>
            <w:r>
              <w:t xml:space="preserve">Proporción validada</w:t>
            </w:r>
          </w:p>
        </w:tc>
        <w:tc>
          <w:tcPr>
            <w:tcW w:w="1205" w:type="dxa"/>
          </w:tcPr>
          <w:p>
            <w:pPr>
              <w:pStyle w:val="Celda"/>
            </w:pPr>
            <w:r>
              <w:t xml:space="preserve">60 % en 24 meses</w:t>
            </w:r>
          </w:p>
        </w:tc>
        <w:tc>
          <w:tcPr>
            <w:tcW w:w="1205" w:type="dxa"/>
          </w:tcPr>
          <w:p>
            <w:pPr>
              <w:pStyle w:val="Celda"/>
            </w:pPr>
            <w:r>
              <w:t xml:space="preserve">Ámbar &lt; 50 % · Rojo &lt; 30 % (métrica ECO de la sección 6.2)</w:t>
            </w:r>
          </w:p>
        </w:tc>
        <w:tc>
          <w:tcPr>
            <w:tcW w:w="1205" w:type="dxa"/>
          </w:tcPr>
          <w:p>
            <w:pPr>
              <w:pStyle w:val="Celda"/>
            </w:pPr>
            <w:r>
              <w:t xml:space="preserve">Trimestral</w:t>
            </w:r>
          </w:p>
        </w:tc>
        <w:tc>
          <w:tcPr>
            <w:tcW w:w="1205" w:type="dxa"/>
          </w:tcPr>
          <w:p>
            <w:pPr>
              <w:pStyle w:val="Celda"/>
            </w:pPr>
            <w:r>
              <w:t xml:space="preserve">Control de gestión</w:t>
            </w:r>
          </w:p>
        </w:tc>
        <w:tc>
          <w:tcPr>
            <w:tcW w:w="1205" w:type="dxa"/>
          </w:tcPr>
          <w:p>
            <w:pPr>
              <w:pStyle w:val="Celda"/>
            </w:pPr>
            <w:r>
              <w:t xml:space="preserve">T12</w:t>
            </w:r>
          </w:p>
        </w:tc>
        <w:tc>
          <w:tcPr>
            <w:tcW w:w="1205" w:type="dxa"/>
          </w:tcPr>
          <w:p>
            <w:pPr>
              <w:pStyle w:val="Celda"/>
            </w:pPr>
            <w:r>
              <w:t xml:space="preserve">Sí</w:t>
            </w:r>
          </w:p>
        </w:tc>
      </w:tr>
      <w:tr>
        <w:tc>
          <w:tcPr>
            <w:tcW w:w="1205" w:type="dxa"/>
          </w:tcPr>
          <w:p>
            <w:pPr>
              <w:pStyle w:val="Celda"/>
            </w:pPr>
            <w:r>
              <w:rPr>
                <w:i/>
              </w:rPr>
              <w:t xml:space="preserve">(ejemplo ilustrativo)</w:t>
            </w:r>
            <w:r>
              <w:t xml:space="preserve"> IND-RIE-02</w:t>
            </w:r>
          </w:p>
        </w:tc>
        <w:tc>
          <w:tcPr>
            <w:tcW w:w="1205" w:type="dxa"/>
          </w:tcPr>
          <w:p>
            <w:pPr>
              <w:pStyle w:val="Celda"/>
            </w:pPr>
            <w:r>
              <w:t xml:space="preserve">Sistemas en producción sin </w:t>
            </w:r>
            <w:r>
              <w:rPr>
                <w:i/>
              </w:rPr>
              <w:t xml:space="preserve">gate</w:t>
            </w:r>
          </w:p>
        </w:tc>
        <w:tc>
          <w:tcPr>
            <w:tcW w:w="1205" w:type="dxa"/>
          </w:tcPr>
          <w:p>
            <w:pPr>
              <w:pStyle w:val="Celda"/>
            </w:pPr>
            <w:r>
              <w:t xml:space="preserve">0</w:t>
            </w:r>
          </w:p>
        </w:tc>
        <w:tc>
          <w:tcPr>
            <w:tcW w:w="1205" w:type="dxa"/>
          </w:tcPr>
          <w:p>
            <w:pPr>
              <w:pStyle w:val="Celda"/>
            </w:pPr>
            <w:r>
              <w:t xml:space="preserve">0 (no conformidad crítica)</w:t>
            </w:r>
          </w:p>
        </w:tc>
        <w:tc>
          <w:tcPr>
            <w:tcW w:w="1205" w:type="dxa"/>
          </w:tcPr>
          <w:p>
            <w:pPr>
              <w:pStyle w:val="Celda"/>
            </w:pPr>
            <w:r>
              <w:t xml:space="preserve">Mensual</w:t>
            </w:r>
          </w:p>
        </w:tc>
        <w:tc>
          <w:tcPr>
            <w:tcW w:w="1205" w:type="dxa"/>
          </w:tcPr>
          <w:p>
            <w:pPr>
              <w:pStyle w:val="Celda"/>
            </w:pPr>
            <w:r>
              <w:t xml:space="preserve">Auditor de IA</w:t>
            </w:r>
          </w:p>
        </w:tc>
        <w:tc>
          <w:tcPr>
            <w:tcW w:w="1205" w:type="dxa"/>
          </w:tcPr>
          <w:p>
            <w:pPr>
              <w:pStyle w:val="Celda"/>
            </w:pPr>
            <w:r>
              <w:t xml:space="preserve">T02 · T03</w:t>
            </w:r>
          </w:p>
        </w:tc>
        <w:tc>
          <w:tcPr>
            <w:tcW w:w="1205" w:type="dxa"/>
          </w:tcPr>
          <w:p>
            <w:pPr>
              <w:pStyle w:val="Celda"/>
            </w:pPr>
            <w:r>
              <w:t xml:space="preserve">Sí</w:t>
            </w: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Comprobación de la selección</w:t>
            </w:r>
          </w:p>
        </w:tc>
        <w:tc>
          <w:tcPr>
            <w:tcW w:w="4819" w:type="dxa"/>
            <w:shd w:val="clear" w:color="auto" w:fill="F2DFCE"/>
          </w:tcPr>
          <w:p>
            <w:pPr>
              <w:pStyle w:val="Celda"/>
            </w:pPr>
            <w:r>
              <w:rPr>
                <w:b/>
              </w:rPr>
              <w:t xml:space="preserve">Sí · No</w:t>
            </w:r>
          </w:p>
        </w:tc>
      </w:tr>
      <w:tr>
        <w:tc>
          <w:tcPr>
            <w:tcW w:w="4819" w:type="dxa"/>
          </w:tcPr>
          <w:p>
            <w:pPr>
              <w:pStyle w:val="Celda"/>
            </w:pPr>
            <w:r>
              <w:t xml:space="preserve">Incluye el conjunto mínimo de 41 §19, o justifica cada exclusión.</w:t>
            </w:r>
          </w:p>
        </w:tc>
        <w:tc>
          <w:tcPr>
            <w:tcW w:w="4819" w:type="dxa"/>
          </w:tcPr>
          <w:p>
            <w:pPr>
              <w:pStyle w:val="Celda"/>
            </w:pPr>
          </w:p>
        </w:tc>
      </w:tr>
      <w:tr>
        <w:tc>
          <w:tcPr>
            <w:tcW w:w="4819" w:type="dxa"/>
          </w:tcPr>
          <w:p>
            <w:pPr>
              <w:pStyle w:val="Celda"/>
            </w:pPr>
            <w:r>
              <w:t xml:space="preserve">Incluye, para el panel del consejo, los bloques de 41 §20 que aplican.</w:t>
            </w:r>
          </w:p>
        </w:tc>
        <w:tc>
          <w:tcPr>
            <w:tcW w:w="4819" w:type="dxa"/>
          </w:tcPr>
          <w:p>
            <w:pPr>
              <w:pStyle w:val="Celda"/>
            </w:pPr>
          </w:p>
        </w:tc>
      </w:tr>
      <w:tr>
        <w:tc>
          <w:tcPr>
            <w:tcW w:w="4819" w:type="dxa"/>
          </w:tcPr>
          <w:p>
            <w:pPr>
              <w:pStyle w:val="Celda"/>
            </w:pPr>
            <w:r>
              <w:t xml:space="preserve">Cada indicador de velocidad o automatización tiene su indicador de contraste de calidad o riesgo (41 §2, regla 7).</w:t>
            </w:r>
          </w:p>
        </w:tc>
        <w:tc>
          <w:tcPr>
            <w:tcW w:w="4819" w:type="dxa"/>
          </w:tcPr>
          <w:p>
            <w:pPr>
              <w:pStyle w:val="Celda"/>
            </w:pPr>
          </w:p>
        </w:tc>
      </w:tr>
      <w:tr>
        <w:tc>
          <w:tcPr>
            <w:tcW w:w="4819" w:type="dxa"/>
          </w:tcPr>
          <w:p>
            <w:pPr>
              <w:pStyle w:val="Celda"/>
            </w:pPr>
            <w:r>
              <w:t xml:space="preserve">Los indicadores de valor muestran su proporción validada (41 §2, regla 4).</w:t>
            </w:r>
          </w:p>
        </w:tc>
        <w:tc>
          <w:tcPr>
            <w:tcW w:w="4819" w:type="dxa"/>
          </w:tcPr>
          <w:p>
            <w:pPr>
              <w:pStyle w:val="Celda"/>
            </w:pPr>
          </w:p>
        </w:tc>
      </w:tr>
    </w:tbl>
    <w:p>
      <w:pPr>
        <w:pStyle w:val="Espacio"/>
      </w:pPr>
    </w:p>
    <w:p>
      <w:pPr>
        <w:pStyle w:val="Heading2"/>
      </w:pPr>
      <w:r>
        <w:t xml:space="preserve">13.2 Indicadores propios</w:t>
      </w:r>
    </w:p>
    <w:p>
      <w:r>
        <w:t xml:space="preserve">Cada indicador propio se documenta con la ficha de 41 §5 y se aprueba por la oficina de IA con conformidad de control de gestión (41 §2, regla 8). Aquí se registra su selección.</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Código</w:t>
            </w:r>
          </w:p>
        </w:tc>
        <w:tc>
          <w:tcPr>
            <w:tcW w:w="876" w:type="dxa"/>
            <w:shd w:val="clear" w:color="auto" w:fill="F2DFCE"/>
          </w:tcPr>
          <w:p>
            <w:pPr>
              <w:pStyle w:val="Celda"/>
            </w:pPr>
            <w:r>
              <w:rPr>
                <w:b/>
              </w:rPr>
              <w:t xml:space="preserve">Nombre y definición</w:t>
            </w:r>
          </w:p>
        </w:tc>
        <w:tc>
          <w:tcPr>
            <w:tcW w:w="876" w:type="dxa"/>
            <w:shd w:val="clear" w:color="auto" w:fill="F2DFCE"/>
          </w:tcPr>
          <w:p>
            <w:pPr>
              <w:pStyle w:val="Celda"/>
            </w:pPr>
            <w:r>
              <w:rPr>
                <w:b/>
              </w:rPr>
              <w:t xml:space="preserve">Fórmula</w:t>
            </w:r>
          </w:p>
        </w:tc>
        <w:tc>
          <w:tcPr>
            <w:tcW w:w="876" w:type="dxa"/>
            <w:shd w:val="clear" w:color="auto" w:fill="F2DFCE"/>
          </w:tcPr>
          <w:p>
            <w:pPr>
              <w:pStyle w:val="Celda"/>
            </w:pPr>
            <w:r>
              <w:rPr>
                <w:b/>
              </w:rPr>
              <w:t xml:space="preserve">Unidad</w:t>
            </w:r>
          </w:p>
        </w:tc>
        <w:tc>
          <w:tcPr>
            <w:tcW w:w="876" w:type="dxa"/>
            <w:shd w:val="clear" w:color="auto" w:fill="F2DFCE"/>
          </w:tcPr>
          <w:p>
            <w:pPr>
              <w:pStyle w:val="Celda"/>
            </w:pPr>
            <w:r>
              <w:rPr>
                <w:b/>
              </w:rPr>
              <w:t xml:space="preserve">Meta</w:t>
            </w:r>
          </w:p>
        </w:tc>
        <w:tc>
          <w:tcPr>
            <w:tcW w:w="876" w:type="dxa"/>
            <w:shd w:val="clear" w:color="auto" w:fill="F2DFCE"/>
          </w:tcPr>
          <w:p>
            <w:pPr>
              <w:pStyle w:val="Celda"/>
            </w:pPr>
            <w:r>
              <w:rPr>
                <w:b/>
              </w:rPr>
              <w:t xml:space="preserve">Umbral</w:t>
            </w:r>
          </w:p>
        </w:tc>
        <w:tc>
          <w:tcPr>
            <w:tcW w:w="876" w:type="dxa"/>
            <w:shd w:val="clear" w:color="auto" w:fill="F2DFCE"/>
          </w:tcPr>
          <w:p>
            <w:pPr>
              <w:pStyle w:val="Celda"/>
            </w:pPr>
            <w:r>
              <w:rPr>
                <w:b/>
              </w:rPr>
              <w:t xml:space="preserve">Periodicidad</w:t>
            </w:r>
          </w:p>
        </w:tc>
        <w:tc>
          <w:tcPr>
            <w:tcW w:w="876" w:type="dxa"/>
            <w:shd w:val="clear" w:color="auto" w:fill="F2DFCE"/>
          </w:tcPr>
          <w:p>
            <w:pPr>
              <w:pStyle w:val="Celda"/>
            </w:pPr>
            <w:r>
              <w:rPr>
                <w:b/>
              </w:rPr>
              <w:t xml:space="preserve">Responsable</w:t>
            </w:r>
          </w:p>
        </w:tc>
        <w:tc>
          <w:tcPr>
            <w:tcW w:w="876" w:type="dxa"/>
            <w:shd w:val="clear" w:color="auto" w:fill="F2DFCE"/>
          </w:tcPr>
          <w:p>
            <w:pPr>
              <w:pStyle w:val="Celda"/>
            </w:pPr>
            <w:r>
              <w:rPr>
                <w:b/>
              </w:rPr>
              <w:t xml:space="preserve">Fuente</w:t>
            </w:r>
          </w:p>
        </w:tc>
        <w:tc>
          <w:tcPr>
            <w:tcW w:w="876" w:type="dxa"/>
            <w:shd w:val="clear" w:color="auto" w:fill="F2DFCE"/>
          </w:tcPr>
          <w:p>
            <w:pPr>
              <w:pStyle w:val="Celda"/>
            </w:pPr>
            <w:r>
              <w:rPr>
                <w:b/>
              </w:rPr>
              <w:t xml:space="preserve">Indicador de contraste</w:t>
            </w:r>
          </w:p>
        </w:tc>
        <w:tc>
          <w:tcPr>
            <w:tcW w:w="876" w:type="dxa"/>
            <w:shd w:val="clear" w:color="auto" w:fill="F2DFCE"/>
          </w:tcPr>
          <w:p>
            <w:pPr>
              <w:pStyle w:val="Celda"/>
            </w:pPr>
            <w:r>
              <w:rPr>
                <w:b/>
              </w:rPr>
              <w:t xml:space="preserve">Ficha de 41 §5 completada (Sí · No)</w:t>
            </w:r>
          </w:p>
        </w:tc>
      </w:tr>
      <w:tr>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bl>
    <w:p>
      <w:pPr>
        <w:pStyle w:val="Espacio"/>
      </w:pPr>
    </w:p>
    <w:p>
      <w:pPr>
        <w:pStyle w:val="Separador"/>
      </w:pPr>
    </w:p>
    <w:p>
      <w:pPr>
        <w:pStyle w:val="Heading1"/>
      </w:pPr>
      <w:r>
        <w:t xml:space="preserve">14. Registro de versiones de umbrales</w:t>
      </w:r>
    </w:p>
    <w:p>
      <w:r>
        <w:t xml:space="preserve">Los umbrales </w:t>
      </w:r>
      <w:r>
        <w:rPr>
          <w:b/>
        </w:rPr>
        <w:t xml:space="preserve">no se cambian dentro del ciclo anual</w:t>
      </w:r>
      <w:r>
        <w:t xml:space="preserve">; se recalibran en C5 con datos propios y los aprueba el consejo (12 §8; 13 §13). Cada cálculo del índice, del mapa de calor o del semáforo registra la versión de umbrales que usó. La versión 0.1 es la de los valores orientativos del marco.</w:t>
      </w:r>
    </w:p>
    <w:p>
      <w:r>
        <w:rPr>
          <w:b/>
        </w:rPr>
        <w:t xml:space="preserve">Parámetros versionados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Parámetro</w:t>
            </w:r>
          </w:p>
        </w:tc>
        <w:tc>
          <w:tcPr>
            <w:tcW w:w="2410" w:type="dxa"/>
            <w:shd w:val="clear" w:color="auto" w:fill="F2DFCE"/>
          </w:tcPr>
          <w:p>
            <w:pPr>
              <w:pStyle w:val="Celda"/>
            </w:pPr>
            <w:r>
              <w:rPr>
                <w:b/>
              </w:rPr>
              <w:t xml:space="preserve">Documento de origen</w:t>
            </w:r>
          </w:p>
        </w:tc>
        <w:tc>
          <w:tcPr>
            <w:tcW w:w="2410" w:type="dxa"/>
            <w:shd w:val="clear" w:color="auto" w:fill="F2DFCE"/>
          </w:tcPr>
          <w:p>
            <w:pPr>
              <w:pStyle w:val="Celda"/>
            </w:pPr>
            <w:r>
              <w:rPr>
                <w:b/>
              </w:rPr>
              <w:t xml:space="preserve">Versión vigente</w:t>
            </w:r>
          </w:p>
        </w:tc>
        <w:tc>
          <w:tcPr>
            <w:tcW w:w="2410" w:type="dxa"/>
            <w:shd w:val="clear" w:color="auto" w:fill="F2DFCE"/>
          </w:tcPr>
          <w:p>
            <w:pPr>
              <w:pStyle w:val="Celda"/>
            </w:pPr>
            <w:r>
              <w:rPr>
                <w:b/>
              </w:rPr>
              <w:t xml:space="preserve">Desviación respecto al valor del marco (Sí · No)</w:t>
            </w:r>
          </w:p>
        </w:tc>
      </w:tr>
      <w:tr>
        <w:tc>
          <w:tcPr>
            <w:tcW w:w="2410" w:type="dxa"/>
          </w:tcPr>
          <w:p>
            <w:pPr>
              <w:pStyle w:val="Celda"/>
            </w:pPr>
            <w:r>
              <w:t xml:space="preserve">Umbrales de las señales y condiciones del índice de transformación</w:t>
            </w:r>
          </w:p>
        </w:tc>
        <w:tc>
          <w:tcPr>
            <w:tcW w:w="2410" w:type="dxa"/>
          </w:tcPr>
          <w:p>
            <w:pPr>
              <w:pStyle w:val="Celda"/>
            </w:pPr>
            <w:r>
              <w:t xml:space="preserve">12 §4.3 y §4.5</w:t>
            </w:r>
          </w:p>
        </w:tc>
        <w:tc>
          <w:tcPr>
            <w:tcW w:w="2410" w:type="dxa"/>
          </w:tcPr>
          <w:p>
            <w:pPr>
              <w:pStyle w:val="Celda"/>
            </w:pPr>
          </w:p>
        </w:tc>
        <w:tc>
          <w:tcPr>
            <w:tcW w:w="2410" w:type="dxa"/>
          </w:tcPr>
          <w:p>
            <w:pPr>
              <w:pStyle w:val="Celda"/>
            </w:pPr>
          </w:p>
        </w:tc>
      </w:tr>
      <w:tr>
        <w:tc>
          <w:tcPr>
            <w:tcW w:w="2410" w:type="dxa"/>
          </w:tcPr>
          <w:p>
            <w:pPr>
              <w:pStyle w:val="Celda"/>
            </w:pPr>
            <w:r>
              <w:t xml:space="preserve">Umbrales de color y marcas del mapa de calor</w:t>
            </w:r>
          </w:p>
        </w:tc>
        <w:tc>
          <w:tcPr>
            <w:tcW w:w="2410" w:type="dxa"/>
          </w:tcPr>
          <w:p>
            <w:pPr>
              <w:pStyle w:val="Celda"/>
            </w:pPr>
            <w:r>
              <w:t xml:space="preserve">10 §8.1</w:t>
            </w:r>
          </w:p>
        </w:tc>
        <w:tc>
          <w:tcPr>
            <w:tcW w:w="2410" w:type="dxa"/>
          </w:tcPr>
          <w:p>
            <w:pPr>
              <w:pStyle w:val="Celda"/>
            </w:pPr>
          </w:p>
        </w:tc>
        <w:tc>
          <w:tcPr>
            <w:tcW w:w="2410" w:type="dxa"/>
          </w:tcPr>
          <w:p>
            <w:pPr>
              <w:pStyle w:val="Celda"/>
            </w:pPr>
          </w:p>
        </w:tc>
      </w:tr>
      <w:tr>
        <w:tc>
          <w:tcPr>
            <w:tcW w:w="2410" w:type="dxa"/>
          </w:tcPr>
          <w:p>
            <w:pPr>
              <w:pStyle w:val="Celda"/>
            </w:pPr>
            <w:r>
              <w:t xml:space="preserve">Semáforo de programas</w:t>
            </w:r>
          </w:p>
        </w:tc>
        <w:tc>
          <w:tcPr>
            <w:tcW w:w="2410" w:type="dxa"/>
          </w:tcPr>
          <w:p>
            <w:pPr>
              <w:pStyle w:val="Celda"/>
            </w:pPr>
            <w:r>
              <w:t xml:space="preserve">14 §12.1</w:t>
            </w:r>
          </w:p>
        </w:tc>
        <w:tc>
          <w:tcPr>
            <w:tcW w:w="2410" w:type="dxa"/>
          </w:tcPr>
          <w:p>
            <w:pPr>
              <w:pStyle w:val="Celda"/>
            </w:pPr>
          </w:p>
        </w:tc>
        <w:tc>
          <w:tcPr>
            <w:tcW w:w="2410" w:type="dxa"/>
          </w:tcPr>
          <w:p>
            <w:pPr>
              <w:pStyle w:val="Celda"/>
            </w:pPr>
          </w:p>
        </w:tc>
      </w:tr>
      <w:tr>
        <w:tc>
          <w:tcPr>
            <w:tcW w:w="2410" w:type="dxa"/>
          </w:tcPr>
          <w:p>
            <w:pPr>
              <w:pStyle w:val="Celda"/>
            </w:pPr>
            <w:r>
              <w:t xml:space="preserve">Pesos de las dimensiones de madurez</w:t>
            </w:r>
          </w:p>
        </w:tc>
        <w:tc>
          <w:tcPr>
            <w:tcW w:w="2410" w:type="dxa"/>
          </w:tcPr>
          <w:p>
            <w:pPr>
              <w:pStyle w:val="Celda"/>
            </w:pPr>
            <w:r>
              <w:t xml:space="preserve">11 §2.3</w:t>
            </w:r>
          </w:p>
        </w:tc>
        <w:tc>
          <w:tcPr>
            <w:tcW w:w="2410" w:type="dxa"/>
          </w:tcPr>
          <w:p>
            <w:pPr>
              <w:pStyle w:val="Celda"/>
            </w:pPr>
          </w:p>
        </w:tc>
        <w:tc>
          <w:tcPr>
            <w:tcW w:w="2410" w:type="dxa"/>
          </w:tcPr>
          <w:p>
            <w:pPr>
              <w:pStyle w:val="Celda"/>
            </w:pPr>
          </w:p>
        </w:tc>
      </w:tr>
      <w:tr>
        <w:tc>
          <w:tcPr>
            <w:tcW w:w="2410" w:type="dxa"/>
          </w:tcPr>
          <w:p>
            <w:pPr>
              <w:pStyle w:val="Celda"/>
            </w:pPr>
            <w:r>
              <w:t xml:space="preserve">Umbrales de impacto económico, inversión y materialidad</w:t>
            </w:r>
          </w:p>
        </w:tc>
        <w:tc>
          <w:tcPr>
            <w:tcW w:w="2410" w:type="dxa"/>
          </w:tcPr>
          <w:p>
            <w:pPr>
              <w:pStyle w:val="Celda"/>
            </w:pPr>
            <w:r>
              <w:t xml:space="preserve">Secciones 7.1 y 7.2</w:t>
            </w:r>
          </w:p>
        </w:tc>
        <w:tc>
          <w:tcPr>
            <w:tcW w:w="2410" w:type="dxa"/>
          </w:tcPr>
          <w:p>
            <w:pPr>
              <w:pStyle w:val="Celda"/>
            </w:pPr>
          </w:p>
        </w:tc>
        <w:tc>
          <w:tcPr>
            <w:tcW w:w="2410" w:type="dxa"/>
          </w:tcPr>
          <w:p>
            <w:pPr>
              <w:pStyle w:val="Celda"/>
            </w:pPr>
          </w:p>
        </w:tc>
      </w:tr>
      <w:tr>
        <w:tc>
          <w:tcPr>
            <w:tcW w:w="2410" w:type="dxa"/>
          </w:tcPr>
          <w:p>
            <w:pPr>
              <w:pStyle w:val="Celda"/>
            </w:pPr>
            <w:r>
              <w:t xml:space="preserve">Plazos de referencia</w:t>
            </w:r>
          </w:p>
        </w:tc>
        <w:tc>
          <w:tcPr>
            <w:tcW w:w="2410" w:type="dxa"/>
          </w:tcPr>
          <w:p>
            <w:pPr>
              <w:pStyle w:val="Celda"/>
            </w:pPr>
            <w:r>
              <w:t xml:space="preserve">Sección 9.1; 03 §3.6</w:t>
            </w:r>
          </w:p>
        </w:tc>
        <w:tc>
          <w:tcPr>
            <w:tcW w:w="2410" w:type="dxa"/>
          </w:tcPr>
          <w:p>
            <w:pPr>
              <w:pStyle w:val="Celda"/>
            </w:pPr>
          </w:p>
        </w:tc>
        <w:tc>
          <w:tcPr>
            <w:tcW w:w="2410" w:type="dxa"/>
          </w:tcPr>
          <w:p>
            <w:pPr>
              <w:pStyle w:val="Celda"/>
            </w:pPr>
          </w:p>
        </w:tc>
      </w:tr>
      <w:tr>
        <w:tc>
          <w:tcPr>
            <w:tcW w:w="2410" w:type="dxa"/>
          </w:tcPr>
          <w:p>
            <w:pPr>
              <w:pStyle w:val="Celda"/>
            </w:pPr>
            <w:r>
              <w:t xml:space="preserve">Métricas de tolerancia</w:t>
            </w:r>
          </w:p>
        </w:tc>
        <w:tc>
          <w:tcPr>
            <w:tcW w:w="2410" w:type="dxa"/>
          </w:tcPr>
          <w:p>
            <w:pPr>
              <w:pStyle w:val="Celda"/>
            </w:pPr>
            <w:r>
              <w:t xml:space="preserve">Sección 6.2</w:t>
            </w:r>
          </w:p>
        </w:tc>
        <w:tc>
          <w:tcPr>
            <w:tcW w:w="2410" w:type="dxa"/>
          </w:tcPr>
          <w:p>
            <w:pPr>
              <w:pStyle w:val="Celda"/>
            </w:pPr>
          </w:p>
        </w:tc>
        <w:tc>
          <w:tcPr>
            <w:tcW w:w="2410" w:type="dxa"/>
          </w:tcPr>
          <w:p>
            <w:pPr>
              <w:pStyle w:val="Celda"/>
            </w:pPr>
          </w:p>
        </w:tc>
      </w:tr>
    </w:tbl>
    <w:p>
      <w:pPr>
        <w:pStyle w:val="Espacio"/>
      </w:pPr>
    </w:p>
    <w:p>
      <w:r>
        <w:rPr>
          <w:b/>
        </w:rPr>
        <w:t xml:space="preserve">Historial de cambios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Versión</w:t>
            </w:r>
          </w:p>
        </w:tc>
        <w:tc>
          <w:tcPr>
            <w:tcW w:w="1205" w:type="dxa"/>
            <w:shd w:val="clear" w:color="auto" w:fill="F2DFCE"/>
          </w:tcPr>
          <w:p>
            <w:pPr>
              <w:pStyle w:val="Celda"/>
            </w:pPr>
            <w:r>
              <w:rPr>
                <w:b/>
              </w:rPr>
              <w:t xml:space="preserve">Parámetro</w:t>
            </w:r>
          </w:p>
        </w:tc>
        <w:tc>
          <w:tcPr>
            <w:tcW w:w="1205" w:type="dxa"/>
            <w:shd w:val="clear" w:color="auto" w:fill="F2DFCE"/>
          </w:tcPr>
          <w:p>
            <w:pPr>
              <w:pStyle w:val="Celda"/>
            </w:pPr>
            <w:r>
              <w:rPr>
                <w:b/>
              </w:rPr>
              <w:t xml:space="preserve">Valor anterior</w:t>
            </w:r>
          </w:p>
        </w:tc>
        <w:tc>
          <w:tcPr>
            <w:tcW w:w="1205" w:type="dxa"/>
            <w:shd w:val="clear" w:color="auto" w:fill="F2DFCE"/>
          </w:tcPr>
          <w:p>
            <w:pPr>
              <w:pStyle w:val="Celda"/>
            </w:pPr>
            <w:r>
              <w:rPr>
                <w:b/>
              </w:rPr>
              <w:t xml:space="preserve">Valor nuevo</w:t>
            </w:r>
          </w:p>
        </w:tc>
        <w:tc>
          <w:tcPr>
            <w:tcW w:w="1205" w:type="dxa"/>
            <w:shd w:val="clear" w:color="auto" w:fill="F2DFCE"/>
          </w:tcPr>
          <w:p>
            <w:pPr>
              <w:pStyle w:val="Celda"/>
            </w:pPr>
            <w:r>
              <w:rPr>
                <w:b/>
              </w:rPr>
              <w:t xml:space="preserve">Justificación con datos propios</w:t>
            </w:r>
          </w:p>
        </w:tc>
        <w:tc>
          <w:tcPr>
            <w:tcW w:w="1205" w:type="dxa"/>
            <w:shd w:val="clear" w:color="auto" w:fill="F2DFCE"/>
          </w:tcPr>
          <w:p>
            <w:pPr>
              <w:pStyle w:val="Celda"/>
            </w:pPr>
            <w:r>
              <w:rPr>
                <w:b/>
              </w:rPr>
              <w:t xml:space="preserve">Recalculado el periodo anterior (Sí · No)</w:t>
            </w:r>
          </w:p>
        </w:tc>
        <w:tc>
          <w:tcPr>
            <w:tcW w:w="1205" w:type="dxa"/>
            <w:shd w:val="clear" w:color="auto" w:fill="F2DFCE"/>
          </w:tcPr>
          <w:p>
            <w:pPr>
              <w:pStyle w:val="Celda"/>
            </w:pPr>
            <w:r>
              <w:rPr>
                <w:b/>
              </w:rPr>
              <w:t xml:space="preserve">Comprobación de auditoría interna: no se propone para mejorar el resultado del año</w:t>
            </w:r>
          </w:p>
        </w:tc>
        <w:tc>
          <w:tcPr>
            <w:tcW w:w="1205" w:type="dxa"/>
            <w:shd w:val="clear" w:color="auto" w:fill="F2DFCE"/>
          </w:tcPr>
          <w:p>
            <w:pPr>
              <w:pStyle w:val="Celda"/>
            </w:pPr>
            <w:r>
              <w:rPr>
                <w:b/>
              </w:rPr>
              <w:t xml:space="preserve">Aprobado por y fecha</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(ejemplo ilustrativo)</w:t>
            </w:r>
            <w:r>
              <w:t xml:space="preserve"> 0.2</w:t>
            </w:r>
          </w:p>
        </w:tc>
        <w:tc>
          <w:tcPr>
            <w:tcW w:w="1205" w:type="dxa"/>
          </w:tcPr>
          <w:p>
            <w:pPr>
              <w:pStyle w:val="Celda"/>
            </w:pPr>
            <w:r>
              <w:t xml:space="preserve">Señal 6 · Ingresos habilitados por IA, umbral del nivel 2</w:t>
            </w:r>
          </w:p>
        </w:tc>
        <w:tc>
          <w:tcPr>
            <w:tcW w:w="1205" w:type="dxa"/>
          </w:tcPr>
          <w:p>
            <w:pPr>
              <w:pStyle w:val="Celda"/>
            </w:pPr>
            <w:r>
              <w:t xml:space="preserve">0,5 %</w:t>
            </w:r>
          </w:p>
        </w:tc>
        <w:tc>
          <w:tcPr>
            <w:tcW w:w="1205" w:type="dxa"/>
          </w:tcPr>
          <w:p>
            <w:pPr>
              <w:pStyle w:val="Celda"/>
            </w:pPr>
            <w:r>
              <w:t xml:space="preserve">0,3 %</w:t>
            </w:r>
          </w:p>
        </w:tc>
        <w:tc>
          <w:tcPr>
            <w:tcW w:w="1205" w:type="dxa"/>
          </w:tcPr>
          <w:p>
            <w:pPr>
              <w:pStyle w:val="Celda"/>
            </w:pPr>
            <w:r>
              <w:t xml:space="preserve">Sector con márgenes bajos; distribución de cuatro cálculos trimestrales</w:t>
            </w:r>
          </w:p>
        </w:tc>
        <w:tc>
          <w:tcPr>
            <w:tcW w:w="1205" w:type="dxa"/>
          </w:tcPr>
          <w:p>
            <w:pPr>
              <w:pStyle w:val="Celda"/>
            </w:pPr>
            <w:r>
              <w:t xml:space="preserve">Sí</w:t>
            </w:r>
          </w:p>
        </w:tc>
        <w:tc>
          <w:tcPr>
            <w:tcW w:w="1205" w:type="dxa"/>
          </w:tcPr>
          <w:p>
            <w:pPr>
              <w:pStyle w:val="Celda"/>
            </w:pPr>
            <w:r>
              <w:t xml:space="preserve">Conforme</w:t>
            </w:r>
          </w:p>
        </w:tc>
        <w:tc>
          <w:tcPr>
            <w:tcW w:w="1205" w:type="dxa"/>
          </w:tcPr>
          <w:p>
            <w:pPr>
              <w:pStyle w:val="Celda"/>
            </w:pPr>
            <w:r>
              <w:t xml:space="preserve">Consejo, 15-12-2027</w:t>
            </w:r>
          </w:p>
        </w:tc>
      </w:tr>
    </w:tbl>
    <w:p>
      <w:pPr>
        <w:pStyle w:val="Espacio"/>
      </w:pPr>
    </w:p>
    <w:p>
      <w:r>
        <w:t xml:space="preserve">Una compañía que declare aplicar SEVEN-G indica las desviaciones respecto a los umbrales del marco (12 §8).</w:t>
      </w:r>
    </w:p>
    <w:p>
      <w:pPr>
        <w:pStyle w:val="Separador"/>
      </w:pPr>
    </w:p>
    <w:p>
      <w:pPr>
        <w:pStyle w:val="Heading1"/>
      </w:pPr>
      <w:r>
        <w:t xml:space="preserve">15. Criterios de calidad</w:t>
      </w:r>
    </w:p>
    <w:p>
      <w:r>
        <w:t xml:space="preserve">Criterios de 13 §14, que el auditor de IA o la auditoría interna comprueban antes de la aprobación.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Base diagnóstica: cada componente cita los resultados de C1 en que se apoya, con «sin dato» explícito.</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Completitud: están los doce componentes de 13 §2, o se justifica la ausencia.</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Renuncias: la tesis incluye qué no se hará y hay esferas no prioritarias o de prioridad baja.</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Coherencia ambición–presupuesto: toda esfera con Transformar tiene sobre y candidata; las bandas son compatibles con la tesis.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No mezcla de niveles: las esferas 08 y 09 tienen grados, no niveles de ambición.</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Apetito medible: cada categoría tiene grado, declaración y al menos una métrica con fórmula, tolerancia y límite.</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Proporcionalidad: los umbrales económicos están expresados sobre una magnitud de referencia y en euros.</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Límites regulatorios: los plazos no superan los regulatorios; las líneas rojas incluyen el mínimo de 13 §11.</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Responsables: cada esfera y cada categoría tiene responsable de la alta dirección.</w:t>
            </w:r>
          </w:p>
        </w:tc>
        <w:tc>
          <w:tcPr>
            <w:tcW w:w="3213" w:type="dxa"/>
          </w:tcPr>
          <w:p>
            <w:pPr>
              <w:pStyle w:val="Celda"/>
            </w:pPr>
          </w:p>
        </w:tc>
      </w:tr>
      <w:tr>
        <w:tc>
          <w:tcPr>
            <w:tcW w:w="3213" w:type="dxa"/>
          </w:tcPr>
          <w:p>
            <w:pPr>
              <w:pStyle w:val="Celda"/>
            </w:pPr>
            <w:r>
              <w:t xml:space="preserve">10</w:t>
            </w:r>
          </w:p>
        </w:tc>
        <w:tc>
          <w:tcPr>
            <w:tcW w:w="3213" w:type="dxa"/>
          </w:tcPr>
          <w:p>
            <w:pPr>
              <w:pStyle w:val="Celda"/>
            </w:pPr>
            <w:r>
              <w:t xml:space="preserve">Revisión: hay fecha de revisión anual, desencadenantes de revisión extraordinaria y versión de umbrales registrada.</w:t>
            </w:r>
          </w:p>
        </w:tc>
        <w:tc>
          <w:tcPr>
            <w:tcW w:w="3213" w:type="dxa"/>
          </w:tcPr>
          <w:p>
            <w:pPr>
              <w:pStyle w:val="Celda"/>
            </w:pPr>
          </w:p>
        </w:tc>
      </w:tr>
      <w:tr>
        <w:tc>
          <w:tcPr>
            <w:tcW w:w="3213" w:type="dxa"/>
          </w:tcPr>
          <w:p>
            <w:pPr>
              <w:pStyle w:val="Celda"/>
            </w:pPr>
            <w:r>
              <w:t xml:space="preserve">11</w:t>
            </w:r>
          </w:p>
        </w:tc>
        <w:tc>
          <w:tcPr>
            <w:tcW w:w="3213" w:type="dxa"/>
          </w:tcPr>
          <w:p>
            <w:pPr>
              <w:pStyle w:val="Celda"/>
            </w:pPr>
            <w:r>
              <w:t xml:space="preserve">Indicadores: la selección incluye el conjunto mínimo de 41 §19 o justifica las exclusiones, cada indicador tiene meta, umbral, periodicidad, responsable y fuente, y los propios tienen ficha de 41 §5.</w:t>
            </w:r>
          </w:p>
        </w:tc>
        <w:tc>
          <w:tcPr>
            <w:tcW w:w="3213" w:type="dxa"/>
          </w:tcPr>
          <w:p>
            <w:pPr>
              <w:pStyle w:val="Celda"/>
            </w:pPr>
          </w:p>
        </w:tc>
      </w:tr>
    </w:tbl>
    <w:p>
      <w:pPr>
        <w:pStyle w:val="Espacio"/>
      </w:pPr>
    </w:p>
    <w:p>
      <w:pPr>
        <w:pStyle w:val="Separador"/>
      </w:pPr>
    </w:p>
    <w:p>
      <w:pPr>
        <w:pStyle w:val="Heading1"/>
      </w:pPr>
      <w:r>
        <w:t xml:space="preserve">16.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Prepara</w:t>
            </w:r>
          </w:p>
        </w:tc>
        <w:tc>
          <w:tcPr>
            <w:tcW w:w="1928" w:type="dxa"/>
          </w:tcPr>
          <w:p>
            <w:pPr>
              <w:pStyle w:val="Celda"/>
            </w:pPr>
            <w:r>
              <w:t xml:space="preserve">Alta dirección, con la oficina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Aporta conformidad sobre el apetito de riesgo</w:t>
            </w:r>
          </w:p>
        </w:tc>
        <w:tc>
          <w:tcPr>
            <w:tcW w:w="1928" w:type="dxa"/>
          </w:tcPr>
          <w:p>
            <w:pPr>
              <w:pStyle w:val="Celda"/>
            </w:pPr>
            <w:r>
              <w:t xml:space="preserve">Segunda línea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Auditor de IA o auditoría interna</w:t>
            </w:r>
          </w:p>
        </w:tc>
        <w:tc>
          <w:tcPr>
            <w:tcW w:w="1928" w:type="dxa"/>
          </w:tcPr>
          <w:p>
            <w:pPr>
              <w:pStyle w:val="Celda"/>
            </w:pPr>
          </w:p>
        </w:tc>
        <w:tc>
          <w:tcPr>
            <w:tcW w:w="1928" w:type="dxa"/>
          </w:tcPr>
          <w:p>
            <w:pPr>
              <w:pStyle w:val="Celda"/>
            </w:pPr>
          </w:p>
        </w:tc>
        <w:tc>
          <w:tcPr>
            <w:tcW w:w="1928" w:type="dxa"/>
          </w:tcPr>
          <w:p>
            <w:pPr>
              <w:pStyle w:val="Celda"/>
            </w:pPr>
            <w:r>
              <w:t xml:space="preserve">Resultado: Conforme · Conforme con observaciones · No conforme</w:t>
            </w:r>
          </w:p>
        </w:tc>
      </w:tr>
      <w:tr>
        <w:tc>
          <w:tcPr>
            <w:tcW w:w="1928" w:type="dxa"/>
          </w:tcPr>
          <w:p>
            <w:pPr>
              <w:pStyle w:val="Celda"/>
            </w:pPr>
            <w:r>
              <w:t xml:space="preserve">Aprueba</w:t>
            </w:r>
          </w:p>
        </w:tc>
        <w:tc>
          <w:tcPr>
            <w:tcW w:w="1928" w:type="dxa"/>
          </w:tcPr>
          <w:p>
            <w:pPr>
              <w:pStyle w:val="Celda"/>
            </w:pPr>
            <w:r>
              <w:t xml:space="preserve">Consejo o comisión con facultades delegadas</w:t>
            </w:r>
          </w:p>
        </w:tc>
        <w:tc>
          <w:tcPr>
            <w:tcW w:w="1928" w:type="dxa"/>
          </w:tcPr>
          <w:p>
            <w:pPr>
              <w:pStyle w:val="Celda"/>
            </w:pPr>
          </w:p>
        </w:tc>
        <w:tc>
          <w:tcPr>
            <w:tcW w:w="1928" w:type="dxa"/>
          </w:tcPr>
          <w:p>
            <w:pPr>
              <w:pStyle w:val="Celda"/>
            </w:pPr>
          </w:p>
        </w:tc>
        <w:tc>
          <w:tcPr>
            <w:tcW w:w="1928" w:type="dxa"/>
          </w:tcPr>
          <w:p>
            <w:pPr>
              <w:pStyle w:val="Celda"/>
            </w:pPr>
            <w:r>
              <w:t xml:space="preserve">Referencia del acta · DEC-AAAA-NNN</w:t>
            </w:r>
          </w:p>
        </w:tc>
      </w:tr>
      <w:tr>
        <w:tc>
          <w:tcPr>
            <w:tcW w:w="1928" w:type="dxa"/>
          </w:tcPr>
          <w:p>
            <w:pPr>
              <w:pStyle w:val="Celda"/>
            </w:pPr>
            <w:r>
              <w:t xml:space="preserve">Registra y comunica</w:t>
            </w:r>
          </w:p>
        </w:tc>
        <w:tc>
          <w:tcPr>
            <w:tcW w:w="1928" w:type="dxa"/>
          </w:tcPr>
          <w:p>
            <w:pPr>
              <w:pStyle w:val="Celda"/>
            </w:pPr>
            <w:r>
              <w:t xml:space="preserve">Oficina de IA</w:t>
            </w:r>
          </w:p>
        </w:tc>
        <w:tc>
          <w:tcPr>
            <w:tcW w:w="1928" w:type="dxa"/>
          </w:tcPr>
          <w:p>
            <w:pPr>
              <w:pStyle w:val="Celda"/>
            </w:pPr>
          </w:p>
        </w:tc>
        <w:tc>
          <w:tcPr>
            <w:tcW w:w="1928" w:type="dxa"/>
          </w:tcPr>
          <w:p>
            <w:pPr>
              <w:pStyle w:val="Celda"/>
            </w:pPr>
          </w:p>
        </w:tc>
        <w:tc>
          <w:tcPr>
            <w:tcW w:w="1928" w:type="dxa"/>
          </w:tcPr>
          <w:p>
            <w:pPr>
              <w:pStyle w:val="Celda"/>
            </w:pPr>
            <w:r>
              <w:t xml:space="preserve">T18; parámetros actualizados en las herramientas</w:t>
            </w:r>
          </w:p>
        </w:tc>
      </w:tr>
    </w:tbl>
    <w:p>
      <w:pPr>
        <w:pStyle w:val="Espacio"/>
      </w:pPr>
    </w:p>
    <w:p>
      <w:r>
        <w:t xml:space="preserve">Separación de funciones: quien prepara el documento no lo verifica; la aprobación de la tesis, el apetito de riesgo, el presupuesto marco y las líneas rojas no se delega en ningún sistema de IA (13 §11.2).</w:t>
      </w:r>
    </w:p>
    <w:p>
      <w:pPr>
        <w:pStyle w:val="Separador"/>
      </w:pPr>
    </w:p>
    <w:p>
      <w:pPr>
        <w:pStyle w:val="Heading1"/>
      </w:pPr>
      <w:r>
        <w:t xml:space="preserve">17.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Extrae como plantilla rellenable el anexo de 13 §15 (herramienta T19), incorpora los criterios de calidad de 13 §14 y añade la selección de indicadores aprobada (41 §1, §5, §19 y §20) y el registro de versiones de umbrales de 12 §8 y 13 §13.</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P35 · Tesis de IA y apetito de riesgo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P35 · Tesis de IA y apetito de riesgo</dc:title>
  <dc:creator>Fernando García Varela</dc:creator>
  <dc:language>es</dc:language>
  <dc:description>sha256:8f31a6acae631df18316d8425f449ff95a0d0a35e9954162126c7d69a390bbd8</dc:description>
  <cp:keywords>SEVEN-G</cp:keywords>
</cp:coreProperties>
</file>