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Plan de cartera C3</w:t>
      </w:r>
    </w:p>
    <w:p>
      <w:r>
        <w:rPr>
          <w:b/>
        </w:rPr>
        <w:t xml:space="preserve">Convierte la decisión de C2 en una cartera ejecutable: sobres por carril, priorización con los seis criterios, capacidad de los perfiles escasos, límites de cartera y concentración, calendario, semáforo de programas y plan de regularización de los sistemas existentes.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P36 · Plan de cartera C3</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Una tesis aprobada no cambia nada si la cartera se sigue decidiendo por quién pide más fuerte o por el retorno inmediato. El plan de cartera hace visible con qué criterios y pesos se ordena cada carril, cuánta capacidad escasa hay de verdad, qué límites de riesgo no se pueden superar y en qué plazo entran en el marco los sistemas que ya existían. Sin él, las apuestas de Transformar compiten con optimizaciones y pierden, la concentración de riesgo no se ve y la regularización queda abierta indefinidamente.</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En C3: en la primera implantación, en las semanas 11–12 (90 §4.4); después, cada año tras C2 o C5. Se actualiza en cada revisión trimestral de cartera (14 §7.2).</w:t>
            </w:r>
          </w:p>
        </w:tc>
      </w:tr>
      <w:tr>
        <w:tc>
          <w:tcPr>
            <w:tcW w:w="4819" w:type="dxa"/>
          </w:tcPr>
          <w:p>
            <w:pPr>
              <w:pStyle w:val="Celda"/>
            </w:pPr>
            <w:r>
              <w:rPr>
                <w:b/>
              </w:rPr>
              <w:t xml:space="preserve">Quién la rellena</w:t>
            </w:r>
          </w:p>
        </w:tc>
        <w:tc>
          <w:tcPr>
            <w:tcW w:w="4819" w:type="dxa"/>
          </w:tcPr>
          <w:p>
            <w:pPr>
              <w:pStyle w:val="Celda"/>
            </w:pPr>
            <w:r>
              <w:t xml:space="preserve">La oficina de IA prepara; control de gestión aporta importes y consumo; el responsable de riesgos de IA aporta límites y concentración; los patrocinadores aportan las fichas de entrada.</w:t>
            </w:r>
          </w:p>
        </w:tc>
      </w:tr>
      <w:tr>
        <w:tc>
          <w:tcPr>
            <w:tcW w:w="4819" w:type="dxa"/>
          </w:tcPr>
          <w:p>
            <w:pPr>
              <w:pStyle w:val="Celda"/>
            </w:pPr>
            <w:r>
              <w:rPr>
                <w:b/>
              </w:rPr>
              <w:t xml:space="preserve">Quién la verifica</w:t>
            </w:r>
          </w:p>
        </w:tc>
        <w:tc>
          <w:tcPr>
            <w:tcW w:w="4819" w:type="dxa"/>
          </w:tcPr>
          <w:p>
            <w:pPr>
              <w:pStyle w:val="Celda"/>
            </w:pPr>
            <w:r>
              <w:t xml:space="preserve">La oficina de IA comprueba el cálculo y la segunda línea los límites de riesgo; el auditor de IA revisa por muestreo la aplicación del método </w:t>
            </w:r>
            <w:r>
              <w:rPr>
                <w:b/>
              </w:rPr>
              <w:t xml:space="preserve">(Enterprise)</w:t>
            </w:r>
            <w:r>
              <w:t xml:space="preserve">.</w:t>
            </w:r>
          </w:p>
        </w:tc>
      </w:tr>
      <w:tr>
        <w:tc>
          <w:tcPr>
            <w:tcW w:w="4819" w:type="dxa"/>
          </w:tcPr>
          <w:p>
            <w:pPr>
              <w:pStyle w:val="Celda"/>
            </w:pPr>
            <w:r>
              <w:rPr>
                <w:b/>
              </w:rPr>
              <w:t xml:space="preserve">Quién decide o aprueba</w:t>
            </w:r>
          </w:p>
        </w:tc>
        <w:tc>
          <w:tcPr>
            <w:tcW w:w="4819" w:type="dxa"/>
          </w:tcPr>
          <w:p>
            <w:pPr>
              <w:pStyle w:val="Celda"/>
            </w:pPr>
            <w:r>
              <w:t xml:space="preserve">El comité de IA. El consejo aprueba las iniciativas de Transformar y cualquier trasvase de su sobre (14 §2.1).</w:t>
            </w:r>
          </w:p>
        </w:tc>
      </w:tr>
      <w:tr>
        <w:tc>
          <w:tcPr>
            <w:tcW w:w="4819" w:type="dxa"/>
          </w:tcPr>
          <w:p>
            <w:pPr>
              <w:pStyle w:val="Celda"/>
            </w:pPr>
            <w:r>
              <w:rPr>
                <w:b/>
              </w:rPr>
              <w:t xml:space="preserve">Etapa del ciclo corporativo</w:t>
            </w:r>
          </w:p>
        </w:tc>
        <w:tc>
          <w:tcPr>
            <w:tcW w:w="4819" w:type="dxa"/>
          </w:tcPr>
          <w:p>
            <w:pPr>
              <w:pStyle w:val="Celda"/>
            </w:pPr>
            <w:r>
              <w:t xml:space="preserve">C3 · Cartera, con seguimiento en C4. Entradas: P33 (C1) y P35 (C2).</w:t>
            </w:r>
          </w:p>
        </w:tc>
      </w:tr>
      <w:tr>
        <w:tc>
          <w:tcPr>
            <w:tcW w:w="4819" w:type="dxa"/>
          </w:tcPr>
          <w:p>
            <w:pPr>
              <w:pStyle w:val="Celda"/>
            </w:pPr>
            <w:r>
              <w:rPr>
                <w:b/>
              </w:rPr>
              <w:t xml:space="preserve">Herramientas</w:t>
            </w:r>
          </w:p>
        </w:tc>
        <w:tc>
          <w:tcPr>
            <w:tcW w:w="4819" w:type="dxa"/>
          </w:tcPr>
          <w:p>
            <w:pPr>
              <w:pStyle w:val="Celda"/>
            </w:pPr>
            <w:r>
              <w:t xml:space="preserve">T01 (ficha de entrada, puntuación, carriles, tramos, alertas, etiquetas «Programa» y «Regularización»), T16 (equilibrio por esfera), T22 (retiradas), T06 (concentración de riesgos).</w:t>
            </w:r>
          </w:p>
        </w:tc>
      </w:tr>
      <w:tr>
        <w:tc>
          <w:tcPr>
            <w:tcW w:w="4819" w:type="dxa"/>
          </w:tcPr>
          <w:p>
            <w:pPr>
              <w:pStyle w:val="Celda"/>
            </w:pPr>
            <w:r>
              <w:rPr>
                <w:b/>
              </w:rPr>
              <w:t xml:space="preserve">Documento de referencia</w:t>
            </w:r>
          </w:p>
        </w:tc>
        <w:tc>
          <w:tcPr>
            <w:tcW w:w="4819" w:type="dxa"/>
          </w:tcPr>
          <w:p>
            <w:pPr>
              <w:pStyle w:val="Celda"/>
            </w:pPr>
            <w:r>
              <w:t xml:space="preserve">Documento 14 (método completo); 01 §5.1; 90 §4.4 y §5.</w:t>
            </w:r>
          </w:p>
        </w:tc>
      </w:tr>
      <w:tr>
        <w:tc>
          <w:tcPr>
            <w:tcW w:w="4819" w:type="dxa"/>
          </w:tcPr>
          <w:p>
            <w:pPr>
              <w:pStyle w:val="Celda"/>
            </w:pPr>
            <w:r>
              <w:rPr>
                <w:b/>
              </w:rPr>
              <w:t xml:space="preserve">Lite frente a Enterprise</w:t>
            </w:r>
          </w:p>
        </w:tc>
        <w:tc>
          <w:tcPr>
            <w:tcW w:w="4819" w:type="dxa"/>
          </w:tcPr>
          <w:p>
            <w:pPr>
              <w:pStyle w:val="Celda"/>
            </w:pPr>
            <w:r>
              <w:t xml:space="preserve">Ambos alcances usan el plan. Los bloques marcados </w:t>
            </w:r>
            <w:r>
              <w:rPr>
                <w:b/>
              </w:rPr>
              <w:t xml:space="preserve">(Enterprise)</w:t>
            </w:r>
            <w:r>
              <w:t xml:space="preserve"> pueden omitirse con alcance Lite, justificándolo.</w:t>
            </w:r>
          </w:p>
        </w:tc>
      </w:tr>
    </w:tbl>
    <w:p>
      <w:pPr>
        <w:pStyle w:val="Espacio"/>
      </w:pPr>
    </w:p>
    <w:p>
      <w:r>
        <w:t xml:space="preserve">Reglas de cumplimentación:</w:t>
      </w:r>
    </w:p>
    <w:p>
      <w:pPr>
        <w:pStyle w:val="Lista"/>
      </w:pPr>
      <w:r>
        <w:t xml:space="preserve">• </w:t>
      </w:r>
      <w:r>
        <w:rPr>
          <w:b/>
        </w:rPr>
        <w:t xml:space="preserve">Cada ambición compite con su igual.</w:t>
      </w:r>
      <w:r>
        <w:t xml:space="preserve"> Las iniciativas se puntúan y se ordenan solo dentro de su carril (14 §4.4).</w:t>
      </w:r>
    </w:p>
    <w:p>
      <w:pPr>
        <w:pStyle w:val="Lista"/>
      </w:pPr>
      <w:r>
        <w:t xml:space="preserve">• </w:t>
      </w:r>
      <w:r>
        <w:rPr>
          <w:b/>
        </w:rPr>
        <w:t xml:space="preserve">Sin dato no es cero medido.</w:t>
      </w:r>
      <w:r>
        <w:t xml:space="preserve"> Un criterio sin dato puntúa 0 y se muestra como «sin dato»; con el neto adicional por euro sin dato no se supera G2 (14 §4.3).</w:t>
      </w:r>
    </w:p>
    <w:p>
      <w:pPr>
        <w:pStyle w:val="Lista"/>
      </w:pPr>
      <w:r>
        <w:t xml:space="preserve">• </w:t>
      </w:r>
      <w:r>
        <w:rPr>
          <w:b/>
        </w:rPr>
        <w:t xml:space="preserve">El orden puede alterarse</w:t>
      </w:r>
      <w:r>
        <w:t xml:space="preserve"> con justificación escrita registrada en T01; si afecta al carril de Transformar, se informa al consejo.</w:t>
      </w:r>
    </w:p>
    <w:p>
      <w:pPr>
        <w:pStyle w:val="Lista"/>
      </w:pPr>
      <w:r>
        <w:t xml:space="preserve">• </w:t>
      </w:r>
      <w:r>
        <w:rPr>
          <w:b/>
        </w:rPr>
        <w:t xml:space="preserve">Se financia por etapas.</w:t>
      </w:r>
      <w:r>
        <w:t xml:space="preserve"> El dinero se libera </w:t>
      </w:r>
      <w:r>
        <w:rPr>
          <w:i/>
        </w:rPr>
        <w:t xml:space="preserve">gate</w:t>
      </w:r>
      <w:r>
        <w:t xml:space="preserve"> a </w:t>
      </w:r>
      <w:r>
        <w:rPr>
          <w:i/>
        </w:rPr>
        <w:t xml:space="preserve">gate</w:t>
      </w:r>
      <w:r>
        <w:t xml:space="preserve"> por tramos (14 §6.2).</w:t>
      </w:r>
    </w:p>
    <w:p>
      <w:pPr>
        <w:pStyle w:val="Lista"/>
      </w:pPr>
      <w:r>
        <w:t xml:space="preserve">• La documentación de regularización se identifica como tal y con su fecha real; no acredita </w:t>
      </w:r>
      <w:r>
        <w:rPr>
          <w:i/>
        </w:rPr>
        <w:t xml:space="preserve">gates</w:t>
      </w:r>
      <w:r>
        <w:t xml:space="preserve"> pasados.</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del documento</w:t>
            </w:r>
          </w:p>
        </w:tc>
        <w:tc>
          <w:tcPr>
            <w:tcW w:w="3213" w:type="dxa"/>
          </w:tcPr>
          <w:p>
            <w:pPr>
              <w:pStyle w:val="Celda"/>
            </w:pPr>
          </w:p>
        </w:tc>
        <w:tc>
          <w:tcPr>
            <w:tcW w:w="3213" w:type="dxa"/>
          </w:tcPr>
          <w:p>
            <w:pPr>
              <w:pStyle w:val="Celda"/>
            </w:pPr>
          </w:p>
        </w:tc>
      </w:tr>
      <w:tr>
        <w:tc>
          <w:tcPr>
            <w:tcW w:w="3213" w:type="dxa"/>
          </w:tcPr>
          <w:p>
            <w:pPr>
              <w:pStyle w:val="Celda"/>
            </w:pPr>
            <w:r>
              <w:t xml:space="preserve">Compañía o grupo</w:t>
            </w:r>
          </w:p>
        </w:tc>
        <w:tc>
          <w:tcPr>
            <w:tcW w:w="3213" w:type="dxa"/>
          </w:tcPr>
          <w:p>
            <w:pPr>
              <w:pStyle w:val="Celda"/>
            </w:pPr>
          </w:p>
        </w:tc>
        <w:tc>
          <w:tcPr>
            <w:tcW w:w="3213" w:type="dxa"/>
          </w:tcPr>
          <w:p>
            <w:pPr>
              <w:pStyle w:val="Celda"/>
            </w:pPr>
            <w:r>
              <w:t xml:space="preserve">En los ejemplos, siempre ficticia.</w:t>
            </w:r>
          </w:p>
        </w:tc>
      </w:tr>
      <w:tr>
        <w:tc>
          <w:tcPr>
            <w:tcW w:w="3213" w:type="dxa"/>
          </w:tcPr>
          <w:p>
            <w:pPr>
              <w:pStyle w:val="Celda"/>
            </w:pPr>
            <w:r>
              <w:t xml:space="preserve">Ejercicio o periodo de la cartera</w:t>
            </w:r>
          </w:p>
        </w:tc>
        <w:tc>
          <w:tcPr>
            <w:tcW w:w="3213" w:type="dxa"/>
          </w:tcPr>
          <w:p>
            <w:pPr>
              <w:pStyle w:val="Celda"/>
            </w:pPr>
          </w:p>
        </w:tc>
        <w:tc>
          <w:tcPr>
            <w:tcW w:w="3213" w:type="dxa"/>
          </w:tcPr>
          <w:p>
            <w:pPr>
              <w:pStyle w:val="Celda"/>
            </w:pPr>
          </w:p>
        </w:tc>
      </w:tr>
      <w:tr>
        <w:tc>
          <w:tcPr>
            <w:tcW w:w="3213" w:type="dxa"/>
          </w:tcPr>
          <w:p>
            <w:pPr>
              <w:pStyle w:val="Celda"/>
            </w:pPr>
            <w:r>
              <w:t xml:space="preserve">Decisión de C2 de referencia</w:t>
            </w:r>
          </w:p>
        </w:tc>
        <w:tc>
          <w:tcPr>
            <w:tcW w:w="3213" w:type="dxa"/>
          </w:tcPr>
          <w:p>
            <w:pPr>
              <w:pStyle w:val="Celda"/>
            </w:pPr>
          </w:p>
        </w:tc>
        <w:tc>
          <w:tcPr>
            <w:tcW w:w="3213" w:type="dxa"/>
          </w:tcPr>
          <w:p>
            <w:pPr>
              <w:pStyle w:val="Celda"/>
            </w:pPr>
            <w:r>
              <w:t xml:space="preserve">Versión de P35 y DEC-AAAA-NNN.</w:t>
            </w:r>
          </w:p>
        </w:tc>
      </w:tr>
      <w:tr>
        <w:tc>
          <w:tcPr>
            <w:tcW w:w="3213" w:type="dxa"/>
          </w:tcPr>
          <w:p>
            <w:pPr>
              <w:pStyle w:val="Celda"/>
            </w:pPr>
            <w:r>
              <w:t xml:space="preserve">Informe de C1 de referencia</w:t>
            </w:r>
          </w:p>
        </w:tc>
        <w:tc>
          <w:tcPr>
            <w:tcW w:w="3213" w:type="dxa"/>
          </w:tcPr>
          <w:p>
            <w:pPr>
              <w:pStyle w:val="Celda"/>
            </w:pPr>
          </w:p>
        </w:tc>
        <w:tc>
          <w:tcPr>
            <w:tcW w:w="3213" w:type="dxa"/>
          </w:tcPr>
          <w:p>
            <w:pPr>
              <w:pStyle w:val="Celda"/>
            </w:pPr>
            <w:r>
              <w:t xml:space="preserve">Versión de P33.</w:t>
            </w:r>
          </w:p>
        </w:tc>
      </w:tr>
      <w:tr>
        <w:tc>
          <w:tcPr>
            <w:tcW w:w="3213" w:type="dxa"/>
          </w:tcPr>
          <w:p>
            <w:pPr>
              <w:pStyle w:val="Celda"/>
            </w:pPr>
            <w:r>
              <w:t xml:space="preserve">Horizonte de retorno de C2 (años)</w:t>
            </w:r>
          </w:p>
        </w:tc>
        <w:tc>
          <w:tcPr>
            <w:tcW w:w="3213" w:type="dxa"/>
          </w:tcPr>
          <w:p>
            <w:pPr>
              <w:pStyle w:val="Celda"/>
            </w:pPr>
          </w:p>
        </w:tc>
        <w:tc>
          <w:tcPr>
            <w:tcW w:w="3213" w:type="dxa"/>
          </w:tcPr>
          <w:p>
            <w:pPr>
              <w:pStyle w:val="Celda"/>
            </w:pPr>
            <w:r>
              <w:t xml:space="preserve">Para el múltiplo de la sección 4.</w:t>
            </w:r>
          </w:p>
        </w:tc>
      </w:tr>
      <w:tr>
        <w:tc>
          <w:tcPr>
            <w:tcW w:w="3213" w:type="dxa"/>
          </w:tcPr>
          <w:p>
            <w:pPr>
              <w:pStyle w:val="Celda"/>
            </w:pPr>
            <w:r>
              <w:t xml:space="preserve">Fecha de aprobación del comité de IA</w:t>
            </w:r>
          </w:p>
        </w:tc>
        <w:tc>
          <w:tcPr>
            <w:tcW w:w="3213" w:type="dxa"/>
          </w:tcPr>
          <w:p>
            <w:pPr>
              <w:pStyle w:val="Celda"/>
            </w:pPr>
          </w:p>
        </w:tc>
        <w:tc>
          <w:tcPr>
            <w:tcW w:w="3213" w:type="dxa"/>
          </w:tcPr>
          <w:p>
            <w:pPr>
              <w:pStyle w:val="Celda"/>
            </w:pPr>
            <w:r>
              <w:t xml:space="preserve">Referencia del acta.</w:t>
            </w:r>
          </w:p>
        </w:tc>
      </w:tr>
      <w:tr>
        <w:tc>
          <w:tcPr>
            <w:tcW w:w="3213" w:type="dxa"/>
          </w:tcPr>
          <w:p>
            <w:pPr>
              <w:pStyle w:val="Celda"/>
            </w:pPr>
            <w:r>
              <w:t xml:space="preserve">Versión del plan</w:t>
            </w:r>
          </w:p>
        </w:tc>
        <w:tc>
          <w:tcPr>
            <w:tcW w:w="3213" w:type="dxa"/>
          </w:tcPr>
          <w:p>
            <w:pPr>
              <w:pStyle w:val="Celda"/>
            </w:pPr>
          </w:p>
        </w:tc>
        <w:tc>
          <w:tcPr>
            <w:tcW w:w="3213" w:type="dxa"/>
          </w:tcPr>
          <w:p>
            <w:pPr>
              <w:pStyle w:val="Celda"/>
            </w:pPr>
            <w:r>
              <w:t xml:space="preserve">Se incrementa en cada revisión trimestral con cambios.</w:t>
            </w:r>
          </w:p>
        </w:tc>
      </w:tr>
    </w:tbl>
    <w:p>
      <w:pPr>
        <w:pStyle w:val="Espacio"/>
      </w:pPr>
    </w:p>
    <w:p>
      <w:pPr>
        <w:pStyle w:val="Separador"/>
      </w:pPr>
    </w:p>
    <w:p>
      <w:pPr>
        <w:pStyle w:val="Heading1"/>
      </w:pPr>
      <w:r>
        <w:t xml:space="preserve">3. Sobres por carril y presupuesto</w:t>
      </w:r>
    </w:p>
    <w:p>
      <w:r>
        <w:t xml:space="preserve">Importes aprobados en el presupuesto marco de C2 (P35, sección 11) y su estructura de C3 (14 §6.1). El coste recurrente comprometido se reserva primero.</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Partida</w:t>
            </w:r>
          </w:p>
        </w:tc>
        <w:tc>
          <w:tcPr>
            <w:tcW w:w="1606" w:type="dxa"/>
            <w:shd w:val="clear" w:color="auto" w:fill="F2DFCE"/>
          </w:tcPr>
          <w:p>
            <w:pPr>
              <w:pStyle w:val="Celda"/>
            </w:pPr>
            <w:r>
              <w:rPr>
                <w:b/>
              </w:rPr>
              <w:t xml:space="preserve">Aprobado en C2</w:t>
            </w:r>
          </w:p>
        </w:tc>
        <w:tc>
          <w:tcPr>
            <w:tcW w:w="1606" w:type="dxa"/>
            <w:shd w:val="clear" w:color="auto" w:fill="F2DFCE"/>
          </w:tcPr>
          <w:p>
            <w:pPr>
              <w:pStyle w:val="Celda"/>
            </w:pPr>
            <w:r>
              <w:rPr>
                <w:b/>
              </w:rPr>
              <w:t xml:space="preserve">Comprometido</w:t>
            </w:r>
          </w:p>
        </w:tc>
        <w:tc>
          <w:tcPr>
            <w:tcW w:w="1606" w:type="dxa"/>
            <w:shd w:val="clear" w:color="auto" w:fill="F2DFCE"/>
          </w:tcPr>
          <w:p>
            <w:pPr>
              <w:pStyle w:val="Celda"/>
            </w:pPr>
            <w:r>
              <w:rPr>
                <w:b/>
              </w:rPr>
              <w:t xml:space="preserve">Disponible</w:t>
            </w:r>
          </w:p>
        </w:tc>
        <w:tc>
          <w:tcPr>
            <w:tcW w:w="1606" w:type="dxa"/>
            <w:shd w:val="clear" w:color="auto" w:fill="F2DFCE"/>
          </w:tcPr>
          <w:p>
            <w:pPr>
              <w:pStyle w:val="Celda"/>
            </w:pPr>
            <w:r>
              <w:rPr>
                <w:b/>
              </w:rPr>
              <w:t xml:space="preserve">Banda de C2 (% del coste de la cartera)</w:t>
            </w:r>
          </w:p>
        </w:tc>
        <w:tc>
          <w:tcPr>
            <w:tcW w:w="1606" w:type="dxa"/>
            <w:shd w:val="clear" w:color="auto" w:fill="F2DFCE"/>
          </w:tcPr>
          <w:p>
            <w:pPr>
              <w:pStyle w:val="Celda"/>
            </w:pPr>
            <w:r>
              <w:rPr>
                <w:b/>
              </w:rPr>
              <w:t xml:space="preserve">Observaciones</w:t>
            </w:r>
          </w:p>
        </w:tc>
      </w:tr>
      <w:tr>
        <w:tc>
          <w:tcPr>
            <w:tcW w:w="1606" w:type="dxa"/>
          </w:tcPr>
          <w:p>
            <w:pPr>
              <w:pStyle w:val="Celda"/>
            </w:pPr>
            <w:r>
              <w:t xml:space="preserve">Coste recurrente comprometido</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w:t>
            </w:r>
          </w:p>
        </w:tc>
        <w:tc>
          <w:tcPr>
            <w:tcW w:w="1606" w:type="dxa"/>
          </w:tcPr>
          <w:p>
            <w:pPr>
              <w:pStyle w:val="Celda"/>
            </w:pPr>
          </w:p>
        </w:tc>
      </w:tr>
      <w:tr>
        <w:tc>
          <w:tcPr>
            <w:tcW w:w="1606" w:type="dxa"/>
          </w:tcPr>
          <w:p>
            <w:pPr>
              <w:pStyle w:val="Celda"/>
            </w:pPr>
            <w:r>
              <w:t xml:space="preserve">Sobre de Optimizar (tramos 2 y 3)</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Sobre de Aumentar (tramos 2 y 3, incluida la adopción de cada iniciativa)</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Sobre de Transformar por etapas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Solo etapas aprobadas por el consejo.</w:t>
            </w:r>
          </w:p>
        </w:tc>
      </w:tr>
      <w:tr>
        <w:tc>
          <w:tcPr>
            <w:tcW w:w="1606" w:type="dxa"/>
          </w:tcPr>
          <w:p>
            <w:pPr>
              <w:pStyle w:val="Celda"/>
            </w:pPr>
            <w:r>
              <w:t xml:space="preserve">Habilitación (datos, plataforma, esferas 08 y 09)</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w:t>
            </w:r>
          </w:p>
        </w:tc>
        <w:tc>
          <w:tcPr>
            <w:tcW w:w="1606" w:type="dxa"/>
          </w:tcPr>
          <w:p>
            <w:pPr>
              <w:pStyle w:val="Celda"/>
            </w:pPr>
          </w:p>
        </w:tc>
      </w:tr>
      <w:tr>
        <w:tc>
          <w:tcPr>
            <w:tcW w:w="1606" w:type="dxa"/>
          </w:tcPr>
          <w:p>
            <w:pPr>
              <w:pStyle w:val="Celda"/>
            </w:pPr>
            <w:r>
              <w:t xml:space="preserve">Adopción y formación no imputada a iniciativas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w:t>
            </w:r>
          </w:p>
        </w:tc>
        <w:tc>
          <w:tcPr>
            <w:tcW w:w="1606" w:type="dxa"/>
          </w:tcPr>
          <w:p>
            <w:pPr>
              <w:pStyle w:val="Celda"/>
            </w:pPr>
          </w:p>
        </w:tc>
      </w:tr>
      <w:tr>
        <w:tc>
          <w:tcPr>
            <w:tcW w:w="1606" w:type="dxa"/>
          </w:tcPr>
          <w:p>
            <w:pPr>
              <w:pStyle w:val="Celda"/>
            </w:pPr>
            <w:r>
              <w:t xml:space="preserve">Contingencia</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w:t>
            </w:r>
          </w:p>
        </w:tc>
        <w:tc>
          <w:tcPr>
            <w:tcW w:w="1606" w:type="dxa"/>
          </w:tcPr>
          <w:p>
            <w:pPr>
              <w:pStyle w:val="Celda"/>
            </w:pPr>
            <w:r>
              <w:t xml:space="preserve">Incluye la reserva de descubrimiento (tramo 1, fases 0–3), la de retirada y regularización y las desviaciones aprobadas (14 §6.1).</w:t>
            </w:r>
          </w:p>
        </w:tc>
      </w:tr>
      <w:tr>
        <w:tc>
          <w:tcPr>
            <w:tcW w:w="1606" w:type="dxa"/>
          </w:tcPr>
          <w:p>
            <w:pPr>
              <w:pStyle w:val="Celda"/>
            </w:pPr>
            <w:r>
              <w:rPr>
                <w:b/>
              </w:rPr>
              <w:t xml:space="preserve">Total</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4. Priorización</w:t>
      </w:r>
    </w:p>
    <w:p>
      <w:pPr>
        <w:pStyle w:val="Heading2"/>
      </w:pPr>
      <w:r>
        <w:t xml:space="preserve">4.1 Criterios y pesos</w:t>
      </w:r>
    </w:p>
    <w:p>
      <w:r>
        <w:t xml:space="preserve">Método en cuatro pasos de 14 §4.1: filtros eliminatorios · asignación al carril confirmado · puntuación · asignación de presupuesto y capacidad. Pesos de 14 §4.2 (la compañía puede ajustarlos en C2 y los declara aquí).</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Criterio</w:t>
            </w:r>
          </w:p>
        </w:tc>
        <w:tc>
          <w:tcPr>
            <w:tcW w:w="1928" w:type="dxa"/>
            <w:shd w:val="clear" w:color="auto" w:fill="F2DFCE"/>
          </w:tcPr>
          <w:p>
            <w:pPr>
              <w:pStyle w:val="Celda"/>
            </w:pPr>
            <w:r>
              <w:rPr>
                <w:b/>
              </w:rPr>
              <w:t xml:space="preserve">Optimizar</w:t>
            </w:r>
          </w:p>
        </w:tc>
        <w:tc>
          <w:tcPr>
            <w:tcW w:w="1928" w:type="dxa"/>
            <w:shd w:val="clear" w:color="auto" w:fill="F2DFCE"/>
          </w:tcPr>
          <w:p>
            <w:pPr>
              <w:pStyle w:val="Celda"/>
            </w:pPr>
            <w:r>
              <w:rPr>
                <w:b/>
              </w:rPr>
              <w:t xml:space="preserve">Aumentar</w:t>
            </w:r>
          </w:p>
        </w:tc>
        <w:tc>
          <w:tcPr>
            <w:tcW w:w="1928" w:type="dxa"/>
            <w:shd w:val="clear" w:color="auto" w:fill="F2DFCE"/>
          </w:tcPr>
          <w:p>
            <w:pPr>
              <w:pStyle w:val="Celda"/>
            </w:pPr>
            <w:r>
              <w:rPr>
                <w:b/>
              </w:rPr>
              <w:t xml:space="preserve">Transformar</w:t>
            </w:r>
          </w:p>
        </w:tc>
        <w:tc>
          <w:tcPr>
            <w:tcW w:w="1928" w:type="dxa"/>
            <w:shd w:val="clear" w:color="auto" w:fill="F2DFCE"/>
          </w:tcPr>
          <w:p>
            <w:pPr>
              <w:pStyle w:val="Celda"/>
            </w:pPr>
            <w:r>
              <w:rPr>
                <w:b/>
              </w:rPr>
              <w:t xml:space="preserve">Pesos de la compañía, si difieren</w:t>
            </w:r>
          </w:p>
        </w:tc>
      </w:tr>
      <w:tr>
        <w:tc>
          <w:tcPr>
            <w:tcW w:w="1928" w:type="dxa"/>
          </w:tcPr>
          <w:p>
            <w:pPr>
              <w:pStyle w:val="Celda"/>
            </w:pPr>
            <w:r>
              <w:t xml:space="preserve">Neto adicional por euro</w:t>
            </w:r>
          </w:p>
        </w:tc>
        <w:tc>
          <w:tcPr>
            <w:tcW w:w="1928" w:type="dxa"/>
          </w:tcPr>
          <w:p>
            <w:pPr>
              <w:pStyle w:val="Celda"/>
            </w:pPr>
            <w:r>
              <w:t xml:space="preserve">40</w:t>
            </w:r>
          </w:p>
        </w:tc>
        <w:tc>
          <w:tcPr>
            <w:tcW w:w="1928" w:type="dxa"/>
          </w:tcPr>
          <w:p>
            <w:pPr>
              <w:pStyle w:val="Celda"/>
            </w:pPr>
            <w:r>
              <w:t xml:space="preserve">30</w:t>
            </w:r>
          </w:p>
        </w:tc>
        <w:tc>
          <w:tcPr>
            <w:tcW w:w="1928" w:type="dxa"/>
          </w:tcPr>
          <w:p>
            <w:pPr>
              <w:pStyle w:val="Celda"/>
            </w:pPr>
            <w:r>
              <w:t xml:space="preserve">15</w:t>
            </w:r>
          </w:p>
        </w:tc>
        <w:tc>
          <w:tcPr>
            <w:tcW w:w="1928" w:type="dxa"/>
          </w:tcPr>
          <w:p>
            <w:pPr>
              <w:pStyle w:val="Celda"/>
            </w:pPr>
          </w:p>
        </w:tc>
      </w:tr>
      <w:tr>
        <w:tc>
          <w:tcPr>
            <w:tcW w:w="1928" w:type="dxa"/>
          </w:tcPr>
          <w:p>
            <w:pPr>
              <w:pStyle w:val="Celda"/>
            </w:pPr>
            <w:r>
              <w:t xml:space="preserve">Encaje con la tesis</w:t>
            </w:r>
          </w:p>
        </w:tc>
        <w:tc>
          <w:tcPr>
            <w:tcW w:w="1928" w:type="dxa"/>
          </w:tcPr>
          <w:p>
            <w:pPr>
              <w:pStyle w:val="Celda"/>
            </w:pPr>
            <w:r>
              <w:t xml:space="preserve">15</w:t>
            </w:r>
          </w:p>
        </w:tc>
        <w:tc>
          <w:tcPr>
            <w:tcW w:w="1928" w:type="dxa"/>
          </w:tcPr>
          <w:p>
            <w:pPr>
              <w:pStyle w:val="Celda"/>
            </w:pPr>
            <w:r>
              <w:t xml:space="preserve">15</w:t>
            </w:r>
          </w:p>
        </w:tc>
        <w:tc>
          <w:tcPr>
            <w:tcW w:w="1928" w:type="dxa"/>
          </w:tcPr>
          <w:p>
            <w:pPr>
              <w:pStyle w:val="Celda"/>
            </w:pPr>
            <w:r>
              <w:t xml:space="preserve">25</w:t>
            </w:r>
          </w:p>
        </w:tc>
        <w:tc>
          <w:tcPr>
            <w:tcW w:w="1928" w:type="dxa"/>
          </w:tcPr>
          <w:p>
            <w:pPr>
              <w:pStyle w:val="Celda"/>
            </w:pPr>
          </w:p>
        </w:tc>
      </w:tr>
      <w:tr>
        <w:tc>
          <w:tcPr>
            <w:tcW w:w="1928" w:type="dxa"/>
          </w:tcPr>
          <w:p>
            <w:pPr>
              <w:pStyle w:val="Celda"/>
            </w:pPr>
            <w:r>
              <w:t xml:space="preserve">Contribución a la ambición por esfera</w:t>
            </w:r>
          </w:p>
        </w:tc>
        <w:tc>
          <w:tcPr>
            <w:tcW w:w="1928" w:type="dxa"/>
          </w:tcPr>
          <w:p>
            <w:pPr>
              <w:pStyle w:val="Celda"/>
            </w:pPr>
            <w:r>
              <w:t xml:space="preserve">5</w:t>
            </w:r>
          </w:p>
        </w:tc>
        <w:tc>
          <w:tcPr>
            <w:tcW w:w="1928" w:type="dxa"/>
          </w:tcPr>
          <w:p>
            <w:pPr>
              <w:pStyle w:val="Celda"/>
            </w:pPr>
            <w:r>
              <w:t xml:space="preserve">10</w:t>
            </w:r>
          </w:p>
        </w:tc>
        <w:tc>
          <w:tcPr>
            <w:tcW w:w="1928" w:type="dxa"/>
          </w:tcPr>
          <w:p>
            <w:pPr>
              <w:pStyle w:val="Celda"/>
            </w:pPr>
            <w:r>
              <w:t xml:space="preserve">15</w:t>
            </w:r>
          </w:p>
        </w:tc>
        <w:tc>
          <w:tcPr>
            <w:tcW w:w="1928" w:type="dxa"/>
          </w:tcPr>
          <w:p>
            <w:pPr>
              <w:pStyle w:val="Celda"/>
            </w:pPr>
          </w:p>
        </w:tc>
      </w:tr>
      <w:tr>
        <w:tc>
          <w:tcPr>
            <w:tcW w:w="1928" w:type="dxa"/>
          </w:tcPr>
          <w:p>
            <w:pPr>
              <w:pStyle w:val="Celda"/>
            </w:pPr>
            <w:r>
              <w:t xml:space="preserve">Riesgo</w:t>
            </w:r>
          </w:p>
        </w:tc>
        <w:tc>
          <w:tcPr>
            <w:tcW w:w="1928" w:type="dxa"/>
          </w:tcPr>
          <w:p>
            <w:pPr>
              <w:pStyle w:val="Celda"/>
            </w:pPr>
            <w:r>
              <w:t xml:space="preserve">15</w:t>
            </w:r>
          </w:p>
        </w:tc>
        <w:tc>
          <w:tcPr>
            <w:tcW w:w="1928" w:type="dxa"/>
          </w:tcPr>
          <w:p>
            <w:pPr>
              <w:pStyle w:val="Celda"/>
            </w:pPr>
            <w:r>
              <w:t xml:space="preserve">15</w:t>
            </w:r>
          </w:p>
        </w:tc>
        <w:tc>
          <w:tcPr>
            <w:tcW w:w="1928" w:type="dxa"/>
          </w:tcPr>
          <w:p>
            <w:pPr>
              <w:pStyle w:val="Celda"/>
            </w:pPr>
            <w:r>
              <w:t xml:space="preserve">15</w:t>
            </w:r>
          </w:p>
        </w:tc>
        <w:tc>
          <w:tcPr>
            <w:tcW w:w="1928" w:type="dxa"/>
          </w:tcPr>
          <w:p>
            <w:pPr>
              <w:pStyle w:val="Celda"/>
            </w:pPr>
          </w:p>
        </w:tc>
      </w:tr>
      <w:tr>
        <w:tc>
          <w:tcPr>
            <w:tcW w:w="1928" w:type="dxa"/>
          </w:tcPr>
          <w:p>
            <w:pPr>
              <w:pStyle w:val="Celda"/>
            </w:pPr>
            <w:r>
              <w:t xml:space="preserve">Dependencia de datos</w:t>
            </w:r>
          </w:p>
        </w:tc>
        <w:tc>
          <w:tcPr>
            <w:tcW w:w="1928" w:type="dxa"/>
          </w:tcPr>
          <w:p>
            <w:pPr>
              <w:pStyle w:val="Celda"/>
            </w:pPr>
            <w:r>
              <w:t xml:space="preserve">15</w:t>
            </w:r>
          </w:p>
        </w:tc>
        <w:tc>
          <w:tcPr>
            <w:tcW w:w="1928" w:type="dxa"/>
          </w:tcPr>
          <w:p>
            <w:pPr>
              <w:pStyle w:val="Celda"/>
            </w:pPr>
            <w:r>
              <w:t xml:space="preserve">15</w:t>
            </w:r>
          </w:p>
        </w:tc>
        <w:tc>
          <w:tcPr>
            <w:tcW w:w="1928" w:type="dxa"/>
          </w:tcPr>
          <w:p>
            <w:pPr>
              <w:pStyle w:val="Celda"/>
            </w:pPr>
            <w:r>
              <w:t xml:space="preserve">15</w:t>
            </w:r>
          </w:p>
        </w:tc>
        <w:tc>
          <w:tcPr>
            <w:tcW w:w="1928" w:type="dxa"/>
          </w:tcPr>
          <w:p>
            <w:pPr>
              <w:pStyle w:val="Celda"/>
            </w:pPr>
          </w:p>
        </w:tc>
      </w:tr>
      <w:tr>
        <w:tc>
          <w:tcPr>
            <w:tcW w:w="1928" w:type="dxa"/>
          </w:tcPr>
          <w:p>
            <w:pPr>
              <w:pStyle w:val="Celda"/>
            </w:pPr>
            <w:r>
              <w:t xml:space="preserve">Capacidad</w:t>
            </w:r>
          </w:p>
        </w:tc>
        <w:tc>
          <w:tcPr>
            <w:tcW w:w="1928" w:type="dxa"/>
          </w:tcPr>
          <w:p>
            <w:pPr>
              <w:pStyle w:val="Celda"/>
            </w:pPr>
            <w:r>
              <w:t xml:space="preserve">10</w:t>
            </w:r>
          </w:p>
        </w:tc>
        <w:tc>
          <w:tcPr>
            <w:tcW w:w="1928" w:type="dxa"/>
          </w:tcPr>
          <w:p>
            <w:pPr>
              <w:pStyle w:val="Celda"/>
            </w:pPr>
            <w:r>
              <w:t xml:space="preserve">15</w:t>
            </w:r>
          </w:p>
        </w:tc>
        <w:tc>
          <w:tcPr>
            <w:tcW w:w="1928" w:type="dxa"/>
          </w:tcPr>
          <w:p>
            <w:pPr>
              <w:pStyle w:val="Celda"/>
            </w:pPr>
            <w:r>
              <w:t xml:space="preserve">15</w:t>
            </w:r>
          </w:p>
        </w:tc>
        <w:tc>
          <w:tcPr>
            <w:tcW w:w="1928" w:type="dxa"/>
          </w:tcPr>
          <w:p>
            <w:pPr>
              <w:pStyle w:val="Celda"/>
            </w:pPr>
          </w:p>
        </w:tc>
      </w:tr>
      <w:tr>
        <w:tc>
          <w:tcPr>
            <w:tcW w:w="1928" w:type="dxa"/>
          </w:tcPr>
          <w:p>
            <w:pPr>
              <w:pStyle w:val="Celda"/>
            </w:pPr>
            <w:r>
              <w:rPr>
                <w:b/>
              </w:rPr>
              <w:t xml:space="preserve">Total</w:t>
            </w:r>
          </w:p>
        </w:tc>
        <w:tc>
          <w:tcPr>
            <w:tcW w:w="1928" w:type="dxa"/>
          </w:tcPr>
          <w:p>
            <w:pPr>
              <w:pStyle w:val="Celda"/>
            </w:pPr>
            <w:r>
              <w:rPr>
                <w:b/>
              </w:rPr>
              <w:t xml:space="preserve">100</w:t>
            </w:r>
          </w:p>
        </w:tc>
        <w:tc>
          <w:tcPr>
            <w:tcW w:w="1928" w:type="dxa"/>
          </w:tcPr>
          <w:p>
            <w:pPr>
              <w:pStyle w:val="Celda"/>
            </w:pPr>
            <w:r>
              <w:rPr>
                <w:b/>
              </w:rPr>
              <w:t xml:space="preserve">100</w:t>
            </w:r>
          </w:p>
        </w:tc>
        <w:tc>
          <w:tcPr>
            <w:tcW w:w="1928" w:type="dxa"/>
          </w:tcPr>
          <w:p>
            <w:pPr>
              <w:pStyle w:val="Celda"/>
            </w:pPr>
            <w:r>
              <w:rPr>
                <w:b/>
              </w:rPr>
              <w:t xml:space="preserve">100</w:t>
            </w:r>
          </w:p>
        </w:tc>
        <w:tc>
          <w:tcPr>
            <w:tcW w:w="1928" w:type="dxa"/>
          </w:tcPr>
          <w:p>
            <w:pPr>
              <w:pStyle w:val="Celda"/>
            </w:pPr>
            <w:r>
              <w:rPr>
                <w:b/>
              </w:rPr>
              <w:t xml:space="preserve">100</w:t>
            </w:r>
          </w:p>
        </w:tc>
      </w:tr>
    </w:tbl>
    <w:p>
      <w:pPr>
        <w:pStyle w:val="Espacio"/>
      </w:pPr>
    </w:p>
    <w:p>
      <w:r>
        <w:rPr>
          <w:b/>
        </w:rPr>
        <w:t xml:space="preserve">Puntuación (0–100) = Σ (peso × puntuación del criterio) ÷ 5.</w:t>
      </w:r>
      <w:r>
        <w:t xml:space="preserve"> Escalas de 1 a 5 en 14 §4.3.</w:t>
      </w:r>
    </w:p>
    <w:p>
      <w:r>
        <w:t xml:space="preserve">Fórmulas para hoja de cálculo (columnas ilustrativas: C = neto adicional por euro, H = horizonte en años, D a I = puntuaciones de los seis criterios, pesos en la fila 2):</w:t>
      </w:r>
    </w:p>
    <w:p>
      <w:pPr>
        <w:pStyle w:val="Lista"/>
      </w:pPr>
      <w:r>
        <w:t xml:space="preserve">• Múltiplo en el horizonte: </w:t>
      </w:r>
      <w:r>
        <w:rPr>
          <w:rFonts w:ascii="Consolas" w:hAnsi="Consolas"/>
          <w:sz w:val="18"/>
        </w:rPr>
        <w:t xml:space="preserve">=C5*$H$2</w:t>
      </w:r>
    </w:p>
    <w:p>
      <w:pPr>
        <w:pStyle w:val="Lista"/>
      </w:pPr>
      <w:r>
        <w:t xml:space="preserve">• Puntuación del neto adicional por euro: </w:t>
      </w:r>
      <w:r>
        <w:rPr>
          <w:rFonts w:ascii="Consolas" w:hAnsi="Consolas"/>
          <w:sz w:val="18"/>
        </w:rPr>
        <w:t xml:space="preserve">=SI(C5="";0;SI(M5&gt;=3;5;SI(M5&gt;=2;4;SI(M5&gt;=1,5;3;SI(M5&gt;=1;2;1)))))</w:t>
      </w:r>
      <w:r>
        <w:t xml:space="preserve">, con M = múltiplo. Si después de G2 el importe sigue siendo solo </w:t>
      </w:r>
      <w:r>
        <w:rPr>
          <w:i/>
        </w:rPr>
        <w:t xml:space="preserve">estimado</w:t>
      </w:r>
      <w:r>
        <w:t xml:space="preserve">, se limita a 3: </w:t>
      </w:r>
      <w:r>
        <w:rPr>
          <w:rFonts w:ascii="Consolas" w:hAnsi="Consolas"/>
          <w:sz w:val="18"/>
        </w:rPr>
        <w:t xml:space="preserve">=MIN(puntuación;3)</w:t>
      </w:r>
      <w:r>
        <w:t xml:space="preserve">.</w:t>
      </w:r>
    </w:p>
    <w:p>
      <w:pPr>
        <w:pStyle w:val="Lista"/>
      </w:pPr>
      <w:r>
        <w:t xml:space="preserve">• Puntuación total: </w:t>
      </w:r>
      <w:r>
        <w:rPr>
          <w:rFonts w:ascii="Consolas" w:hAnsi="Consolas"/>
          <w:sz w:val="18"/>
        </w:rPr>
        <w:t xml:space="preserve">=SUMAPRODUCTO($D$2:$I$2;D5:I5)/5</w:t>
      </w:r>
    </w:p>
    <w:p>
      <w:pPr>
        <w:pStyle w:val="Heading2"/>
      </w:pPr>
      <w:r>
        <w:t xml:space="preserve">4.2 Filtros eliminatorios</w:t>
      </w:r>
    </w:p>
    <w:p>
      <w:r>
        <w:t xml:space="preserve">Se registran con motivo y no entran en la priorización (14 §3.3 y §4.1).</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Iniciativa (IA-AAAA-NNN)</w:t>
            </w:r>
          </w:p>
        </w:tc>
        <w:tc>
          <w:tcPr>
            <w:tcW w:w="3213" w:type="dxa"/>
            <w:shd w:val="clear" w:color="auto" w:fill="F2DFCE"/>
          </w:tcPr>
          <w:p>
            <w:pPr>
              <w:pStyle w:val="Celda"/>
            </w:pPr>
            <w:r>
              <w:rPr>
                <w:b/>
              </w:rPr>
              <w:t xml:space="preserve">Filtro</w:t>
            </w:r>
          </w:p>
        </w:tc>
        <w:tc>
          <w:tcPr>
            <w:tcW w:w="3213" w:type="dxa"/>
            <w:shd w:val="clear" w:color="auto" w:fill="F2DFCE"/>
          </w:tcPr>
          <w:p>
            <w:pPr>
              <w:pStyle w:val="Celda"/>
            </w:pPr>
            <w:r>
              <w:rPr>
                <w:b/>
              </w:rPr>
              <w:t xml:space="preserve">Tratamiento</w:t>
            </w:r>
          </w:p>
        </w:tc>
      </w:tr>
      <w:tr>
        <w:tc>
          <w:tcPr>
            <w:tcW w:w="3213" w:type="dxa"/>
          </w:tcPr>
          <w:p>
            <w:pPr>
              <w:pStyle w:val="Celda"/>
            </w:pPr>
          </w:p>
        </w:tc>
        <w:tc>
          <w:tcPr>
            <w:tcW w:w="3213" w:type="dxa"/>
          </w:tcPr>
          <w:p>
            <w:pPr>
              <w:pStyle w:val="Celda"/>
            </w:pPr>
            <w:r>
              <w:t xml:space="preserve">Práctica prohibida · Duplicada · No requiere IA · Fuera del apetito · Transformar sin patrocinio de la alta dirección · Riesgo residual Crítico sin aprobación del consejo</w:t>
            </w:r>
          </w:p>
        </w:tc>
        <w:tc>
          <w:tcPr>
            <w:tcW w:w="3213" w:type="dxa"/>
          </w:tcPr>
          <w:p>
            <w:pPr>
              <w:pStyle w:val="Celda"/>
            </w:pPr>
          </w:p>
        </w:tc>
      </w:tr>
    </w:tbl>
    <w:p>
      <w:pPr>
        <w:pStyle w:val="Espacio"/>
      </w:pPr>
    </w:p>
    <w:p>
      <w:pPr>
        <w:pStyle w:val="Heading2"/>
      </w:pPr>
      <w:r>
        <w:t xml:space="preserve">4.3 Tabla de priorización por carril</w:t>
      </w:r>
    </w:p>
    <w:p>
      <w:r>
        <w:t xml:space="preserve">Una tabla por carril: Optimizar, Aumentar y Transformar.</w:t>
      </w:r>
    </w:p>
    <w:p>
      <w:r>
        <w:rPr>
          <w:b/>
        </w:rPr>
        <w:t xml:space="preserve">Carril:</w:t>
      </w:r>
      <w:r>
        <w:t xml:space="preserve"> ______</w:t>
      </w:r>
    </w:p>
    <w:tbl>
      <w:tblPr>
        <w:tblStyle w:val="TablaSG"/>
        <w:tblW w:w="5000" w:type="pct"/>
        <w:tblLayout w:type="autofit"/>
        <w:tblLook w:val="04A0" w:firstRow="1" w:lastRow="0" w:firstColumn="0" w:lastColumn="0" w:noHBand="1" w:noVBand="1"/>
      </w:tblPr>
      <w:tblGrid>
        <w:gridCol w:w="803"/>
        <w:gridCol w:w="803"/>
        <w:gridCol w:w="803"/>
        <w:gridCol w:w="803"/>
        <w:gridCol w:w="803"/>
        <w:gridCol w:w="803"/>
        <w:gridCol w:w="803"/>
        <w:gridCol w:w="803"/>
        <w:gridCol w:w="803"/>
        <w:gridCol w:w="803"/>
        <w:gridCol w:w="803"/>
        <w:gridCol w:w="803"/>
      </w:tblGrid>
      <w:tr>
        <w:trPr>
          <w:tblHeader/>
        </w:trPr>
        <w:tc>
          <w:tcPr>
            <w:tcW w:w="803" w:type="dxa"/>
            <w:shd w:val="clear" w:color="auto" w:fill="F2DFCE"/>
          </w:tcPr>
          <w:p>
            <w:pPr>
              <w:pStyle w:val="Celda"/>
            </w:pPr>
            <w:r>
              <w:rPr>
                <w:b/>
              </w:rPr>
              <w:t xml:space="preserve">Iniciativa</w:t>
            </w:r>
          </w:p>
        </w:tc>
        <w:tc>
          <w:tcPr>
            <w:tcW w:w="803" w:type="dxa"/>
            <w:shd w:val="clear" w:color="auto" w:fill="F2DFCE"/>
          </w:tcPr>
          <w:p>
            <w:pPr>
              <w:pStyle w:val="Celda"/>
            </w:pPr>
            <w:r>
              <w:rPr>
                <w:b/>
              </w:rPr>
              <w:t xml:space="preserve">Neto adicional por euro</w:t>
            </w:r>
          </w:p>
        </w:tc>
        <w:tc>
          <w:tcPr>
            <w:tcW w:w="803" w:type="dxa"/>
            <w:shd w:val="clear" w:color="auto" w:fill="F2DFCE"/>
          </w:tcPr>
          <w:p>
            <w:pPr>
              <w:pStyle w:val="Celda"/>
            </w:pPr>
            <w:r>
              <w:rPr>
                <w:b/>
              </w:rPr>
              <w:t xml:space="preserve">Múltiplo</w:t>
            </w:r>
          </w:p>
        </w:tc>
        <w:tc>
          <w:tcPr>
            <w:tcW w:w="803" w:type="dxa"/>
            <w:shd w:val="clear" w:color="auto" w:fill="F2DFCE"/>
          </w:tcPr>
          <w:p>
            <w:pPr>
              <w:pStyle w:val="Celda"/>
            </w:pPr>
            <w:r>
              <w:rPr>
                <w:b/>
              </w:rPr>
              <w:t xml:space="preserve">Neto</w:t>
            </w:r>
          </w:p>
        </w:tc>
        <w:tc>
          <w:tcPr>
            <w:tcW w:w="803" w:type="dxa"/>
            <w:shd w:val="clear" w:color="auto" w:fill="F2DFCE"/>
          </w:tcPr>
          <w:p>
            <w:pPr>
              <w:pStyle w:val="Celda"/>
            </w:pPr>
            <w:r>
              <w:rPr>
                <w:b/>
              </w:rPr>
              <w:t xml:space="preserve">Tesis</w:t>
            </w:r>
          </w:p>
        </w:tc>
        <w:tc>
          <w:tcPr>
            <w:tcW w:w="803" w:type="dxa"/>
            <w:shd w:val="clear" w:color="auto" w:fill="F2DFCE"/>
          </w:tcPr>
          <w:p>
            <w:pPr>
              <w:pStyle w:val="Celda"/>
            </w:pPr>
            <w:r>
              <w:rPr>
                <w:b/>
              </w:rPr>
              <w:t xml:space="preserve">Ambición</w:t>
            </w:r>
          </w:p>
        </w:tc>
        <w:tc>
          <w:tcPr>
            <w:tcW w:w="803" w:type="dxa"/>
            <w:shd w:val="clear" w:color="auto" w:fill="F2DFCE"/>
          </w:tcPr>
          <w:p>
            <w:pPr>
              <w:pStyle w:val="Celda"/>
            </w:pPr>
            <w:r>
              <w:rPr>
                <w:b/>
              </w:rPr>
              <w:t xml:space="preserve">Riesgo</w:t>
            </w:r>
          </w:p>
        </w:tc>
        <w:tc>
          <w:tcPr>
            <w:tcW w:w="803" w:type="dxa"/>
            <w:shd w:val="clear" w:color="auto" w:fill="F2DFCE"/>
          </w:tcPr>
          <w:p>
            <w:pPr>
              <w:pStyle w:val="Celda"/>
            </w:pPr>
            <w:r>
              <w:rPr>
                <w:b/>
              </w:rPr>
              <w:t xml:space="preserve">Datos</w:t>
            </w:r>
          </w:p>
        </w:tc>
        <w:tc>
          <w:tcPr>
            <w:tcW w:w="803" w:type="dxa"/>
            <w:shd w:val="clear" w:color="auto" w:fill="F2DFCE"/>
          </w:tcPr>
          <w:p>
            <w:pPr>
              <w:pStyle w:val="Celda"/>
            </w:pPr>
            <w:r>
              <w:rPr>
                <w:b/>
              </w:rPr>
              <w:t xml:space="preserve">Capacidad</w:t>
            </w:r>
          </w:p>
        </w:tc>
        <w:tc>
          <w:tcPr>
            <w:tcW w:w="803" w:type="dxa"/>
            <w:shd w:val="clear" w:color="auto" w:fill="F2DFCE"/>
          </w:tcPr>
          <w:p>
            <w:pPr>
              <w:pStyle w:val="Celda"/>
            </w:pPr>
            <w:r>
              <w:rPr>
                <w:b/>
              </w:rPr>
              <w:t xml:space="preserve">Puntuación</w:t>
            </w:r>
          </w:p>
        </w:tc>
        <w:tc>
          <w:tcPr>
            <w:tcW w:w="803" w:type="dxa"/>
            <w:shd w:val="clear" w:color="auto" w:fill="F2DFCE"/>
          </w:tcPr>
          <w:p>
            <w:pPr>
              <w:pStyle w:val="Celda"/>
            </w:pPr>
            <w:r>
              <w:rPr>
                <w:b/>
              </w:rPr>
              <w:t xml:space="preserve">Orden</w:t>
            </w:r>
          </w:p>
        </w:tc>
        <w:tc>
          <w:tcPr>
            <w:tcW w:w="803" w:type="dxa"/>
            <w:shd w:val="clear" w:color="auto" w:fill="F2DFCE"/>
          </w:tcPr>
          <w:p>
            <w:pPr>
              <w:pStyle w:val="Celda"/>
            </w:pPr>
            <w:r>
              <w:rPr>
                <w:b/>
              </w:rPr>
              <w:t xml:space="preserve">Alteración del orden y justificación</w:t>
            </w:r>
          </w:p>
        </w:tc>
      </w:tr>
      <w:tr>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r>
      <w:tr>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r>
      <w:tr>
        <w:tc>
          <w:tcPr>
            <w:tcW w:w="803" w:type="dxa"/>
          </w:tcPr>
          <w:p>
            <w:pPr>
              <w:pStyle w:val="Celda"/>
            </w:pPr>
            <w:r>
              <w:rPr>
                <w:i/>
              </w:rPr>
              <w:t xml:space="preserve">(ejemplo ilustrativo, Optimizar, horizonte 2 años)</w:t>
            </w:r>
            <w:r>
              <w:t xml:space="preserve"> IA-2026-014 Clasificación de reclamaciones</w:t>
            </w:r>
          </w:p>
        </w:tc>
        <w:tc>
          <w:tcPr>
            <w:tcW w:w="803" w:type="dxa"/>
          </w:tcPr>
          <w:p>
            <w:pPr>
              <w:pStyle w:val="Celda"/>
            </w:pPr>
            <w:r>
              <w:t xml:space="preserve">1,6</w:t>
            </w:r>
          </w:p>
        </w:tc>
        <w:tc>
          <w:tcPr>
            <w:tcW w:w="803" w:type="dxa"/>
          </w:tcPr>
          <w:p>
            <w:pPr>
              <w:pStyle w:val="Celda"/>
            </w:pPr>
            <w:r>
              <w:t xml:space="preserve">3,2</w:t>
            </w:r>
          </w:p>
        </w:tc>
        <w:tc>
          <w:tcPr>
            <w:tcW w:w="803" w:type="dxa"/>
          </w:tcPr>
          <w:p>
            <w:pPr>
              <w:pStyle w:val="Celda"/>
            </w:pPr>
            <w:r>
              <w:t xml:space="preserve">5</w:t>
            </w:r>
          </w:p>
        </w:tc>
        <w:tc>
          <w:tcPr>
            <w:tcW w:w="803" w:type="dxa"/>
          </w:tcPr>
          <w:p>
            <w:pPr>
              <w:pStyle w:val="Celda"/>
            </w:pPr>
            <w:r>
              <w:t xml:space="preserve">4</w:t>
            </w:r>
          </w:p>
        </w:tc>
        <w:tc>
          <w:tcPr>
            <w:tcW w:w="803" w:type="dxa"/>
          </w:tcPr>
          <w:p>
            <w:pPr>
              <w:pStyle w:val="Celda"/>
            </w:pPr>
            <w:r>
              <w:t xml:space="preserve">3</w:t>
            </w:r>
          </w:p>
        </w:tc>
        <w:tc>
          <w:tcPr>
            <w:tcW w:w="803" w:type="dxa"/>
          </w:tcPr>
          <w:p>
            <w:pPr>
              <w:pStyle w:val="Celda"/>
            </w:pPr>
            <w:r>
              <w:t xml:space="preserve">5</w:t>
            </w:r>
          </w:p>
        </w:tc>
        <w:tc>
          <w:tcPr>
            <w:tcW w:w="803" w:type="dxa"/>
          </w:tcPr>
          <w:p>
            <w:pPr>
              <w:pStyle w:val="Celda"/>
            </w:pPr>
            <w:r>
              <w:t xml:space="preserve">4</w:t>
            </w:r>
          </w:p>
        </w:tc>
        <w:tc>
          <w:tcPr>
            <w:tcW w:w="803" w:type="dxa"/>
          </w:tcPr>
          <w:p>
            <w:pPr>
              <w:pStyle w:val="Celda"/>
            </w:pPr>
            <w:r>
              <w:t xml:space="preserve">4</w:t>
            </w:r>
          </w:p>
        </w:tc>
        <w:tc>
          <w:tcPr>
            <w:tcW w:w="803" w:type="dxa"/>
          </w:tcPr>
          <w:p>
            <w:pPr>
              <w:pStyle w:val="Celda"/>
            </w:pPr>
            <w:r>
              <w:rPr>
                <w:b/>
              </w:rPr>
              <w:t xml:space="preserve">90</w:t>
            </w:r>
          </w:p>
        </w:tc>
        <w:tc>
          <w:tcPr>
            <w:tcW w:w="803" w:type="dxa"/>
          </w:tcPr>
          <w:p>
            <w:pPr>
              <w:pStyle w:val="Celda"/>
            </w:pPr>
            <w:r>
              <w:t xml:space="preserve">1</w:t>
            </w:r>
          </w:p>
        </w:tc>
        <w:tc>
          <w:tcPr>
            <w:tcW w:w="803" w:type="dxa"/>
          </w:tcPr>
          <w:p>
            <w:pPr>
              <w:pStyle w:val="Celda"/>
            </w:pPr>
            <w:r>
              <w:t xml:space="preserve">—</w:t>
            </w:r>
          </w:p>
        </w:tc>
      </w:tr>
    </w:tbl>
    <w:p>
      <w:pPr>
        <w:pStyle w:val="Espacio"/>
      </w:pPr>
    </w:p>
    <w:p>
      <w:r>
        <w:t xml:space="preserve">En Transformar, el neto adicional por euro se calcula y se muestra, pero no decide por sí solo; sin hitos de aprendizaje, límite por etapa y criterios de parada, la propuesta no entra (14 §4.4, reglas 2 y 7).</w:t>
      </w:r>
    </w:p>
    <w:p>
      <w:pPr>
        <w:pStyle w:val="Heading2"/>
      </w:pPr>
      <w:r>
        <w:t xml:space="preserve">4.4 Asignación por tramos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Iniciativa</w:t>
            </w:r>
          </w:p>
        </w:tc>
        <w:tc>
          <w:tcPr>
            <w:tcW w:w="1606" w:type="dxa"/>
            <w:shd w:val="clear" w:color="auto" w:fill="F2DFCE"/>
          </w:tcPr>
          <w:p>
            <w:pPr>
              <w:pStyle w:val="Celda"/>
            </w:pPr>
            <w:r>
              <w:rPr>
                <w:b/>
              </w:rPr>
              <w:t xml:space="preserve">Carril</w:t>
            </w:r>
          </w:p>
        </w:tc>
        <w:tc>
          <w:tcPr>
            <w:tcW w:w="1606" w:type="dxa"/>
            <w:shd w:val="clear" w:color="auto" w:fill="F2DFCE"/>
          </w:tcPr>
          <w:p>
            <w:pPr>
              <w:pStyle w:val="Celda"/>
            </w:pPr>
            <w:r>
              <w:rPr>
                <w:b/>
              </w:rPr>
              <w:t xml:space="preserve">Tramo (1 · 2 · 3 · Escalado · Etapa de Transformar)</w:t>
            </w:r>
          </w:p>
        </w:tc>
        <w:tc>
          <w:tcPr>
            <w:tcW w:w="1606" w:type="dxa"/>
            <w:shd w:val="clear" w:color="auto" w:fill="F2DFCE"/>
          </w:tcPr>
          <w:p>
            <w:pPr>
              <w:pStyle w:val="Celda"/>
            </w:pPr>
            <w:r>
              <w:rPr>
                <w:b/>
              </w:rPr>
              <w:t xml:space="preserve">Importe</w:t>
            </w:r>
          </w:p>
        </w:tc>
        <w:tc>
          <w:tcPr>
            <w:tcW w:w="1606" w:type="dxa"/>
            <w:shd w:val="clear" w:color="auto" w:fill="F2DFCE"/>
          </w:tcPr>
          <w:p>
            <w:pPr>
              <w:pStyle w:val="Celda"/>
            </w:pPr>
            <w:r>
              <w:rPr>
                <w:b/>
              </w:rPr>
              <w:t xml:space="preserve">Se libera tras</w:t>
            </w:r>
          </w:p>
        </w:tc>
        <w:tc>
          <w:tcPr>
            <w:tcW w:w="1606" w:type="dxa"/>
            <w:shd w:val="clear" w:color="auto" w:fill="F2DFCE"/>
          </w:tcPr>
          <w:p>
            <w:pPr>
              <w:pStyle w:val="Celda"/>
            </w:pPr>
            <w:r>
              <w:rPr>
                <w:b/>
              </w:rPr>
              <w:t xml:space="preserve">Estado (Pendiente · Liberado · Consumido)</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5. Capacidad</w:t>
      </w:r>
    </w:p>
    <w:p>
      <w:pPr>
        <w:pStyle w:val="Heading2"/>
      </w:pPr>
      <w:r>
        <w:t xml:space="preserve">5.1 Plan de capacidad de perfiles escasos</w:t>
      </w:r>
    </w:p>
    <w:p>
      <w:r>
        <w:t xml:space="preserve">La oficina de IA mantiene el plan (14 §6.3). Unidades: personas equivalentes a tiempo completo por trimestre.</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Perfil</w:t>
            </w:r>
          </w:p>
        </w:tc>
        <w:tc>
          <w:tcPr>
            <w:tcW w:w="1377" w:type="dxa"/>
            <w:shd w:val="clear" w:color="auto" w:fill="F2DFCE"/>
          </w:tcPr>
          <w:p>
            <w:pPr>
              <w:pStyle w:val="Celda"/>
            </w:pPr>
            <w:r>
              <w:rPr>
                <w:b/>
              </w:rPr>
              <w:t xml:space="preserve">Disponible</w:t>
            </w:r>
          </w:p>
        </w:tc>
        <w:tc>
          <w:tcPr>
            <w:tcW w:w="1377" w:type="dxa"/>
            <w:shd w:val="clear" w:color="auto" w:fill="F2DFCE"/>
          </w:tcPr>
          <w:p>
            <w:pPr>
              <w:pStyle w:val="Celda"/>
            </w:pPr>
            <w:r>
              <w:rPr>
                <w:b/>
              </w:rPr>
              <w:t xml:space="preserve">Demanda de la cartera priorizada</w:t>
            </w:r>
          </w:p>
        </w:tc>
        <w:tc>
          <w:tcPr>
            <w:tcW w:w="1377" w:type="dxa"/>
            <w:shd w:val="clear" w:color="auto" w:fill="F2DFCE"/>
          </w:tcPr>
          <w:p>
            <w:pPr>
              <w:pStyle w:val="Celda"/>
            </w:pPr>
            <w:r>
              <w:rPr>
                <w:b/>
              </w:rPr>
              <w:t xml:space="preserve">Brecha</w:t>
            </w:r>
          </w:p>
        </w:tc>
        <w:tc>
          <w:tcPr>
            <w:tcW w:w="1377" w:type="dxa"/>
            <w:shd w:val="clear" w:color="auto" w:fill="F2DFCE"/>
          </w:tcPr>
          <w:p>
            <w:pPr>
              <w:pStyle w:val="Celda"/>
            </w:pPr>
            <w:r>
              <w:rPr>
                <w:b/>
              </w:rPr>
              <w:t xml:space="preserve">Medida (contratar, formar, proveedor, aplazar)</w:t>
            </w:r>
          </w:p>
        </w:tc>
        <w:tc>
          <w:tcPr>
            <w:tcW w:w="1377" w:type="dxa"/>
            <w:shd w:val="clear" w:color="auto" w:fill="F2DFCE"/>
          </w:tcPr>
          <w:p>
            <w:pPr>
              <w:pStyle w:val="Celda"/>
            </w:pPr>
            <w:r>
              <w:rPr>
                <w:b/>
              </w:rPr>
              <w:t xml:space="preserve">Responsable</w:t>
            </w:r>
          </w:p>
        </w:tc>
        <w:tc>
          <w:tcPr>
            <w:tcW w:w="1377" w:type="dxa"/>
            <w:shd w:val="clear" w:color="auto" w:fill="F2DFCE"/>
          </w:tcPr>
          <w:p>
            <w:pPr>
              <w:pStyle w:val="Celda"/>
            </w:pPr>
            <w:r>
              <w:rPr>
                <w:b/>
              </w:rPr>
              <w:t xml:space="preserve">Fecha</w:t>
            </w:r>
          </w:p>
        </w:tc>
      </w:tr>
      <w:tr>
        <w:tc>
          <w:tcPr>
            <w:tcW w:w="1377" w:type="dxa"/>
          </w:tcPr>
          <w:p>
            <w:pPr>
              <w:pStyle w:val="Celda"/>
            </w:pPr>
            <w:r>
              <w:t xml:space="preserve">Responsables técnicos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Datos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Riesgos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Auditor de IA</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Seguridad</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Adopción</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Verificación y decisión de </w:t>
            </w:r>
            <w:r>
              <w:rPr>
                <w:i/>
              </w:rPr>
              <w:t xml:space="preserve">gates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Tiempo de decisión frente al plazo de referencia (03 §3.6).</w:t>
            </w:r>
          </w:p>
        </w:tc>
      </w:tr>
    </w:tbl>
    <w:p>
      <w:pPr>
        <w:pStyle w:val="Espacio"/>
      </w:pPr>
    </w:p>
    <w:p>
      <w:pPr>
        <w:pStyle w:val="Heading2"/>
      </w:pPr>
      <w:r>
        <w:t xml:space="preserve">5.2 Límite de iniciativas simultáneas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Límite de iniciativas en fases 3 a 5</w:t>
            </w:r>
          </w:p>
        </w:tc>
        <w:tc>
          <w:tcPr>
            <w:tcW w:w="3213" w:type="dxa"/>
          </w:tcPr>
          <w:p>
            <w:pPr>
              <w:pStyle w:val="Celda"/>
            </w:pPr>
          </w:p>
        </w:tc>
        <w:tc>
          <w:tcPr>
            <w:tcW w:w="3213" w:type="dxa"/>
          </w:tcPr>
          <w:p>
            <w:pPr>
              <w:pStyle w:val="Celda"/>
            </w:pPr>
            <w:r>
              <w:t xml:space="preserve">Superado el límite, no entran nuevas en fase 4 hasta que alguna pase G5 o se pare.</w:t>
            </w:r>
          </w:p>
        </w:tc>
      </w:tr>
      <w:tr>
        <w:tc>
          <w:tcPr>
            <w:tcW w:w="3213" w:type="dxa"/>
          </w:tcPr>
          <w:p>
            <w:pPr>
              <w:pStyle w:val="Celda"/>
            </w:pPr>
            <w:r>
              <w:t xml:space="preserve">Iniciativas actualmente en fases 3 a 5</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6. Límites de cartera y concentración</w:t>
      </w:r>
    </w:p>
    <w:p>
      <w:pPr>
        <w:pStyle w:val="Heading2"/>
      </w:pPr>
      <w:r>
        <w:t xml:space="preserve">6.1 Límites de riesgo de la cartera</w:t>
      </w:r>
    </w:p>
    <w:p>
      <w:r>
        <w:t xml:space="preserve">Traducen el apetito de C2 (14 §5.2). Superar un límite no para las iniciativas en curso, pero impide que entren nuevas en la categoría afectada.</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Límite</w:t>
            </w:r>
          </w:p>
        </w:tc>
        <w:tc>
          <w:tcPr>
            <w:tcW w:w="1928" w:type="dxa"/>
            <w:shd w:val="clear" w:color="auto" w:fill="F2DFCE"/>
          </w:tcPr>
          <w:p>
            <w:pPr>
              <w:pStyle w:val="Celda"/>
            </w:pPr>
            <w:r>
              <w:rPr>
                <w:b/>
              </w:rPr>
              <w:t xml:space="preserve">Valor fijado</w:t>
            </w:r>
          </w:p>
        </w:tc>
        <w:tc>
          <w:tcPr>
            <w:tcW w:w="1928" w:type="dxa"/>
            <w:shd w:val="clear" w:color="auto" w:fill="F2DFCE"/>
          </w:tcPr>
          <w:p>
            <w:pPr>
              <w:pStyle w:val="Celda"/>
            </w:pPr>
            <w:r>
              <w:rPr>
                <w:b/>
              </w:rPr>
              <w:t xml:space="preserve">Valor actual</w:t>
            </w:r>
          </w:p>
        </w:tc>
        <w:tc>
          <w:tcPr>
            <w:tcW w:w="1928" w:type="dxa"/>
            <w:shd w:val="clear" w:color="auto" w:fill="F2DFCE"/>
          </w:tcPr>
          <w:p>
            <w:pPr>
              <w:pStyle w:val="Celda"/>
            </w:pPr>
            <w:r>
              <w:rPr>
                <w:b/>
              </w:rPr>
              <w:t xml:space="preserve">Estado (Dentro · Superado)</w:t>
            </w:r>
          </w:p>
        </w:tc>
        <w:tc>
          <w:tcPr>
            <w:tcW w:w="1928" w:type="dxa"/>
            <w:shd w:val="clear" w:color="auto" w:fill="F2DFCE"/>
          </w:tcPr>
          <w:p>
            <w:pPr>
              <w:pStyle w:val="Celda"/>
            </w:pPr>
            <w:r>
              <w:rPr>
                <w:b/>
              </w:rPr>
              <w:t xml:space="preserve">Medida o elevación</w:t>
            </w:r>
          </w:p>
        </w:tc>
      </w:tr>
      <w:tr>
        <w:tc>
          <w:tcPr>
            <w:tcW w:w="1928" w:type="dxa"/>
          </w:tcPr>
          <w:p>
            <w:pPr>
              <w:pStyle w:val="Celda"/>
            </w:pPr>
            <w:r>
              <w:t xml:space="preserve">Iniciativas en producción con riesgo residual Alto aceptado</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Sistemas de alto riesgo regulatorio simultáneos en fases 4–5</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Agentes A2 o A3 en producción (requiere nivel 3 en D4 y D6)</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Inversión en sistemas con exposición directa sin evaluación independiente</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Heading2"/>
      </w:pPr>
      <w:r>
        <w:t xml:space="preserve">6.2 Concentración y dependencia de proveedores </w:t>
      </w:r>
      <w:r>
        <w:rPr>
          <w:b/>
        </w:rPr>
        <w:t xml:space="preserve">(Enterprise)</w:t>
      </w:r>
    </w:p>
    <w:p>
      <w:r>
        <w:t xml:space="preserve">Análisis trimestral (14 §9). Los proveedores N3 deben tener plan de salida.</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Tipo</w:t>
            </w:r>
          </w:p>
        </w:tc>
        <w:tc>
          <w:tcPr>
            <w:tcW w:w="1928" w:type="dxa"/>
            <w:shd w:val="clear" w:color="auto" w:fill="F2DFCE"/>
          </w:tcPr>
          <w:p>
            <w:pPr>
              <w:pStyle w:val="Celda"/>
            </w:pPr>
            <w:r>
              <w:rPr>
                <w:b/>
              </w:rPr>
              <w:t xml:space="preserve">Qué se mide</w:t>
            </w:r>
          </w:p>
        </w:tc>
        <w:tc>
          <w:tcPr>
            <w:tcW w:w="1928" w:type="dxa"/>
            <w:shd w:val="clear" w:color="auto" w:fill="F2DFCE"/>
          </w:tcPr>
          <w:p>
            <w:pPr>
              <w:pStyle w:val="Celda"/>
            </w:pPr>
            <w:r>
              <w:rPr>
                <w:b/>
              </w:rPr>
              <w:t xml:space="preserve">Señal de alerta fijada en C2</w:t>
            </w:r>
          </w:p>
        </w:tc>
        <w:tc>
          <w:tcPr>
            <w:tcW w:w="1928" w:type="dxa"/>
            <w:shd w:val="clear" w:color="auto" w:fill="F2DFCE"/>
          </w:tcPr>
          <w:p>
            <w:pPr>
              <w:pStyle w:val="Celda"/>
            </w:pPr>
            <w:r>
              <w:rPr>
                <w:b/>
              </w:rPr>
              <w:t xml:space="preserve">Situación actual</w:t>
            </w:r>
          </w:p>
        </w:tc>
        <w:tc>
          <w:tcPr>
            <w:tcW w:w="1928" w:type="dxa"/>
            <w:shd w:val="clear" w:color="auto" w:fill="F2DFCE"/>
          </w:tcPr>
          <w:p>
            <w:pPr>
              <w:pStyle w:val="Celda"/>
            </w:pPr>
            <w:r>
              <w:rPr>
                <w:b/>
              </w:rPr>
              <w:t xml:space="preserve">Medida</w:t>
            </w:r>
          </w:p>
        </w:tc>
      </w:tr>
      <w:tr>
        <w:tc>
          <w:tcPr>
            <w:tcW w:w="1928" w:type="dxa"/>
          </w:tcPr>
          <w:p>
            <w:pPr>
              <w:pStyle w:val="Celda"/>
            </w:pPr>
            <w:r>
              <w:t xml:space="preserve">Proveedor</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Modelo base</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Datos</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Personas</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Riesgo tipo (RT-XXX-NN)</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Esfera o área</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Heading2"/>
      </w:pPr>
      <w:r>
        <w:t xml:space="preserve">6.3 Equilibrio de ambición</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Carril</w:t>
            </w:r>
          </w:p>
        </w:tc>
        <w:tc>
          <w:tcPr>
            <w:tcW w:w="1606" w:type="dxa"/>
            <w:shd w:val="clear" w:color="auto" w:fill="F2DFCE"/>
          </w:tcPr>
          <w:p>
            <w:pPr>
              <w:pStyle w:val="Celda"/>
            </w:pPr>
            <w:r>
              <w:rPr>
                <w:b/>
              </w:rPr>
              <w:t xml:space="preserve">Banda de C2</w:t>
            </w:r>
          </w:p>
        </w:tc>
        <w:tc>
          <w:tcPr>
            <w:tcW w:w="1606" w:type="dxa"/>
            <w:shd w:val="clear" w:color="auto" w:fill="F2DFCE"/>
          </w:tcPr>
          <w:p>
            <w:pPr>
              <w:pStyle w:val="Celda"/>
            </w:pPr>
            <w:r>
              <w:rPr>
                <w:b/>
              </w:rPr>
              <w:t xml:space="preserve">Proporción actual del coste</w:t>
            </w:r>
          </w:p>
        </w:tc>
        <w:tc>
          <w:tcPr>
            <w:tcW w:w="1606" w:type="dxa"/>
            <w:shd w:val="clear" w:color="auto" w:fill="F2DFCE"/>
          </w:tcPr>
          <w:p>
            <w:pPr>
              <w:pStyle w:val="Celda"/>
            </w:pPr>
            <w:r>
              <w:rPr>
                <w:b/>
              </w:rPr>
              <w:t xml:space="preserve">Desviación (puntos)</w:t>
            </w:r>
          </w:p>
        </w:tc>
        <w:tc>
          <w:tcPr>
            <w:tcW w:w="1606" w:type="dxa"/>
            <w:shd w:val="clear" w:color="auto" w:fill="F2DFCE"/>
          </w:tcPr>
          <w:p>
            <w:pPr>
              <w:pStyle w:val="Celda"/>
            </w:pPr>
            <w:r>
              <w:rPr>
                <w:b/>
              </w:rPr>
              <w:t xml:space="preserve">Trimestres fuera de banda</w:t>
            </w:r>
          </w:p>
        </w:tc>
        <w:tc>
          <w:tcPr>
            <w:tcW w:w="1606" w:type="dxa"/>
            <w:shd w:val="clear" w:color="auto" w:fill="F2DFCE"/>
          </w:tcPr>
          <w:p>
            <w:pPr>
              <w:pStyle w:val="Celda"/>
            </w:pPr>
            <w:r>
              <w:rPr>
                <w:b/>
              </w:rPr>
              <w:t xml:space="preserve">Actuación (14 §5.1)</w:t>
            </w:r>
          </w:p>
        </w:tc>
      </w:tr>
      <w:tr>
        <w:tc>
          <w:tcPr>
            <w:tcW w:w="1606" w:type="dxa"/>
          </w:tcPr>
          <w:p>
            <w:pPr>
              <w:pStyle w:val="Celda"/>
            </w:pPr>
            <w:r>
              <w:t xml:space="preserve">Optimizar</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Aumentar</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Transformar</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t xml:space="preserve">Se revisa también la mezcla de ambición por fase (03 §3.5): una cartera equilibrada en fase 1 con todas las apuestas de Transformar detenidas antes de G5 no está equilibrada.</w:t>
      </w:r>
    </w:p>
    <w:p>
      <w:pPr>
        <w:pStyle w:val="Separador"/>
      </w:pPr>
    </w:p>
    <w:p>
      <w:pPr>
        <w:pStyle w:val="Heading1"/>
      </w:pPr>
      <w:r>
        <w:t xml:space="preserve">7. Calendario de revisiones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Momento</w:t>
            </w:r>
          </w:p>
        </w:tc>
        <w:tc>
          <w:tcPr>
            <w:tcW w:w="2410" w:type="dxa"/>
            <w:shd w:val="clear" w:color="auto" w:fill="F2DFCE"/>
          </w:tcPr>
          <w:p>
            <w:pPr>
              <w:pStyle w:val="Celda"/>
            </w:pPr>
            <w:r>
              <w:rPr>
                <w:b/>
              </w:rPr>
              <w:t xml:space="preserve">Qué se revisa (14 §2.2 y §7)</w:t>
            </w:r>
          </w:p>
        </w:tc>
        <w:tc>
          <w:tcPr>
            <w:tcW w:w="2410" w:type="dxa"/>
            <w:shd w:val="clear" w:color="auto" w:fill="F2DFCE"/>
          </w:tcPr>
          <w:p>
            <w:pPr>
              <w:pStyle w:val="Celda"/>
            </w:pPr>
            <w:r>
              <w:rPr>
                <w:b/>
              </w:rPr>
              <w:t xml:space="preserve">Fechas</w:t>
            </w:r>
          </w:p>
        </w:tc>
        <w:tc>
          <w:tcPr>
            <w:tcW w:w="2410" w:type="dxa"/>
            <w:shd w:val="clear" w:color="auto" w:fill="F2DFCE"/>
          </w:tcPr>
          <w:p>
            <w:pPr>
              <w:pStyle w:val="Celda"/>
            </w:pPr>
            <w:r>
              <w:rPr>
                <w:b/>
              </w:rPr>
              <w:t xml:space="preserve">Responsable</w:t>
            </w:r>
          </w:p>
        </w:tc>
      </w:tr>
      <w:tr>
        <w:tc>
          <w:tcPr>
            <w:tcW w:w="2410" w:type="dxa"/>
          </w:tcPr>
          <w:p>
            <w:pPr>
              <w:pStyle w:val="Celda"/>
            </w:pPr>
            <w:r>
              <w:t xml:space="preserve">Anual (C3)</w:t>
            </w:r>
          </w:p>
        </w:tc>
        <w:tc>
          <w:tcPr>
            <w:tcW w:w="2410" w:type="dxa"/>
          </w:tcPr>
          <w:p>
            <w:pPr>
              <w:pStyle w:val="Celda"/>
            </w:pPr>
            <w:r>
              <w:t xml:space="preserve">Construcción o renovación de la cartera.</w:t>
            </w:r>
          </w:p>
        </w:tc>
        <w:tc>
          <w:tcPr>
            <w:tcW w:w="2410" w:type="dxa"/>
          </w:tcPr>
          <w:p>
            <w:pPr>
              <w:pStyle w:val="Celda"/>
            </w:pPr>
          </w:p>
        </w:tc>
        <w:tc>
          <w:tcPr>
            <w:tcW w:w="2410" w:type="dxa"/>
          </w:tcPr>
          <w:p>
            <w:pPr>
              <w:pStyle w:val="Celda"/>
            </w:pPr>
            <w:r>
              <w:t xml:space="preserve">Comité de IA</w:t>
            </w:r>
          </w:p>
        </w:tc>
      </w:tr>
      <w:tr>
        <w:tc>
          <w:tcPr>
            <w:tcW w:w="2410" w:type="dxa"/>
          </w:tcPr>
          <w:p>
            <w:pPr>
              <w:pStyle w:val="Celda"/>
            </w:pPr>
            <w:r>
              <w:t xml:space="preserve">Trimestral</w:t>
            </w:r>
          </w:p>
        </w:tc>
        <w:tc>
          <w:tcPr>
            <w:tcW w:w="2410" w:type="dxa"/>
          </w:tcPr>
          <w:p>
            <w:pPr>
              <w:pStyle w:val="Celda"/>
            </w:pPr>
            <w:r>
              <w:t xml:space="preserve">Equilibrio, concentración, programas, retiradas, presupuesto; informe al consejo en C4.</w:t>
            </w:r>
          </w:p>
        </w:tc>
        <w:tc>
          <w:tcPr>
            <w:tcW w:w="2410" w:type="dxa"/>
          </w:tcPr>
          <w:p>
            <w:pPr>
              <w:pStyle w:val="Celda"/>
            </w:pPr>
          </w:p>
        </w:tc>
        <w:tc>
          <w:tcPr>
            <w:tcW w:w="2410" w:type="dxa"/>
          </w:tcPr>
          <w:p>
            <w:pPr>
              <w:pStyle w:val="Celda"/>
            </w:pPr>
            <w:r>
              <w:t xml:space="preserve">Comité de IA</w:t>
            </w:r>
          </w:p>
        </w:tc>
      </w:tr>
      <w:tr>
        <w:tc>
          <w:tcPr>
            <w:tcW w:w="2410" w:type="dxa"/>
          </w:tcPr>
          <w:p>
            <w:pPr>
              <w:pStyle w:val="Celda"/>
            </w:pPr>
            <w:r>
              <w:t xml:space="preserve">Mensual</w:t>
            </w:r>
          </w:p>
        </w:tc>
        <w:tc>
          <w:tcPr>
            <w:tcW w:w="2410" w:type="dxa"/>
          </w:tcPr>
          <w:p>
            <w:pPr>
              <w:pStyle w:val="Celda"/>
            </w:pPr>
            <w:r>
              <w:t xml:space="preserve">Embudo, estancadas, condiciones vencidas, esperas y nuevas entradas.</w:t>
            </w:r>
          </w:p>
        </w:tc>
        <w:tc>
          <w:tcPr>
            <w:tcW w:w="2410" w:type="dxa"/>
          </w:tcPr>
          <w:p>
            <w:pPr>
              <w:pStyle w:val="Celda"/>
            </w:pPr>
          </w:p>
        </w:tc>
        <w:tc>
          <w:tcPr>
            <w:tcW w:w="2410" w:type="dxa"/>
          </w:tcPr>
          <w:p>
            <w:pPr>
              <w:pStyle w:val="Celda"/>
            </w:pPr>
            <w:r>
              <w:t xml:space="preserve">Comité de IA</w:t>
            </w:r>
          </w:p>
        </w:tc>
      </w:tr>
      <w:tr>
        <w:tc>
          <w:tcPr>
            <w:tcW w:w="2410" w:type="dxa"/>
          </w:tcPr>
          <w:p>
            <w:pPr>
              <w:pStyle w:val="Celda"/>
            </w:pPr>
            <w:r>
              <w:t xml:space="preserve">Continuo</w:t>
            </w:r>
          </w:p>
        </w:tc>
        <w:tc>
          <w:tcPr>
            <w:tcW w:w="2410" w:type="dxa"/>
          </w:tcPr>
          <w:p>
            <w:pPr>
              <w:pStyle w:val="Celda"/>
            </w:pPr>
            <w:r>
              <w:t xml:space="preserve">Altas, alertas de T01 y preparación de información.</w:t>
            </w:r>
          </w:p>
        </w:tc>
        <w:tc>
          <w:tcPr>
            <w:tcW w:w="2410" w:type="dxa"/>
          </w:tcPr>
          <w:p>
            <w:pPr>
              <w:pStyle w:val="Celda"/>
            </w:pPr>
            <w:r>
              <w:t xml:space="preserve">—</w:t>
            </w:r>
          </w:p>
        </w:tc>
        <w:tc>
          <w:tcPr>
            <w:tcW w:w="2410" w:type="dxa"/>
          </w:tcPr>
          <w:p>
            <w:pPr>
              <w:pStyle w:val="Celda"/>
            </w:pPr>
            <w:r>
              <w:t xml:space="preserve">Oficina de IA</w:t>
            </w:r>
          </w:p>
        </w:tc>
      </w:tr>
    </w:tbl>
    <w:p>
      <w:pPr>
        <w:pStyle w:val="Espacio"/>
      </w:pPr>
    </w:p>
    <w:p>
      <w:pPr>
        <w:pStyle w:val="Separador"/>
      </w:pPr>
    </w:p>
    <w:p>
      <w:pPr>
        <w:pStyle w:val="Heading1"/>
      </w:pPr>
      <w:r>
        <w:t xml:space="preserve">8. Semáforo de programas</w:t>
      </w:r>
    </w:p>
    <w:p>
      <w:r>
        <w:t xml:space="preserve">Reglas y umbrales iniciales de 14 §12: el color del programa es el peor de sus ejes; sin dato es gris y el programa no puede estar en verde; todo programa en rojo presenta plan en la siguiente revisión mensual.</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Programa</w:t>
            </w:r>
          </w:p>
        </w:tc>
        <w:tc>
          <w:tcPr>
            <w:tcW w:w="964" w:type="dxa"/>
            <w:shd w:val="clear" w:color="auto" w:fill="F2DFCE"/>
          </w:tcPr>
          <w:p>
            <w:pPr>
              <w:pStyle w:val="Celda"/>
            </w:pPr>
            <w:r>
              <w:rPr>
                <w:b/>
              </w:rPr>
              <w:t xml:space="preserve">Plazo</w:t>
            </w:r>
          </w:p>
        </w:tc>
        <w:tc>
          <w:tcPr>
            <w:tcW w:w="964" w:type="dxa"/>
            <w:shd w:val="clear" w:color="auto" w:fill="F2DFCE"/>
          </w:tcPr>
          <w:p>
            <w:pPr>
              <w:pStyle w:val="Celda"/>
            </w:pPr>
            <w:r>
              <w:rPr>
                <w:b/>
              </w:rPr>
              <w:t xml:space="preserve">Coste</w:t>
            </w:r>
          </w:p>
        </w:tc>
        <w:tc>
          <w:tcPr>
            <w:tcW w:w="964" w:type="dxa"/>
            <w:shd w:val="clear" w:color="auto" w:fill="F2DFCE"/>
          </w:tcPr>
          <w:p>
            <w:pPr>
              <w:pStyle w:val="Celda"/>
            </w:pPr>
            <w:r>
              <w:rPr>
                <w:b/>
              </w:rPr>
              <w:t xml:space="preserve">Valor</w:t>
            </w:r>
          </w:p>
        </w:tc>
        <w:tc>
          <w:tcPr>
            <w:tcW w:w="964" w:type="dxa"/>
            <w:shd w:val="clear" w:color="auto" w:fill="F2DFCE"/>
          </w:tcPr>
          <w:p>
            <w:pPr>
              <w:pStyle w:val="Celda"/>
            </w:pPr>
            <w:r>
              <w:rPr>
                <w:b/>
              </w:rPr>
              <w:t xml:space="preserve">Riesgo</w:t>
            </w:r>
          </w:p>
        </w:tc>
        <w:tc>
          <w:tcPr>
            <w:tcW w:w="964" w:type="dxa"/>
            <w:shd w:val="clear" w:color="auto" w:fill="F2DFCE"/>
          </w:tcPr>
          <w:p>
            <w:pPr>
              <w:pStyle w:val="Celda"/>
            </w:pPr>
            <w:r>
              <w:rPr>
                <w:b/>
              </w:rPr>
              <w:t xml:space="preserve">Gobierno</w:t>
            </w:r>
          </w:p>
        </w:tc>
        <w:tc>
          <w:tcPr>
            <w:tcW w:w="964" w:type="dxa"/>
            <w:shd w:val="clear" w:color="auto" w:fill="F2DFCE"/>
          </w:tcPr>
          <w:p>
            <w:pPr>
              <w:pStyle w:val="Celda"/>
            </w:pPr>
            <w:r>
              <w:rPr>
                <w:b/>
              </w:rPr>
              <w:t xml:space="preserve">Adopción</w:t>
            </w:r>
          </w:p>
        </w:tc>
        <w:tc>
          <w:tcPr>
            <w:tcW w:w="964" w:type="dxa"/>
            <w:shd w:val="clear" w:color="auto" w:fill="F2DFCE"/>
          </w:tcPr>
          <w:p>
            <w:pPr>
              <w:pStyle w:val="Celda"/>
            </w:pPr>
            <w:r>
              <w:rPr>
                <w:b/>
              </w:rPr>
              <w:t xml:space="preserve">Color del programa</w:t>
            </w:r>
          </w:p>
        </w:tc>
        <w:tc>
          <w:tcPr>
            <w:tcW w:w="964" w:type="dxa"/>
            <w:shd w:val="clear" w:color="auto" w:fill="F2DFCE"/>
          </w:tcPr>
          <w:p>
            <w:pPr>
              <w:pStyle w:val="Celda"/>
            </w:pPr>
            <w:r>
              <w:rPr>
                <w:b/>
              </w:rPr>
              <w:t xml:space="preserve">Color del trimestre anterior</w:t>
            </w:r>
          </w:p>
        </w:tc>
        <w:tc>
          <w:tcPr>
            <w:tcW w:w="964" w:type="dxa"/>
            <w:shd w:val="clear" w:color="auto" w:fill="F2DFCE"/>
          </w:tcPr>
          <w:p>
            <w:pPr>
              <w:pStyle w:val="Celda"/>
            </w:pPr>
            <w:r>
              <w:rPr>
                <w:b/>
              </w:rPr>
              <w:t xml:space="preserve">Plan o decisión</w:t>
            </w:r>
          </w:p>
        </w:tc>
      </w:tr>
      <w:tr>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r>
              <w:rPr>
                <w:i/>
              </w:rPr>
              <w:t xml:space="preserve">(ejemplo ilustrativo)</w:t>
            </w:r>
            <w:r>
              <w:t xml:space="preserve"> Atención al cliente</w:t>
            </w:r>
          </w:p>
        </w:tc>
        <w:tc>
          <w:tcPr>
            <w:tcW w:w="964" w:type="dxa"/>
          </w:tcPr>
          <w:p>
            <w:pPr>
              <w:pStyle w:val="Celda"/>
            </w:pPr>
            <w:r>
              <w:t xml:space="preserve">Verde</w:t>
            </w:r>
          </w:p>
        </w:tc>
        <w:tc>
          <w:tcPr>
            <w:tcW w:w="964" w:type="dxa"/>
          </w:tcPr>
          <w:p>
            <w:pPr>
              <w:pStyle w:val="Celda"/>
            </w:pPr>
            <w:r>
              <w:t xml:space="preserve">Ámbar</w:t>
            </w:r>
          </w:p>
        </w:tc>
        <w:tc>
          <w:tcPr>
            <w:tcW w:w="964" w:type="dxa"/>
          </w:tcPr>
          <w:p>
            <w:pPr>
              <w:pStyle w:val="Celda"/>
            </w:pPr>
            <w:r>
              <w:t xml:space="preserve">Gris (sin dato)</w:t>
            </w:r>
          </w:p>
        </w:tc>
        <w:tc>
          <w:tcPr>
            <w:tcW w:w="964" w:type="dxa"/>
          </w:tcPr>
          <w:p>
            <w:pPr>
              <w:pStyle w:val="Celda"/>
            </w:pPr>
            <w:r>
              <w:t xml:space="preserve">Verde</w:t>
            </w:r>
          </w:p>
        </w:tc>
        <w:tc>
          <w:tcPr>
            <w:tcW w:w="964" w:type="dxa"/>
          </w:tcPr>
          <w:p>
            <w:pPr>
              <w:pStyle w:val="Celda"/>
            </w:pPr>
            <w:r>
              <w:t xml:space="preserve">Verde</w:t>
            </w:r>
          </w:p>
        </w:tc>
        <w:tc>
          <w:tcPr>
            <w:tcW w:w="964" w:type="dxa"/>
          </w:tcPr>
          <w:p>
            <w:pPr>
              <w:pStyle w:val="Celda"/>
            </w:pPr>
            <w:r>
              <w:t xml:space="preserve">Ámbar</w:t>
            </w:r>
          </w:p>
        </w:tc>
        <w:tc>
          <w:tcPr>
            <w:tcW w:w="964" w:type="dxa"/>
          </w:tcPr>
          <w:p>
            <w:pPr>
              <w:pStyle w:val="Celda"/>
            </w:pPr>
            <w:r>
              <w:t xml:space="preserve">Ámbar</w:t>
            </w:r>
          </w:p>
        </w:tc>
        <w:tc>
          <w:tcPr>
            <w:tcW w:w="964" w:type="dxa"/>
          </w:tcPr>
          <w:p>
            <w:pPr>
              <w:pStyle w:val="Celda"/>
            </w:pPr>
            <w:r>
              <w:t xml:space="preserve">Verde</w:t>
            </w:r>
          </w:p>
        </w:tc>
        <w:tc>
          <w:tcPr>
            <w:tcW w:w="964" w:type="dxa"/>
          </w:tcPr>
          <w:p>
            <w:pPr>
              <w:pStyle w:val="Celda"/>
            </w:pPr>
            <w:r>
              <w:t xml:space="preserve">Medir el valor antes de la siguiente revisión mensual</w:t>
            </w:r>
          </w:p>
        </w:tc>
      </w:tr>
    </w:tbl>
    <w:p>
      <w:pPr>
        <w:pStyle w:val="Espacio"/>
      </w:pPr>
    </w:p>
    <w:p>
      <w:pPr>
        <w:pStyle w:val="Separador"/>
      </w:pPr>
    </w:p>
    <w:p>
      <w:pPr>
        <w:pStyle w:val="Heading1"/>
      </w:pPr>
      <w:r>
        <w:t xml:space="preserve">9. Plan de regularización</w:t>
      </w:r>
    </w:p>
    <w:p>
      <w:r>
        <w:t xml:space="preserve">Sistemas e iniciativas anteriores al marco (14 §11; 90 §5). Primero los que cumplen algún criterio Enterprise. Plazo de referencia: seis meses desde la aprobación de C2 con criterios Enterprise; 12 meses el resto, salvo otros plazos aprobados en C2.</w:t>
      </w:r>
    </w:p>
    <w:tbl>
      <w:tblPr>
        <w:tblStyle w:val="TablaSG"/>
        <w:tblW w:w="5000" w:type="pct"/>
        <w:tblLayout w:type="autofit"/>
        <w:tblLook w:val="04A0" w:firstRow="1" w:lastRow="0" w:firstColumn="0" w:lastColumn="0" w:noHBand="1" w:noVBand="1"/>
      </w:tblPr>
      <w:tblGrid>
        <w:gridCol w:w="876"/>
        <w:gridCol w:w="876"/>
        <w:gridCol w:w="876"/>
        <w:gridCol w:w="876"/>
        <w:gridCol w:w="876"/>
        <w:gridCol w:w="876"/>
        <w:gridCol w:w="876"/>
        <w:gridCol w:w="876"/>
        <w:gridCol w:w="876"/>
        <w:gridCol w:w="876"/>
        <w:gridCol w:w="876"/>
      </w:tblGrid>
      <w:tr>
        <w:trPr>
          <w:tblHeader/>
        </w:trPr>
        <w:tc>
          <w:tcPr>
            <w:tcW w:w="876" w:type="dxa"/>
            <w:shd w:val="clear" w:color="auto" w:fill="F2DFCE"/>
          </w:tcPr>
          <w:p>
            <w:pPr>
              <w:pStyle w:val="Celda"/>
            </w:pPr>
            <w:r>
              <w:rPr>
                <w:b/>
              </w:rPr>
              <w:t xml:space="preserve">Código (IA- · SIA-)</w:t>
            </w:r>
          </w:p>
        </w:tc>
        <w:tc>
          <w:tcPr>
            <w:tcW w:w="876" w:type="dxa"/>
            <w:shd w:val="clear" w:color="auto" w:fill="F2DFCE"/>
          </w:tcPr>
          <w:p>
            <w:pPr>
              <w:pStyle w:val="Celda"/>
            </w:pPr>
            <w:r>
              <w:rPr>
                <w:b/>
              </w:rPr>
              <w:t xml:space="preserve">Nombre</w:t>
            </w:r>
          </w:p>
        </w:tc>
        <w:tc>
          <w:tcPr>
            <w:tcW w:w="876" w:type="dxa"/>
            <w:shd w:val="clear" w:color="auto" w:fill="F2DFCE"/>
          </w:tcPr>
          <w:p>
            <w:pPr>
              <w:pStyle w:val="Celda"/>
            </w:pPr>
            <w:r>
              <w:rPr>
                <w:b/>
              </w:rPr>
              <w:t xml:space="preserve">Estado real (Idea · Piloto · En construcción · En producción · Uso corporativo · Uso no autorizado)</w:t>
            </w:r>
          </w:p>
        </w:tc>
        <w:tc>
          <w:tcPr>
            <w:tcW w:w="876" w:type="dxa"/>
            <w:shd w:val="clear" w:color="auto" w:fill="F2DFCE"/>
          </w:tcPr>
          <w:p>
            <w:pPr>
              <w:pStyle w:val="Celda"/>
            </w:pPr>
            <w:r>
              <w:rPr>
                <w:b/>
              </w:rPr>
              <w:t xml:space="preserve">Criterios Enterprise</w:t>
            </w:r>
          </w:p>
        </w:tc>
        <w:tc>
          <w:tcPr>
            <w:tcW w:w="876" w:type="dxa"/>
            <w:shd w:val="clear" w:color="auto" w:fill="F2DFCE"/>
          </w:tcPr>
          <w:p>
            <w:pPr>
              <w:pStyle w:val="Celda"/>
            </w:pPr>
            <w:r>
              <w:rPr>
                <w:b/>
              </w:rPr>
              <w:t xml:space="preserve">Orden</w:t>
            </w:r>
          </w:p>
        </w:tc>
        <w:tc>
          <w:tcPr>
            <w:tcW w:w="876" w:type="dxa"/>
            <w:shd w:val="clear" w:color="auto" w:fill="F2DFCE"/>
          </w:tcPr>
          <w:p>
            <w:pPr>
              <w:pStyle w:val="Celda"/>
            </w:pPr>
            <w:r>
              <w:rPr>
                <w:b/>
              </w:rPr>
              <w:t xml:space="preserve">Tratamiento</w:t>
            </w:r>
          </w:p>
        </w:tc>
        <w:tc>
          <w:tcPr>
            <w:tcW w:w="876" w:type="dxa"/>
            <w:shd w:val="clear" w:color="auto" w:fill="F2DFCE"/>
          </w:tcPr>
          <w:p>
            <w:pPr>
              <w:pStyle w:val="Celda"/>
            </w:pPr>
            <w:r>
              <w:rPr>
                <w:b/>
              </w:rPr>
              <w:t xml:space="preserve">Evidencias mínimas</w:t>
            </w:r>
          </w:p>
        </w:tc>
        <w:tc>
          <w:tcPr>
            <w:tcW w:w="876" w:type="dxa"/>
            <w:shd w:val="clear" w:color="auto" w:fill="F2DFCE"/>
          </w:tcPr>
          <w:p>
            <w:pPr>
              <w:pStyle w:val="Celda"/>
            </w:pPr>
            <w:r>
              <w:rPr>
                <w:b/>
              </w:rPr>
              <w:t xml:space="preserve">Plazo</w:t>
            </w:r>
          </w:p>
        </w:tc>
        <w:tc>
          <w:tcPr>
            <w:tcW w:w="876" w:type="dxa"/>
            <w:shd w:val="clear" w:color="auto" w:fill="F2DFCE"/>
          </w:tcPr>
          <w:p>
            <w:pPr>
              <w:pStyle w:val="Celda"/>
            </w:pPr>
            <w:r>
              <w:rPr>
                <w:b/>
              </w:rPr>
              <w:t xml:space="preserve">Responsable</w:t>
            </w:r>
          </w:p>
        </w:tc>
        <w:tc>
          <w:tcPr>
            <w:tcW w:w="876" w:type="dxa"/>
            <w:shd w:val="clear" w:color="auto" w:fill="F2DFCE"/>
          </w:tcPr>
          <w:p>
            <w:pPr>
              <w:pStyle w:val="Celda"/>
            </w:pPr>
            <w:r>
              <w:rPr>
                <w:b/>
              </w:rPr>
              <w:t xml:space="preserve">Fecha de revisión</w:t>
            </w:r>
          </w:p>
        </w:tc>
        <w:tc>
          <w:tcPr>
            <w:tcW w:w="876" w:type="dxa"/>
            <w:shd w:val="clear" w:color="auto" w:fill="F2DFCE"/>
          </w:tcPr>
          <w:p>
            <w:pPr>
              <w:pStyle w:val="Celda"/>
            </w:pPr>
            <w:r>
              <w:rPr>
                <w:b/>
              </w:rPr>
              <w:t xml:space="preserve">Resultado</w:t>
            </w:r>
          </w:p>
        </w:tc>
      </w:tr>
      <w:tr>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rPr>
                <w:i/>
              </w:rPr>
              <w:t xml:space="preserve">(ejemplo ilustrativo)</w:t>
            </w:r>
            <w:r>
              <w:t xml:space="preserve"> SIA-2026-004</w:t>
            </w:r>
          </w:p>
        </w:tc>
        <w:tc>
          <w:tcPr>
            <w:tcW w:w="876" w:type="dxa"/>
          </w:tcPr>
          <w:p>
            <w:pPr>
              <w:pStyle w:val="Celda"/>
            </w:pPr>
            <w:r>
              <w:t xml:space="preserve">Asistente de consultas</w:t>
            </w:r>
          </w:p>
        </w:tc>
        <w:tc>
          <w:tcPr>
            <w:tcW w:w="876" w:type="dxa"/>
          </w:tcPr>
          <w:p>
            <w:pPr>
              <w:pStyle w:val="Celda"/>
            </w:pPr>
            <w:r>
              <w:t xml:space="preserve">En producción</w:t>
            </w:r>
          </w:p>
        </w:tc>
        <w:tc>
          <w:tcPr>
            <w:tcW w:w="876" w:type="dxa"/>
          </w:tcPr>
          <w:p>
            <w:pPr>
              <w:pStyle w:val="Celda"/>
            </w:pPr>
            <w:r>
              <w:t xml:space="preserve">Exposición directa</w:t>
            </w:r>
          </w:p>
        </w:tc>
        <w:tc>
          <w:tcPr>
            <w:tcW w:w="876" w:type="dxa"/>
          </w:tcPr>
          <w:p>
            <w:pPr>
              <w:pStyle w:val="Celda"/>
            </w:pPr>
            <w:r>
              <w:t xml:space="preserve">1</w:t>
            </w:r>
          </w:p>
        </w:tc>
        <w:tc>
          <w:tcPr>
            <w:tcW w:w="876" w:type="dxa"/>
          </w:tcPr>
          <w:p>
            <w:pPr>
              <w:pStyle w:val="Celda"/>
            </w:pPr>
            <w:r>
              <w:t xml:space="preserve">Revisión equivalente a G7</w:t>
            </w:r>
          </w:p>
        </w:tc>
        <w:tc>
          <w:tcPr>
            <w:tcW w:w="876" w:type="dxa"/>
          </w:tcPr>
          <w:p>
            <w:pPr>
              <w:pStyle w:val="Celda"/>
            </w:pPr>
            <w:r>
              <w:t xml:space="preserve">P31, P03, P04, P11, P12, P28, P24, P25, P19</w:t>
            </w:r>
          </w:p>
        </w:tc>
        <w:tc>
          <w:tcPr>
            <w:tcW w:w="876" w:type="dxa"/>
          </w:tcPr>
          <w:p>
            <w:pPr>
              <w:pStyle w:val="Celda"/>
            </w:pPr>
            <w:r>
              <w:t xml:space="preserve">6 meses desde C2</w:t>
            </w:r>
          </w:p>
        </w:tc>
        <w:tc>
          <w:tcPr>
            <w:tcW w:w="876" w:type="dxa"/>
          </w:tcPr>
          <w:p>
            <w:pPr>
              <w:pStyle w:val="Celda"/>
            </w:pPr>
            <w:r>
              <w:t xml:space="preserve">Directora de atención al cliente</w:t>
            </w:r>
          </w:p>
        </w:tc>
        <w:tc>
          <w:tcPr>
            <w:tcW w:w="876" w:type="dxa"/>
          </w:tcPr>
          <w:p>
            <w:pPr>
              <w:pStyle w:val="Celda"/>
            </w:pPr>
            <w:r>
              <w:t xml:space="preserve">15-03-2027</w:t>
            </w:r>
          </w:p>
        </w:tc>
        <w:tc>
          <w:tcPr>
            <w:tcW w:w="876" w:type="dxa"/>
          </w:tcPr>
          <w:p>
            <w:pPr>
              <w:pStyle w:val="Celda"/>
            </w:pPr>
            <w:r>
              <w:t xml:space="preserve">Pendiente</w:t>
            </w:r>
          </w:p>
        </w:tc>
      </w:tr>
    </w:tbl>
    <w:p>
      <w:pPr>
        <w:pStyle w:val="Espacio"/>
      </w:pPr>
    </w:p>
    <w:p>
      <w:r>
        <w:t xml:space="preserve">Reglas (14 §11.2): durante la regularización no se amplía el alcance; una iniciativa en producción no regularizada al vencer el plazo es no conformidad mayor y, si cumple criterios Enterprise sin clasificación regulatoria, crítica. El uso no autorizado se regulariza como no conformidad: autorizar, sustituir o bloquear.</w:t>
      </w:r>
    </w:p>
    <w:p>
      <w:pPr>
        <w:pStyle w:val="Separador"/>
      </w:pPr>
    </w:p>
    <w:p>
      <w:pPr>
        <w:pStyle w:val="Heading1"/>
      </w:pPr>
      <w:r>
        <w:t xml:space="preserve">10. Criterios de calidad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La cartera se prioriza con un método documentado que usa el neto adicional por euro y el equilibrio de ambición, aprobado por el comité (pregunta D2.07 del documento 11).</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Cada carril tiene su sobre y las iniciativas solo compiten dentro de él; no hay trasvases del sobre de Transformar sin aprobación del consejo.</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Las puntuaciones son reproducibles con la fórmula; los «sin dato» constan como tales.</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Las alteraciones del orden tienen justificación escrita registrada.</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Hay plan de capacidad de perfiles escasos y límite de iniciativas simultáneas en fases 3 a 5.</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Los límites de cartera y de concentración tienen valor fijado y situación actual.</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El plan de regularización tiene plazos, responsables y orden por riesgo (90 §4.5, criterio 8).</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El comité revisa mensualmente el embudo y trimestralmente el equilibrio, con decisiones registradas (pregunta D2.09).</w:t>
            </w:r>
          </w:p>
        </w:tc>
        <w:tc>
          <w:tcPr>
            <w:tcW w:w="3213" w:type="dxa"/>
          </w:tcPr>
          <w:p>
            <w:pPr>
              <w:pStyle w:val="Celda"/>
            </w:pPr>
          </w:p>
        </w:tc>
      </w:tr>
    </w:tbl>
    <w:p>
      <w:pPr>
        <w:pStyle w:val="Espacio"/>
      </w:pPr>
    </w:p>
    <w:p>
      <w:pPr>
        <w:pStyle w:val="Separador"/>
      </w:pPr>
    </w:p>
    <w:p>
      <w:pPr>
        <w:pStyle w:val="Heading1"/>
      </w:pPr>
      <w:r>
        <w:t xml:space="preserve">11.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Prepara</w:t>
            </w:r>
          </w:p>
        </w:tc>
        <w:tc>
          <w:tcPr>
            <w:tcW w:w="1928" w:type="dxa"/>
          </w:tcPr>
          <w:p>
            <w:pPr>
              <w:pStyle w:val="Celda"/>
            </w:pPr>
            <w:r>
              <w:t xml:space="preserve">Oficina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Aporta importes y consumo</w:t>
            </w:r>
          </w:p>
        </w:tc>
        <w:tc>
          <w:tcPr>
            <w:tcW w:w="1928" w:type="dxa"/>
          </w:tcPr>
          <w:p>
            <w:pPr>
              <w:pStyle w:val="Celda"/>
            </w:pPr>
            <w:r>
              <w:t xml:space="preserve">Control de gestión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Aporta límites y concentración</w:t>
            </w:r>
          </w:p>
        </w:tc>
        <w:tc>
          <w:tcPr>
            <w:tcW w:w="1928" w:type="dxa"/>
          </w:tcPr>
          <w:p>
            <w:pPr>
              <w:pStyle w:val="Celda"/>
            </w:pPr>
            <w:r>
              <w:t xml:space="preserve">Responsable de riesgos de IA (segunda línea)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 el método </w:t>
            </w:r>
            <w:r>
              <w:rPr>
                <w:b/>
              </w:rPr>
              <w:t xml:space="preserve">(Enterprise)</w:t>
            </w:r>
          </w:p>
        </w:tc>
        <w:tc>
          <w:tcPr>
            <w:tcW w:w="1928" w:type="dxa"/>
          </w:tcPr>
          <w:p>
            <w:pPr>
              <w:pStyle w:val="Celda"/>
            </w:pPr>
            <w:r>
              <w:t xml:space="preserve">Auditor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 la cartera</w:t>
            </w:r>
          </w:p>
        </w:tc>
        <w:tc>
          <w:tcPr>
            <w:tcW w:w="1928" w:type="dxa"/>
          </w:tcPr>
          <w:p>
            <w:pPr>
              <w:pStyle w:val="Celda"/>
            </w:pPr>
            <w:r>
              <w:t xml:space="preserve">Comité de IA</w:t>
            </w:r>
          </w:p>
        </w:tc>
        <w:tc>
          <w:tcPr>
            <w:tcW w:w="1928" w:type="dxa"/>
          </w:tcPr>
          <w:p>
            <w:pPr>
              <w:pStyle w:val="Celda"/>
            </w:pPr>
          </w:p>
        </w:tc>
        <w:tc>
          <w:tcPr>
            <w:tcW w:w="1928" w:type="dxa"/>
          </w:tcPr>
          <w:p>
            <w:pPr>
              <w:pStyle w:val="Celda"/>
            </w:pPr>
          </w:p>
        </w:tc>
        <w:tc>
          <w:tcPr>
            <w:tcW w:w="1928" w:type="dxa"/>
          </w:tcPr>
          <w:p>
            <w:pPr>
              <w:pStyle w:val="Celda"/>
            </w:pPr>
            <w:r>
              <w:t xml:space="preserve">Referencia del acta</w:t>
            </w:r>
          </w:p>
        </w:tc>
      </w:tr>
      <w:tr>
        <w:tc>
          <w:tcPr>
            <w:tcW w:w="1928" w:type="dxa"/>
          </w:tcPr>
          <w:p>
            <w:pPr>
              <w:pStyle w:val="Celda"/>
            </w:pPr>
            <w:r>
              <w:t xml:space="preserve">Aprueba las iniciativas de Transformar y trasvases de su sobre</w:t>
            </w:r>
          </w:p>
        </w:tc>
        <w:tc>
          <w:tcPr>
            <w:tcW w:w="1928" w:type="dxa"/>
          </w:tcPr>
          <w:p>
            <w:pPr>
              <w:pStyle w:val="Celda"/>
            </w:pPr>
            <w:r>
              <w:t xml:space="preserve">Consejo</w:t>
            </w:r>
          </w:p>
        </w:tc>
        <w:tc>
          <w:tcPr>
            <w:tcW w:w="1928" w:type="dxa"/>
          </w:tcPr>
          <w:p>
            <w:pPr>
              <w:pStyle w:val="Celda"/>
            </w:pPr>
          </w:p>
        </w:tc>
        <w:tc>
          <w:tcPr>
            <w:tcW w:w="1928" w:type="dxa"/>
          </w:tcPr>
          <w:p>
            <w:pPr>
              <w:pStyle w:val="Celda"/>
            </w:pPr>
          </w:p>
        </w:tc>
        <w:tc>
          <w:tcPr>
            <w:tcW w:w="1928" w:type="dxa"/>
          </w:tcPr>
          <w:p>
            <w:pPr>
              <w:pStyle w:val="Celda"/>
            </w:pPr>
            <w:r>
              <w:t xml:space="preserve">DEC-AAAA-NNN</w:t>
            </w:r>
          </w:p>
        </w:tc>
      </w:tr>
    </w:tbl>
    <w:p>
      <w:pPr>
        <w:pStyle w:val="Espacio"/>
      </w:pPr>
    </w:p>
    <w:p>
      <w:r>
        <w:t xml:space="preserve">Separación de funciones: el miembro del comité que patrocina una iniciativa se abstiene en su priorización y no computa para el quórum de ese punto (30 §3.3).</w:t>
      </w:r>
    </w:p>
    <w:p>
      <w:pPr>
        <w:pStyle w:val="Separador"/>
      </w:pPr>
    </w:p>
    <w:p>
      <w:pPr>
        <w:pStyle w:val="Heading1"/>
      </w:pPr>
      <w:r>
        <w:t xml:space="preserve">12.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Recoge los resultados de C3 del documento 14: sobres, priorización con fórmula para hoja de cálculo, capacidad, límites y concentración, equilibrio, calendario, semáforo de programas y plan de regularización (14 §11; 90 §5).</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P36 · Plan de cartera C3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P36 · Plan de cartera C3</dc:title>
  <dc:creator>Fernando García Varela</dc:creator>
  <dc:language>es</dc:language>
  <dc:description>sha256:c226b391806670be93c07fe30d9b85430f05cd212c744b408758bdf7fa2f0b3f</dc:description>
  <cp:keywords>SEVEN-G</cp:keywords>
</cp:coreProperties>
</file>