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Solicitud y registro de excepciones</w:t>
      </w:r>
    </w:p>
    <w:p>
      <w:r>
        <w:rPr>
          <w:b/>
        </w:rPr>
        <w:t xml:space="preserve">Tramita cada excepción temporal a la política o al marco con su justificación, riesgo, medidas compensatorias, órgano que aprueba, condiciones y caducidad, y mantiene el registro de excepciones de la compañía.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P40 · Solicitud y registro de excepciones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Una excepción es una decisión consciente de no cumplir un requisito durante un tiempo, con el riesgo a la vista y un responsable. Sin solicitud ni registro, las excepciones se convierten en incumplimientos tolerados que nadie aprueba ni vigila, y la comisión delegada no puede recibir cada trimestre las vigentes, como exige 30 §7.4. Una excepción vencida sin cierre es no conformidad mayor (31 §3.8).</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Antes de dejar de cumplir cualquier requisito de la política corporativa, de la política de uso aceptable o del marco que admita excepción. Nunca a posteriori.</w:t>
            </w:r>
          </w:p>
        </w:tc>
      </w:tr>
      <w:tr>
        <w:tc>
          <w:tcPr>
            <w:tcW w:w="4819" w:type="dxa"/>
          </w:tcPr>
          <w:p>
            <w:pPr>
              <w:pStyle w:val="Celda"/>
            </w:pPr>
            <w:r>
              <w:rPr>
                <w:b/>
              </w:rPr>
              <w:t xml:space="preserve">Quién la rellena</w:t>
            </w:r>
          </w:p>
        </w:tc>
        <w:tc>
          <w:tcPr>
            <w:tcW w:w="4819" w:type="dxa"/>
          </w:tcPr>
          <w:p>
            <w:pPr>
              <w:pStyle w:val="Celda"/>
            </w:pPr>
            <w:r>
              <w:t xml:space="preserve">Quien propone según el tipo (sección 5): responsable de producto de IA, área solicitante, patrocinador de IA o comité de IA. La oficina de IA asigna el código y mantiene el registro.</w:t>
            </w:r>
          </w:p>
        </w:tc>
      </w:tr>
      <w:tr>
        <w:tc>
          <w:tcPr>
            <w:tcW w:w="4819" w:type="dxa"/>
          </w:tcPr>
          <w:p>
            <w:pPr>
              <w:pStyle w:val="Celda"/>
            </w:pPr>
            <w:r>
              <w:rPr>
                <w:b/>
              </w:rPr>
              <w:t xml:space="preserve">Quién la verifica</w:t>
            </w:r>
          </w:p>
        </w:tc>
        <w:tc>
          <w:tcPr>
            <w:tcW w:w="4819" w:type="dxa"/>
          </w:tcPr>
          <w:p>
            <w:pPr>
              <w:pStyle w:val="Celda"/>
            </w:pPr>
            <w:r>
              <w:t xml:space="preserve">La oficina de IA comprueba la admisibilidad y la completitud; la segunda línea valora el riesgo y emite conformidad cuando se exige.</w:t>
            </w:r>
          </w:p>
        </w:tc>
      </w:tr>
      <w:tr>
        <w:tc>
          <w:tcPr>
            <w:tcW w:w="4819" w:type="dxa"/>
          </w:tcPr>
          <w:p>
            <w:pPr>
              <w:pStyle w:val="Celda"/>
            </w:pPr>
            <w:r>
              <w:rPr>
                <w:b/>
              </w:rPr>
              <w:t xml:space="preserve">Quién decide o aprueba</w:t>
            </w:r>
          </w:p>
        </w:tc>
        <w:tc>
          <w:tcPr>
            <w:tcW w:w="4819" w:type="dxa"/>
          </w:tcPr>
          <w:p>
            <w:pPr>
              <w:pStyle w:val="Celda"/>
            </w:pPr>
            <w:r>
              <w:t xml:space="preserve">El órgano de la matriz de delegación de 30 §7.4, según el tipo. Quien propone no aprueba (30, I-9).</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En cualquier momento; se revisan las vigentes en cada sesión mensual del comité de IA y se informan trimestralmente a la comisión delegada (C4).</w:t>
            </w:r>
          </w:p>
        </w:tc>
      </w:tr>
      <w:tr>
        <w:tc>
          <w:tcPr>
            <w:tcW w:w="4819" w:type="dxa"/>
          </w:tcPr>
          <w:p>
            <w:pPr>
              <w:pStyle w:val="Celda"/>
            </w:pPr>
            <w:r>
              <w:rPr>
                <w:b/>
              </w:rPr>
              <w:t xml:space="preserve">Herramienta</w:t>
            </w:r>
          </w:p>
        </w:tc>
        <w:tc>
          <w:tcPr>
            <w:tcW w:w="4819" w:type="dxa"/>
          </w:tcPr>
          <w:p>
            <w:pPr>
              <w:pStyle w:val="Celda"/>
            </w:pPr>
            <w:r>
              <w:t xml:space="preserve">T01 · Registro de iniciativas (excepciones vinculadas a iniciativas y decisiones, 30 §13).</w:t>
            </w:r>
          </w:p>
        </w:tc>
      </w:tr>
      <w:tr>
        <w:tc>
          <w:tcPr>
            <w:tcW w:w="4819" w:type="dxa"/>
          </w:tcPr>
          <w:p>
            <w:pPr>
              <w:pStyle w:val="Celda"/>
            </w:pPr>
            <w:r>
              <w:rPr>
                <w:b/>
              </w:rPr>
              <w:t xml:space="preserve">Documento de referencia</w:t>
            </w:r>
          </w:p>
        </w:tc>
        <w:tc>
          <w:tcPr>
            <w:tcW w:w="4819" w:type="dxa"/>
          </w:tcPr>
          <w:p>
            <w:pPr>
              <w:pStyle w:val="Celda"/>
            </w:pPr>
            <w:r>
              <w:t xml:space="preserve">30 §7.4 y §8.3; 31 §3.7, §3.8 y §4; 37 §3.</w:t>
            </w:r>
          </w:p>
        </w:tc>
      </w:tr>
    </w:tbl>
    <w:p>
      <w:pPr>
        <w:pStyle w:val="Espacio"/>
      </w:pPr>
    </w:p>
    <w:p>
      <w:r>
        <w:t xml:space="preserve">Reglas de cumplimentación:</w:t>
      </w:r>
    </w:p>
    <w:p>
      <w:pPr>
        <w:pStyle w:val="Lista"/>
      </w:pPr>
      <w:r>
        <w:t xml:space="preserve">• Las excepciones </w:t>
      </w:r>
      <w:r>
        <w:rPr>
          <w:b/>
        </w:rPr>
        <w:t xml:space="preserve">nunca</w:t>
      </w:r>
      <w:r>
        <w:t xml:space="preserve"> se admiten sobre prácticas prohibidas, obligaciones legales, separación de funciones en ningún </w:t>
      </w:r>
      <w:r>
        <w:rPr>
          <w:i/>
        </w:rPr>
        <w:t xml:space="preserve">gate</w:t>
      </w:r>
      <w:r>
        <w:t xml:space="preserve">, firma multinivel Enterprise ni existencia de un mecanismo de parada (30 §7.4), ni sobre las líneas rojas de la política corporativa (31 §3.7).</w:t>
      </w:r>
    </w:p>
    <w:p>
      <w:pPr>
        <w:pStyle w:val="Lista"/>
      </w:pPr>
      <w:r>
        <w:t xml:space="preserve">• Una excepción no sustituye a un «Continuar con condiciones» de un </w:t>
      </w:r>
      <w:r>
        <w:rPr>
          <w:i/>
        </w:rPr>
        <w:t xml:space="preserve">gate</w:t>
      </w:r>
      <w:r>
        <w:t xml:space="preserve">: si el asunto se decide en un </w:t>
      </w:r>
      <w:r>
        <w:rPr>
          <w:i/>
        </w:rPr>
        <w:t xml:space="preserve">gate</w:t>
      </w:r>
      <w:r>
        <w:t xml:space="preserve">, se trata en P29.</w:t>
      </w:r>
    </w:p>
    <w:p>
      <w:pPr>
        <w:pStyle w:val="Lista"/>
      </w:pPr>
      <w:r>
        <w:t xml:space="preserve">• Código propuesto: </w:t>
      </w:r>
      <w:r>
        <w:rPr>
          <w:b/>
        </w:rPr>
        <w:t xml:space="preserve">EXC-AAAA-NNN</w:t>
      </w:r>
      <w:r>
        <w:t xml:space="preserve">, con año de solicitud y número correlativo que no se reutiliza, también si la solicitud se deniega.</w:t>
      </w:r>
    </w:p>
    <w:p>
      <w:pPr>
        <w:pStyle w:val="Lista"/>
      </w:pPr>
      <w:r>
        <w:t xml:space="preserve">• La prórroga se tramita como una </w:t>
      </w:r>
      <w:r>
        <w:rPr>
          <w:b/>
        </w:rPr>
        <w:t xml:space="preserve">nueva solicitud</w:t>
      </w:r>
      <w:r>
        <w:t xml:space="preserve"> enlazada a la anterior, aprobada por el mismo órgano (regla propuesta por esta plantilla).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EXC-AAAA-NNN.</w:t>
            </w:r>
          </w:p>
        </w:tc>
      </w:tr>
      <w:tr>
        <w:tc>
          <w:tcPr>
            <w:tcW w:w="3213" w:type="dxa"/>
          </w:tcPr>
          <w:p>
            <w:pPr>
              <w:pStyle w:val="Celda"/>
            </w:pPr>
            <w:r>
              <w:t xml:space="preserve">Fecha de solicitud</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Solicitante y área</w:t>
            </w:r>
          </w:p>
        </w:tc>
        <w:tc>
          <w:tcPr>
            <w:tcW w:w="3213" w:type="dxa"/>
          </w:tcPr>
          <w:p>
            <w:pPr>
              <w:pStyle w:val="Celda"/>
            </w:pPr>
          </w:p>
        </w:tc>
        <w:tc>
          <w:tcPr>
            <w:tcW w:w="3213" w:type="dxa"/>
          </w:tcPr>
          <w:p>
            <w:pPr>
              <w:pStyle w:val="Celda"/>
            </w:pPr>
          </w:p>
        </w:tc>
      </w:tr>
      <w:tr>
        <w:tc>
          <w:tcPr>
            <w:tcW w:w="3213" w:type="dxa"/>
          </w:tcPr>
          <w:p>
            <w:pPr>
              <w:pStyle w:val="Celda"/>
            </w:pPr>
            <w:r>
              <w:t xml:space="preserve">Tipo de excepción</w:t>
            </w:r>
          </w:p>
        </w:tc>
        <w:tc>
          <w:tcPr>
            <w:tcW w:w="3213" w:type="dxa"/>
          </w:tcPr>
          <w:p>
            <w:pPr>
              <w:pStyle w:val="Celda"/>
            </w:pPr>
          </w:p>
        </w:tc>
        <w:tc>
          <w:tcPr>
            <w:tcW w:w="3213" w:type="dxa"/>
          </w:tcPr>
          <w:p>
            <w:pPr>
              <w:pStyle w:val="Celda"/>
            </w:pPr>
            <w:r>
              <w:t xml:space="preserve">Metodológica menor · De política de uso · De requisito del ciclo de vida · De umbral corporativo (30 §7.4).</w:t>
            </w:r>
          </w:p>
        </w:tc>
      </w:tr>
      <w:tr>
        <w:tc>
          <w:tcPr>
            <w:tcW w:w="3213" w:type="dxa"/>
          </w:tcPr>
          <w:p>
            <w:pPr>
              <w:pStyle w:val="Celda"/>
            </w:pPr>
            <w:r>
              <w:t xml:space="preserve">Ámbito</w:t>
            </w:r>
          </w:p>
        </w:tc>
        <w:tc>
          <w:tcPr>
            <w:tcW w:w="3213" w:type="dxa"/>
          </w:tcPr>
          <w:p>
            <w:pPr>
              <w:pStyle w:val="Celda"/>
            </w:pPr>
          </w:p>
        </w:tc>
        <w:tc>
          <w:tcPr>
            <w:tcW w:w="3213" w:type="dxa"/>
          </w:tcPr>
          <w:p>
            <w:pPr>
              <w:pStyle w:val="Celda"/>
            </w:pPr>
            <w:r>
              <w:t xml:space="preserve">Iniciativa (IA-AAAA-NNN), sistema (SIA-AAAA-NNN), herramienta, área o compañía.</w:t>
            </w:r>
          </w:p>
        </w:tc>
      </w:tr>
      <w:tr>
        <w:tc>
          <w:tcPr>
            <w:tcW w:w="3213" w:type="dxa"/>
          </w:tcPr>
          <w:p>
            <w:pPr>
              <w:pStyle w:val="Celda"/>
            </w:pPr>
            <w:r>
              <w:t xml:space="preserve">Excepción anterior enlazada</w:t>
            </w:r>
          </w:p>
        </w:tc>
        <w:tc>
          <w:tcPr>
            <w:tcW w:w="3213" w:type="dxa"/>
          </w:tcPr>
          <w:p>
            <w:pPr>
              <w:pStyle w:val="Celda"/>
            </w:pPr>
          </w:p>
        </w:tc>
        <w:tc>
          <w:tcPr>
            <w:tcW w:w="3213" w:type="dxa"/>
          </w:tcPr>
          <w:p>
            <w:pPr>
              <w:pStyle w:val="Celda"/>
            </w:pPr>
            <w:r>
              <w:t xml:space="preserve">Si es una prórroga.</w:t>
            </w:r>
          </w:p>
        </w:tc>
      </w:tr>
    </w:tbl>
    <w:p>
      <w:pPr>
        <w:pStyle w:val="Espacio"/>
      </w:pPr>
    </w:p>
    <w:p>
      <w:pPr>
        <w:pStyle w:val="Separador"/>
      </w:pPr>
    </w:p>
    <w:p>
      <w:pPr>
        <w:pStyle w:val="Heading1"/>
      </w:pPr>
      <w:r>
        <w:t xml:space="preserve">3. Comprobación de admisibilidad</w:t>
      </w:r>
    </w:p>
    <w:p>
      <w:r>
        <w:t xml:space="preserve">Si alguna respuesta es Sí, la solicitud es inadmisible y se archiva con motivo.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¿La excepción afecta a…?</w:t>
            </w:r>
          </w:p>
        </w:tc>
        <w:tc>
          <w:tcPr>
            <w:tcW w:w="3213" w:type="dxa"/>
            <w:shd w:val="clear" w:color="auto" w:fill="F2DFCE"/>
          </w:tcPr>
          <w:p>
            <w:pPr>
              <w:pStyle w:val="Celda"/>
            </w:pPr>
            <w:r>
              <w:rPr>
                <w:b/>
              </w:rPr>
              <w:t xml:space="preserve">Sí · No</w:t>
            </w:r>
          </w:p>
        </w:tc>
      </w:tr>
      <w:tr>
        <w:tc>
          <w:tcPr>
            <w:tcW w:w="3213" w:type="dxa"/>
          </w:tcPr>
          <w:p>
            <w:pPr>
              <w:pStyle w:val="Celda"/>
            </w:pPr>
            <w:r>
              <w:t xml:space="preserve">1</w:t>
            </w:r>
          </w:p>
        </w:tc>
        <w:tc>
          <w:tcPr>
            <w:tcW w:w="3213" w:type="dxa"/>
          </w:tcPr>
          <w:p>
            <w:pPr>
              <w:pStyle w:val="Celda"/>
            </w:pPr>
            <w:r>
              <w:t xml:space="preserve">Una práctica prohibida por el artículo 5 del Reglamento (UE) 2024/1689 o cualquier otra línea roja de la política corporativa.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Una obligación legal o regulatoria.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separación de funciones en cualquier </w:t>
            </w:r>
            <w:r>
              <w:rPr>
                <w:i/>
              </w:rPr>
              <w:t xml:space="preserve">gate</w:t>
            </w:r>
            <w:r>
              <w:t xml:space="preserve"> (quien construye verifica o decide).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firma multinivel de puesta en producción Enterprise.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 existencia de un mecanismo de parada (interruptor de parada o proceso alternativo).</w:t>
            </w: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Resultado</w:t>
            </w:r>
          </w:p>
        </w:tc>
        <w:tc>
          <w:tcPr>
            <w:tcW w:w="4819" w:type="dxa"/>
          </w:tcPr>
          <w:p>
            <w:pPr>
              <w:pStyle w:val="Celda"/>
            </w:pPr>
            <w:r>
              <w:t xml:space="preserve">Admisible · Inadmisible</w:t>
            </w:r>
          </w:p>
        </w:tc>
      </w:tr>
      <w:tr>
        <w:tc>
          <w:tcPr>
            <w:tcW w:w="4819" w:type="dxa"/>
          </w:tcPr>
          <w:p>
            <w:pPr>
              <w:pStyle w:val="Celda"/>
            </w:pPr>
            <w:r>
              <w:t xml:space="preserve">Comprobado por (oficina de IA) y fecha</w:t>
            </w:r>
          </w:p>
        </w:tc>
        <w:tc>
          <w:tcPr>
            <w:tcW w:w="4819" w:type="dxa"/>
          </w:tcPr>
          <w:p>
            <w:pPr>
              <w:pStyle w:val="Celda"/>
            </w:pPr>
          </w:p>
        </w:tc>
      </w:tr>
    </w:tbl>
    <w:p>
      <w:pPr>
        <w:pStyle w:val="Espacio"/>
      </w:pPr>
    </w:p>
    <w:p>
      <w:pPr>
        <w:pStyle w:val="Separador"/>
      </w:pPr>
    </w:p>
    <w:p>
      <w:pPr>
        <w:pStyle w:val="Heading1"/>
      </w:pPr>
      <w:r>
        <w:t xml:space="preserve">4. Solicitud</w:t>
      </w:r>
    </w:p>
    <w:p>
      <w:r>
        <w:t xml:space="preserve">Campos mínimos de 31 §3.8.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Requisito afectado</w:t>
            </w:r>
          </w:p>
        </w:tc>
        <w:tc>
          <w:tcPr>
            <w:tcW w:w="3213" w:type="dxa"/>
          </w:tcPr>
          <w:p>
            <w:pPr>
              <w:pStyle w:val="Celda"/>
            </w:pPr>
          </w:p>
        </w:tc>
        <w:tc>
          <w:tcPr>
            <w:tcW w:w="3213" w:type="dxa"/>
          </w:tcPr>
          <w:p>
            <w:pPr>
              <w:pStyle w:val="Celda"/>
            </w:pPr>
            <w:r>
              <w:t xml:space="preserve">Documento, sección y texto; criterio de </w:t>
            </w:r>
            <w:r>
              <w:rPr>
                <w:i/>
              </w:rPr>
              <w:t xml:space="preserve">gate</w:t>
            </w:r>
            <w:r>
              <w:t xml:space="preserve"> del documento 21 o control SEG-NN o AG-NN si aplica.</w:t>
            </w:r>
          </w:p>
        </w:tc>
      </w:tr>
      <w:tr>
        <w:tc>
          <w:tcPr>
            <w:tcW w:w="3213" w:type="dxa"/>
          </w:tcPr>
          <w:p>
            <w:pPr>
              <w:pStyle w:val="Celda"/>
            </w:pPr>
            <w:r>
              <w:t xml:space="preserve">Justificación</w:t>
            </w:r>
          </w:p>
        </w:tc>
        <w:tc>
          <w:tcPr>
            <w:tcW w:w="3213" w:type="dxa"/>
          </w:tcPr>
          <w:p>
            <w:pPr>
              <w:pStyle w:val="Celda"/>
            </w:pPr>
          </w:p>
        </w:tc>
        <w:tc>
          <w:tcPr>
            <w:tcW w:w="3213" w:type="dxa"/>
          </w:tcPr>
          <w:p>
            <w:pPr>
              <w:pStyle w:val="Celda"/>
            </w:pPr>
            <w:r>
              <w:t xml:space="preserve">Por qué no puede cumplirse ahora y qué se perdería sin la excepción.</w:t>
            </w:r>
          </w:p>
        </w:tc>
      </w:tr>
      <w:tr>
        <w:tc>
          <w:tcPr>
            <w:tcW w:w="3213" w:type="dxa"/>
          </w:tcPr>
          <w:p>
            <w:pPr>
              <w:pStyle w:val="Celda"/>
            </w:pPr>
            <w:r>
              <w:t xml:space="preserve">Riesgo</w:t>
            </w:r>
          </w:p>
        </w:tc>
        <w:tc>
          <w:tcPr>
            <w:tcW w:w="3213" w:type="dxa"/>
          </w:tcPr>
          <w:p>
            <w:pPr>
              <w:pStyle w:val="Celda"/>
            </w:pPr>
          </w:p>
        </w:tc>
        <w:tc>
          <w:tcPr>
            <w:tcW w:w="3213" w:type="dxa"/>
          </w:tcPr>
          <w:p>
            <w:pPr>
              <w:pStyle w:val="Celda"/>
            </w:pPr>
            <w:r>
              <w:t xml:space="preserve">Qué puede pasar mientras dure (sección 6).</w:t>
            </w:r>
          </w:p>
        </w:tc>
      </w:tr>
      <w:tr>
        <w:tc>
          <w:tcPr>
            <w:tcW w:w="3213" w:type="dxa"/>
          </w:tcPr>
          <w:p>
            <w:pPr>
              <w:pStyle w:val="Celda"/>
            </w:pPr>
            <w:r>
              <w:t xml:space="preserve">Medidas compensatorias</w:t>
            </w:r>
          </w:p>
        </w:tc>
        <w:tc>
          <w:tcPr>
            <w:tcW w:w="3213" w:type="dxa"/>
          </w:tcPr>
          <w:p>
            <w:pPr>
              <w:pStyle w:val="Celda"/>
            </w:pPr>
          </w:p>
        </w:tc>
        <w:tc>
          <w:tcPr>
            <w:tcW w:w="3213" w:type="dxa"/>
          </w:tcPr>
          <w:p>
            <w:pPr>
              <w:pStyle w:val="Celda"/>
            </w:pPr>
            <w:r>
              <w:t xml:space="preserve">Controles temporales que reducen el riesgo.</w:t>
            </w:r>
          </w:p>
        </w:tc>
      </w:tr>
      <w:tr>
        <w:tc>
          <w:tcPr>
            <w:tcW w:w="3213" w:type="dxa"/>
          </w:tcPr>
          <w:p>
            <w:pPr>
              <w:pStyle w:val="Celda"/>
            </w:pPr>
            <w:r>
              <w:t xml:space="preserve">Plazo solicitado</w:t>
            </w:r>
          </w:p>
        </w:tc>
        <w:tc>
          <w:tcPr>
            <w:tcW w:w="3213" w:type="dxa"/>
          </w:tcPr>
          <w:p>
            <w:pPr>
              <w:pStyle w:val="Celda"/>
            </w:pPr>
          </w:p>
        </w:tc>
        <w:tc>
          <w:tcPr>
            <w:tcW w:w="3213" w:type="dxa"/>
          </w:tcPr>
          <w:p>
            <w:pPr>
              <w:pStyle w:val="Celda"/>
            </w:pPr>
            <w:r>
              <w:t xml:space="preserve">Dentro del máximo del tipo (sección 5).</w:t>
            </w:r>
          </w:p>
        </w:tc>
      </w:tr>
      <w:tr>
        <w:tc>
          <w:tcPr>
            <w:tcW w:w="3213" w:type="dxa"/>
          </w:tcPr>
          <w:p>
            <w:pPr>
              <w:pStyle w:val="Celda"/>
            </w:pPr>
            <w:r>
              <w:t xml:space="preserve">Responsable</w:t>
            </w:r>
          </w:p>
        </w:tc>
        <w:tc>
          <w:tcPr>
            <w:tcW w:w="3213" w:type="dxa"/>
          </w:tcPr>
          <w:p>
            <w:pPr>
              <w:pStyle w:val="Celda"/>
            </w:pPr>
          </w:p>
        </w:tc>
        <w:tc>
          <w:tcPr>
            <w:tcW w:w="3213" w:type="dxa"/>
          </w:tcPr>
          <w:p>
            <w:pPr>
              <w:pStyle w:val="Celda"/>
            </w:pPr>
            <w:r>
              <w:t xml:space="preserve">Persona que responde de las medidas y del cierre.</w:t>
            </w:r>
          </w:p>
        </w:tc>
      </w:tr>
      <w:tr>
        <w:tc>
          <w:tcPr>
            <w:tcW w:w="3213" w:type="dxa"/>
          </w:tcPr>
          <w:p>
            <w:pPr>
              <w:pStyle w:val="Celda"/>
            </w:pPr>
            <w:r>
              <w:t xml:space="preserve">Plan de cierre</w:t>
            </w:r>
          </w:p>
        </w:tc>
        <w:tc>
          <w:tcPr>
            <w:tcW w:w="3213" w:type="dxa"/>
          </w:tcPr>
          <w:p>
            <w:pPr>
              <w:pStyle w:val="Celda"/>
            </w:pPr>
          </w:p>
        </w:tc>
        <w:tc>
          <w:tcPr>
            <w:tcW w:w="3213" w:type="dxa"/>
          </w:tcPr>
          <w:p>
            <w:pPr>
              <w:pStyle w:val="Celda"/>
            </w:pPr>
            <w:r>
              <w:t xml:space="preserve">Qué se hará para cumplir el requisito al vencer.</w:t>
            </w:r>
          </w:p>
        </w:tc>
      </w:tr>
      <w:tr>
        <w:tc>
          <w:tcPr>
            <w:tcW w:w="3213" w:type="dxa"/>
          </w:tcPr>
          <w:p>
            <w:pPr>
              <w:pStyle w:val="Celda"/>
            </w:pPr>
            <w:r>
              <w:rPr>
                <w:i/>
              </w:rPr>
              <w:t xml:space="preserve">(ejemplo ilustrativo)</w:t>
            </w:r>
            <w:r>
              <w:t xml:space="preserve"> Requisito afectado</w:t>
            </w:r>
          </w:p>
        </w:tc>
        <w:tc>
          <w:tcPr>
            <w:tcW w:w="3213" w:type="dxa"/>
          </w:tcPr>
          <w:p>
            <w:pPr>
              <w:pStyle w:val="Celda"/>
            </w:pPr>
            <w:r>
              <w:t xml:space="preserve">Política de uso aceptable 31 §4.2: solo herramientas del catálogo autorizado.</w:t>
            </w:r>
          </w:p>
        </w:tc>
        <w:tc>
          <w:tcPr>
            <w:tcW w:w="3213" w:type="dxa"/>
          </w:tcPr>
          <w:p>
            <w:pPr>
              <w:pStyle w:val="Celda"/>
            </w:pPr>
            <w:r>
              <w:t xml:space="preserve">Piloto de cuatro semanas de una herramienta de resumen no catalogada, solo con datos ficticios.</w:t>
            </w:r>
          </w:p>
        </w:tc>
      </w:tr>
    </w:tbl>
    <w:p>
      <w:pPr>
        <w:pStyle w:val="Espacio"/>
      </w:pPr>
    </w:p>
    <w:p>
      <w:pPr>
        <w:pStyle w:val="Separador"/>
      </w:pPr>
    </w:p>
    <w:p>
      <w:pPr>
        <w:pStyle w:val="Heading1"/>
      </w:pPr>
      <w:r>
        <w:t xml:space="preserve">5. Órgano que aprueba</w:t>
      </w:r>
    </w:p>
    <w:p>
      <w:r>
        <w:t xml:space="preserve">Matriz de 30 §7.4. La compañía puede endurecerla en C2, no rebajarla.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Tipo</w:t>
            </w:r>
          </w:p>
        </w:tc>
        <w:tc>
          <w:tcPr>
            <w:tcW w:w="1928" w:type="dxa"/>
            <w:shd w:val="clear" w:color="auto" w:fill="F2DFCE"/>
          </w:tcPr>
          <w:p>
            <w:pPr>
              <w:pStyle w:val="Celda"/>
            </w:pPr>
            <w:r>
              <w:rPr>
                <w:b/>
              </w:rPr>
              <w:t xml:space="preserve">Ejemplo ilustrativo</w:t>
            </w:r>
          </w:p>
        </w:tc>
        <w:tc>
          <w:tcPr>
            <w:tcW w:w="1928" w:type="dxa"/>
            <w:shd w:val="clear" w:color="auto" w:fill="F2DFCE"/>
          </w:tcPr>
          <w:p>
            <w:pPr>
              <w:pStyle w:val="Celda"/>
            </w:pPr>
            <w:r>
              <w:rPr>
                <w:b/>
              </w:rPr>
              <w:t xml:space="preserve">Propone</w:t>
            </w:r>
          </w:p>
        </w:tc>
        <w:tc>
          <w:tcPr>
            <w:tcW w:w="1928" w:type="dxa"/>
            <w:shd w:val="clear" w:color="auto" w:fill="F2DFCE"/>
          </w:tcPr>
          <w:p>
            <w:pPr>
              <w:pStyle w:val="Celda"/>
            </w:pPr>
            <w:r>
              <w:rPr>
                <w:b/>
              </w:rPr>
              <w:t xml:space="preserve">Aprueba</w:t>
            </w:r>
          </w:p>
        </w:tc>
        <w:tc>
          <w:tcPr>
            <w:tcW w:w="1928" w:type="dxa"/>
            <w:shd w:val="clear" w:color="auto" w:fill="F2DFCE"/>
          </w:tcPr>
          <w:p>
            <w:pPr>
              <w:pStyle w:val="Celda"/>
            </w:pPr>
            <w:r>
              <w:rPr>
                <w:b/>
              </w:rPr>
              <w:t xml:space="preserve">Plazo máximo</w:t>
            </w:r>
          </w:p>
        </w:tc>
      </w:tr>
      <w:tr>
        <w:tc>
          <w:tcPr>
            <w:tcW w:w="1928" w:type="dxa"/>
          </w:tcPr>
          <w:p>
            <w:pPr>
              <w:pStyle w:val="Celda"/>
            </w:pPr>
            <w:r>
              <w:rPr>
                <w:b/>
              </w:rPr>
              <w:t xml:space="preserve">Metodológica menor</w:t>
            </w:r>
          </w:p>
        </w:tc>
        <w:tc>
          <w:tcPr>
            <w:tcW w:w="1928" w:type="dxa"/>
          </w:tcPr>
          <w:p>
            <w:pPr>
              <w:pStyle w:val="Celda"/>
            </w:pPr>
            <w:r>
              <w:t xml:space="preserve">Usar una plantilla propia equivalente.</w:t>
            </w:r>
          </w:p>
        </w:tc>
        <w:tc>
          <w:tcPr>
            <w:tcW w:w="1928" w:type="dxa"/>
          </w:tcPr>
          <w:p>
            <w:pPr>
              <w:pStyle w:val="Celda"/>
            </w:pPr>
            <w:r>
              <w:t xml:space="preserve">Responsable de producto</w:t>
            </w:r>
          </w:p>
        </w:tc>
        <w:tc>
          <w:tcPr>
            <w:tcW w:w="1928" w:type="dxa"/>
          </w:tcPr>
          <w:p>
            <w:pPr>
              <w:pStyle w:val="Celda"/>
            </w:pPr>
            <w:r>
              <w:t xml:space="preserve">Oficina de IA</w:t>
            </w:r>
          </w:p>
        </w:tc>
        <w:tc>
          <w:tcPr>
            <w:tcW w:w="1928" w:type="dxa"/>
          </w:tcPr>
          <w:p>
            <w:pPr>
              <w:pStyle w:val="Celda"/>
            </w:pPr>
            <w:r>
              <w:t xml:space="preserve">Hasta el siguiente </w:t>
            </w:r>
            <w:r>
              <w:rPr>
                <w:i/>
              </w:rPr>
              <w:t xml:space="preserve">gate</w:t>
            </w:r>
          </w:p>
        </w:tc>
      </w:tr>
      <w:tr>
        <w:tc>
          <w:tcPr>
            <w:tcW w:w="1928" w:type="dxa"/>
          </w:tcPr>
          <w:p>
            <w:pPr>
              <w:pStyle w:val="Celda"/>
            </w:pPr>
            <w:r>
              <w:rPr>
                <w:b/>
              </w:rPr>
              <w:t xml:space="preserve">De política de uso</w:t>
            </w:r>
          </w:p>
        </w:tc>
        <w:tc>
          <w:tcPr>
            <w:tcW w:w="1928" w:type="dxa"/>
          </w:tcPr>
          <w:p>
            <w:pPr>
              <w:pStyle w:val="Celda"/>
            </w:pPr>
            <w:r>
              <w:t xml:space="preserve">Herramienta no catalogada en un piloto con datos ficticios.</w:t>
            </w:r>
          </w:p>
        </w:tc>
        <w:tc>
          <w:tcPr>
            <w:tcW w:w="1928" w:type="dxa"/>
          </w:tcPr>
          <w:p>
            <w:pPr>
              <w:pStyle w:val="Celda"/>
            </w:pPr>
            <w:r>
              <w:t xml:space="preserve">Área solicitante</w:t>
            </w:r>
          </w:p>
        </w:tc>
        <w:tc>
          <w:tcPr>
            <w:tcW w:w="1928" w:type="dxa"/>
          </w:tcPr>
          <w:p>
            <w:pPr>
              <w:pStyle w:val="Celda"/>
            </w:pPr>
            <w:r>
              <w:t xml:space="preserve">Oficina de IA con conformidad de seguridad</w:t>
            </w:r>
          </w:p>
        </w:tc>
        <w:tc>
          <w:tcPr>
            <w:tcW w:w="1928" w:type="dxa"/>
          </w:tcPr>
          <w:p>
            <w:pPr>
              <w:pStyle w:val="Celda"/>
            </w:pPr>
            <w:r>
              <w:t xml:space="preserve">90 días</w:t>
            </w:r>
          </w:p>
        </w:tc>
      </w:tr>
      <w:tr>
        <w:tc>
          <w:tcPr>
            <w:tcW w:w="1928" w:type="dxa"/>
          </w:tcPr>
          <w:p>
            <w:pPr>
              <w:pStyle w:val="Celda"/>
            </w:pPr>
            <w:r>
              <w:rPr>
                <w:b/>
              </w:rPr>
              <w:t xml:space="preserve">De requisito del ciclo de vida</w:t>
            </w:r>
          </w:p>
        </w:tc>
        <w:tc>
          <w:tcPr>
            <w:tcW w:w="1928" w:type="dxa"/>
          </w:tcPr>
          <w:p>
            <w:pPr>
              <w:pStyle w:val="Celda"/>
            </w:pPr>
            <w:r>
              <w:t xml:space="preserve">Aplazar una evidencia no crítica fuera de un «Continuar con condiciones».</w:t>
            </w:r>
          </w:p>
        </w:tc>
        <w:tc>
          <w:tcPr>
            <w:tcW w:w="1928" w:type="dxa"/>
          </w:tcPr>
          <w:p>
            <w:pPr>
              <w:pStyle w:val="Celda"/>
            </w:pPr>
            <w:r>
              <w:t xml:space="preserve">Patrocinador</w:t>
            </w:r>
          </w:p>
        </w:tc>
        <w:tc>
          <w:tcPr>
            <w:tcW w:w="1928" w:type="dxa"/>
          </w:tcPr>
          <w:p>
            <w:pPr>
              <w:pStyle w:val="Celda"/>
            </w:pPr>
            <w:r>
              <w:t xml:space="preserve">Comité de IA</w:t>
            </w:r>
          </w:p>
        </w:tc>
        <w:tc>
          <w:tcPr>
            <w:tcW w:w="1928" w:type="dxa"/>
          </w:tcPr>
          <w:p>
            <w:pPr>
              <w:pStyle w:val="Celda"/>
            </w:pPr>
            <w:r>
              <w:t xml:space="preserve">6 meses</w:t>
            </w:r>
          </w:p>
        </w:tc>
      </w:tr>
      <w:tr>
        <w:tc>
          <w:tcPr>
            <w:tcW w:w="1928" w:type="dxa"/>
          </w:tcPr>
          <w:p>
            <w:pPr>
              <w:pStyle w:val="Celda"/>
            </w:pPr>
            <w:r>
              <w:rPr>
                <w:b/>
              </w:rPr>
              <w:t xml:space="preserve">De umbral corporativo</w:t>
            </w:r>
          </w:p>
        </w:tc>
        <w:tc>
          <w:tcPr>
            <w:tcW w:w="1928" w:type="dxa"/>
          </w:tcPr>
          <w:p>
            <w:pPr>
              <w:pStyle w:val="Celda"/>
            </w:pPr>
            <w:r>
              <w:t xml:space="preserve">Superar el límite de inversión por etapa o el horizonte de retorno de C2.</w:t>
            </w:r>
          </w:p>
        </w:tc>
        <w:tc>
          <w:tcPr>
            <w:tcW w:w="1928" w:type="dxa"/>
          </w:tcPr>
          <w:p>
            <w:pPr>
              <w:pStyle w:val="Celda"/>
            </w:pPr>
            <w:r>
              <w:t xml:space="preserve">Comité de IA</w:t>
            </w:r>
          </w:p>
        </w:tc>
        <w:tc>
          <w:tcPr>
            <w:tcW w:w="1928" w:type="dxa"/>
          </w:tcPr>
          <w:p>
            <w:pPr>
              <w:pStyle w:val="Celda"/>
            </w:pPr>
            <w:r>
              <w:t xml:space="preserve">Consejo o comisión delegada</w:t>
            </w:r>
          </w:p>
        </w:tc>
        <w:tc>
          <w:tcPr>
            <w:tcW w:w="1928" w:type="dxa"/>
          </w:tcPr>
          <w:p>
            <w:pPr>
              <w:pStyle w:val="Celda"/>
            </w:pPr>
            <w:r>
              <w:t xml:space="preserve">Según acuerdo</w:t>
            </w:r>
          </w:p>
        </w:tc>
      </w:tr>
    </w:tbl>
    <w:p>
      <w:pPr>
        <w:pStyle w:val="Espacio"/>
      </w:pPr>
    </w:p>
    <w:p>
      <w:r>
        <w:t xml:space="preserve">En el comité de IA, las excepciones requieren la presencia y la conformidad de la segunda línea (30 §3.3 y §8.3). Si la segunda línea deniega su conformidad, el comité no puede aprobarla y puede elevar el desacuerdo a la comisión delegada (E-13).</w:t>
      </w:r>
    </w:p>
    <w:p>
      <w:pPr>
        <w:pStyle w:val="Separador"/>
      </w:pPr>
    </w:p>
    <w:p>
      <w:pPr>
        <w:pStyle w:val="Heading1"/>
      </w:pPr>
      <w:r>
        <w:t xml:space="preserve">6. Evaluación de riesgo</w:t>
      </w:r>
    </w:p>
    <w:p>
      <w:r>
        <w:t xml:space="preserve">Escalas de la especificación común §5.1 y del documento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Riesgo durante la excepción</w:t>
            </w:r>
          </w:p>
        </w:tc>
        <w:tc>
          <w:tcPr>
            <w:tcW w:w="3213" w:type="dxa"/>
          </w:tcPr>
          <w:p>
            <w:pPr>
              <w:pStyle w:val="Celda"/>
            </w:pPr>
          </w:p>
        </w:tc>
        <w:tc>
          <w:tcPr>
            <w:tcW w:w="3213" w:type="dxa"/>
          </w:tcPr>
          <w:p>
            <w:pPr>
              <w:pStyle w:val="Celda"/>
            </w:pPr>
            <w:r>
              <w:t xml:space="preserve">Causa, evento y consecuencia.</w:t>
            </w:r>
          </w:p>
        </w:tc>
      </w:tr>
      <w:tr>
        <w:tc>
          <w:tcPr>
            <w:tcW w:w="3213" w:type="dxa"/>
          </w:tcPr>
          <w:p>
            <w:pPr>
              <w:pStyle w:val="Celda"/>
            </w:pPr>
            <w:r>
              <w:t xml:space="preserve">Probabilidad e impacto sin medidas</w:t>
            </w:r>
          </w:p>
        </w:tc>
        <w:tc>
          <w:tcPr>
            <w:tcW w:w="3213" w:type="dxa"/>
          </w:tcPr>
          <w:p>
            <w:pPr>
              <w:pStyle w:val="Celda"/>
            </w:pPr>
          </w:p>
        </w:tc>
        <w:tc>
          <w:tcPr>
            <w:tcW w:w="3213" w:type="dxa"/>
          </w:tcPr>
          <w:p>
            <w:pPr>
              <w:pStyle w:val="Celda"/>
            </w:pPr>
            <w:r>
              <w:t xml:space="preserve">1–5 × 1–5; impacto: el mayor de los cinco ejes.</w:t>
            </w:r>
          </w:p>
        </w:tc>
      </w:tr>
      <w:tr>
        <w:tc>
          <w:tcPr>
            <w:tcW w:w="3213" w:type="dxa"/>
          </w:tcPr>
          <w:p>
            <w:pPr>
              <w:pStyle w:val="Celda"/>
            </w:pPr>
            <w:r>
              <w:t xml:space="preserve">Nivel sin medidas</w:t>
            </w:r>
          </w:p>
        </w:tc>
        <w:tc>
          <w:tcPr>
            <w:tcW w:w="3213" w:type="dxa"/>
          </w:tcPr>
          <w:p>
            <w:pPr>
              <w:pStyle w:val="Celda"/>
            </w:pPr>
          </w:p>
        </w:tc>
        <w:tc>
          <w:tcPr>
            <w:tcW w:w="3213" w:type="dxa"/>
          </w:tcPr>
          <w:p>
            <w:pPr>
              <w:pStyle w:val="Celda"/>
            </w:pPr>
            <w:r>
              <w:t xml:space="preserve">Bajo 1–4 · Medio 5–9 · Alto 10–15 · Crítico 16–25.</w:t>
            </w:r>
          </w:p>
        </w:tc>
      </w:tr>
      <w:tr>
        <w:tc>
          <w:tcPr>
            <w:tcW w:w="3213" w:type="dxa"/>
          </w:tcPr>
          <w:p>
            <w:pPr>
              <w:pStyle w:val="Celda"/>
            </w:pPr>
            <w:r>
              <w:t xml:space="preserve">Eficacia de las medidas compensatorias</w:t>
            </w:r>
          </w:p>
        </w:tc>
        <w:tc>
          <w:tcPr>
            <w:tcW w:w="3213" w:type="dxa"/>
          </w:tcPr>
          <w:p>
            <w:pPr>
              <w:pStyle w:val="Celda"/>
            </w:pPr>
          </w:p>
        </w:tc>
        <w:tc>
          <w:tcPr>
            <w:tcW w:w="3213" w:type="dxa"/>
          </w:tcPr>
          <w:p>
            <w:pPr>
              <w:pStyle w:val="Celda"/>
            </w:pPr>
            <w:r>
              <w:t xml:space="preserve">Existentes y probadas; las previstas no reducen el nivel.</w:t>
            </w:r>
          </w:p>
        </w:tc>
      </w:tr>
      <w:tr>
        <w:tc>
          <w:tcPr>
            <w:tcW w:w="3213" w:type="dxa"/>
          </w:tcPr>
          <w:p>
            <w:pPr>
              <w:pStyle w:val="Celda"/>
            </w:pPr>
            <w:r>
              <w:t xml:space="preserve">Nivel con medidas</w:t>
            </w:r>
          </w:p>
        </w:tc>
        <w:tc>
          <w:tcPr>
            <w:tcW w:w="3213" w:type="dxa"/>
          </w:tcPr>
          <w:p>
            <w:pPr>
              <w:pStyle w:val="Celda"/>
            </w:pPr>
          </w:p>
        </w:tc>
        <w:tc>
          <w:tcPr>
            <w:tcW w:w="3213" w:type="dxa"/>
          </w:tcPr>
          <w:p>
            <w:pPr>
              <w:pStyle w:val="Celda"/>
            </w:pPr>
          </w:p>
        </w:tc>
      </w:tr>
      <w:tr>
        <w:tc>
          <w:tcPr>
            <w:tcW w:w="3213" w:type="dxa"/>
          </w:tcPr>
          <w:p>
            <w:pPr>
              <w:pStyle w:val="Celda"/>
            </w:pPr>
            <w:r>
              <w:t xml:space="preserve">Conformidad de la segunda línea</w:t>
            </w:r>
          </w:p>
        </w:tc>
        <w:tc>
          <w:tcPr>
            <w:tcW w:w="3213" w:type="dxa"/>
          </w:tcPr>
          <w:p>
            <w:pPr>
              <w:pStyle w:val="Celda"/>
            </w:pPr>
          </w:p>
        </w:tc>
        <w:tc>
          <w:tcPr>
            <w:tcW w:w="3213" w:type="dxa"/>
          </w:tcPr>
          <w:p>
            <w:pPr>
              <w:pStyle w:val="Celda"/>
            </w:pPr>
            <w:r>
              <w:t xml:space="preserve">Obligatoria en las excepciones que decide el comité de IA y en las de política de uso (seguridad).</w:t>
            </w:r>
          </w:p>
        </w:tc>
      </w:tr>
      <w:tr>
        <w:tc>
          <w:tcPr>
            <w:tcW w:w="3213" w:type="dxa"/>
          </w:tcPr>
          <w:p>
            <w:pPr>
              <w:pStyle w:val="Celda"/>
            </w:pPr>
            <w:r>
              <w:t xml:space="preserve">Coherencia con la aceptación de riesgo</w:t>
            </w:r>
          </w:p>
        </w:tc>
        <w:tc>
          <w:tcPr>
            <w:tcW w:w="3213" w:type="dxa"/>
          </w:tcPr>
          <w:p>
            <w:pPr>
              <w:pStyle w:val="Celda"/>
            </w:pPr>
          </w:p>
        </w:tc>
        <w:tc>
          <w:tcPr>
            <w:tcW w:w="3213" w:type="dxa"/>
          </w:tcPr>
          <w:p>
            <w:pPr>
              <w:pStyle w:val="Celda"/>
            </w:pPr>
            <w:r>
              <w:t xml:space="preserve">Si el nivel con medidas es Alto, solo lo acepta el comité de IA; si es Crítico, la excepción no se aprueba salvo decisión expresa del consejo o su comisión dentro del apetito (30 §7.2).</w:t>
            </w:r>
          </w:p>
        </w:tc>
      </w:tr>
    </w:tbl>
    <w:p>
      <w:pPr>
        <w:pStyle w:val="Espacio"/>
      </w:pPr>
    </w:p>
    <w:p>
      <w:pPr>
        <w:pStyle w:val="Separador"/>
      </w:pPr>
    </w:p>
    <w:p>
      <w:pPr>
        <w:pStyle w:val="Heading1"/>
      </w:pPr>
      <w:r>
        <w:t xml:space="preserve">7. Resolución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Aprobada · Aprobada con condiciones · Denegada.</w:t>
            </w:r>
          </w:p>
        </w:tc>
      </w:tr>
      <w:tr>
        <w:tc>
          <w:tcPr>
            <w:tcW w:w="3213" w:type="dxa"/>
          </w:tcPr>
          <w:p>
            <w:pPr>
              <w:pStyle w:val="Celda"/>
            </w:pPr>
            <w:r>
              <w:t xml:space="preserve">Órgano y referencia</w:t>
            </w:r>
          </w:p>
        </w:tc>
        <w:tc>
          <w:tcPr>
            <w:tcW w:w="3213" w:type="dxa"/>
          </w:tcPr>
          <w:p>
            <w:pPr>
              <w:pStyle w:val="Celda"/>
            </w:pPr>
          </w:p>
        </w:tc>
        <w:tc>
          <w:tcPr>
            <w:tcW w:w="3213" w:type="dxa"/>
          </w:tcPr>
          <w:p>
            <w:pPr>
              <w:pStyle w:val="Celda"/>
            </w:pPr>
            <w:r>
              <w:t xml:space="preserve">Acta (P39) o registro de la oficina de IA.</w:t>
            </w:r>
          </w:p>
        </w:tc>
      </w:tr>
      <w:tr>
        <w:tc>
          <w:tcPr>
            <w:tcW w:w="3213" w:type="dxa"/>
          </w:tcPr>
          <w:p>
            <w:pPr>
              <w:pStyle w:val="Celda"/>
            </w:pPr>
            <w:r>
              <w:t xml:space="preserve">Condiciones</w:t>
            </w:r>
          </w:p>
        </w:tc>
        <w:tc>
          <w:tcPr>
            <w:tcW w:w="3213" w:type="dxa"/>
          </w:tcPr>
          <w:p>
            <w:pPr>
              <w:pStyle w:val="Celda"/>
            </w:pPr>
          </w:p>
        </w:tc>
        <w:tc>
          <w:tcPr>
            <w:tcW w:w="3213" w:type="dxa"/>
          </w:tcPr>
          <w:p>
            <w:pPr>
              <w:pStyle w:val="Celda"/>
            </w:pPr>
            <w:r>
              <w:t xml:space="preserve">Cada una con responsable y plazo.</w:t>
            </w:r>
          </w:p>
        </w:tc>
      </w:tr>
      <w:tr>
        <w:tc>
          <w:tcPr>
            <w:tcW w:w="3213" w:type="dxa"/>
          </w:tcPr>
          <w:p>
            <w:pPr>
              <w:pStyle w:val="Celda"/>
            </w:pPr>
            <w:r>
              <w:t xml:space="preserve">Fecha de inicio de la vigencia</w:t>
            </w:r>
          </w:p>
        </w:tc>
        <w:tc>
          <w:tcPr>
            <w:tcW w:w="3213" w:type="dxa"/>
          </w:tcPr>
          <w:p>
            <w:pPr>
              <w:pStyle w:val="Celda"/>
            </w:pPr>
          </w:p>
        </w:tc>
        <w:tc>
          <w:tcPr>
            <w:tcW w:w="3213" w:type="dxa"/>
          </w:tcPr>
          <w:p>
            <w:pPr>
              <w:pStyle w:val="Celda"/>
            </w:pPr>
          </w:p>
        </w:tc>
      </w:tr>
      <w:tr>
        <w:tc>
          <w:tcPr>
            <w:tcW w:w="3213" w:type="dxa"/>
          </w:tcPr>
          <w:p>
            <w:pPr>
              <w:pStyle w:val="Celda"/>
            </w:pPr>
            <w:r>
              <w:t xml:space="preserve">Fecha de caducidad</w:t>
            </w:r>
          </w:p>
        </w:tc>
        <w:tc>
          <w:tcPr>
            <w:tcW w:w="3213" w:type="dxa"/>
          </w:tcPr>
          <w:p>
            <w:pPr>
              <w:pStyle w:val="Celda"/>
            </w:pPr>
          </w:p>
        </w:tc>
        <w:tc>
          <w:tcPr>
            <w:tcW w:w="3213" w:type="dxa"/>
          </w:tcPr>
          <w:p>
            <w:pPr>
              <w:pStyle w:val="Celda"/>
            </w:pPr>
            <w:r>
              <w:t xml:space="preserve">Nunca posterior al máximo del tipo. En umbral corporativo, la del acuerdo.</w:t>
            </w:r>
          </w:p>
        </w:tc>
      </w:tr>
      <w:tr>
        <w:tc>
          <w:tcPr>
            <w:tcW w:w="3213" w:type="dxa"/>
          </w:tcPr>
          <w:p>
            <w:pPr>
              <w:pStyle w:val="Celda"/>
            </w:pPr>
            <w:r>
              <w:t xml:space="preserve">Motivo de la denegación</w:t>
            </w:r>
          </w:p>
        </w:tc>
        <w:tc>
          <w:tcPr>
            <w:tcW w:w="3213" w:type="dxa"/>
          </w:tcPr>
          <w:p>
            <w:pPr>
              <w:pStyle w:val="Celda"/>
            </w:pPr>
          </w:p>
        </w:tc>
        <w:tc>
          <w:tcPr>
            <w:tcW w:w="3213" w:type="dxa"/>
          </w:tcPr>
          <w:p>
            <w:pPr>
              <w:pStyle w:val="Celda"/>
            </w:pPr>
            <w:r>
              <w:t xml:space="preserve">Obligatorio si se deniega.</w:t>
            </w:r>
          </w:p>
        </w:tc>
      </w:tr>
      <w:tr>
        <w:tc>
          <w:tcPr>
            <w:tcW w:w="3213" w:type="dxa"/>
          </w:tcPr>
          <w:p>
            <w:pPr>
              <w:pStyle w:val="Celda"/>
            </w:pPr>
            <w:r>
              <w:t xml:space="preserve">Comunicación al solicitante</w:t>
            </w:r>
          </w:p>
        </w:tc>
        <w:tc>
          <w:tcPr>
            <w:tcW w:w="3213" w:type="dxa"/>
          </w:tcPr>
          <w:p>
            <w:pPr>
              <w:pStyle w:val="Celda"/>
            </w:pPr>
          </w:p>
        </w:tc>
        <w:tc>
          <w:tcPr>
            <w:tcW w:w="3213" w:type="dxa"/>
          </w:tcPr>
          <w:p>
            <w:pPr>
              <w:pStyle w:val="Celda"/>
            </w:pPr>
            <w:r>
              <w:t xml:space="preserve">Fecha.</w:t>
            </w:r>
          </w:p>
        </w:tc>
      </w:tr>
    </w:tbl>
    <w:p>
      <w:pPr>
        <w:pStyle w:val="Espacio"/>
      </w:pPr>
    </w:p>
    <w:p>
      <w:pPr>
        <w:pStyle w:val="Separador"/>
      </w:pPr>
    </w:p>
    <w:p>
      <w:pPr>
        <w:pStyle w:val="Heading1"/>
      </w:pPr>
      <w:r>
        <w:t xml:space="preserve">8. Seguimiento y cierre</w:t>
      </w:r>
    </w:p>
    <w:p>
      <w:r>
        <w:rPr>
          <w:b/>
        </w:rPr>
        <w:t xml:space="preserve">Estados propuestos:</w:t>
      </w:r>
      <w:r>
        <w:t xml:space="preserve"> Solicitada · Inadmitida · En evaluación · Denegada · Vigente · Cerrada · Vencida. Una excepción vigente cuya fecha de caducidad pasa sin cierre queda </w:t>
      </w:r>
      <w:r>
        <w:rPr>
          <w:b/>
        </w:rPr>
        <w:t xml:space="preserve">Vencida</w:t>
      </w:r>
      <w:r>
        <w:t xml:space="preserve"> y se registra una no conformidad mayor (31 §3.8; documento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Revisiones</w:t>
            </w:r>
          </w:p>
        </w:tc>
        <w:tc>
          <w:tcPr>
            <w:tcW w:w="3213" w:type="dxa"/>
          </w:tcPr>
          <w:p>
            <w:pPr>
              <w:pStyle w:val="Celda"/>
            </w:pPr>
          </w:p>
        </w:tc>
        <w:tc>
          <w:tcPr>
            <w:tcW w:w="3213" w:type="dxa"/>
          </w:tcPr>
          <w:p>
            <w:pPr>
              <w:pStyle w:val="Celda"/>
            </w:pPr>
            <w:r>
              <w:t xml:space="preserve">Fecha y resultado de cada revisión mensual del comité de IA.</w:t>
            </w:r>
          </w:p>
        </w:tc>
      </w:tr>
      <w:tr>
        <w:tc>
          <w:tcPr>
            <w:tcW w:w="3213" w:type="dxa"/>
          </w:tcPr>
          <w:p>
            <w:pPr>
              <w:pStyle w:val="Celda"/>
            </w:pPr>
            <w:r>
              <w:t xml:space="preserve">Fecha de cierre</w:t>
            </w:r>
          </w:p>
        </w:tc>
        <w:tc>
          <w:tcPr>
            <w:tcW w:w="3213" w:type="dxa"/>
          </w:tcPr>
          <w:p>
            <w:pPr>
              <w:pStyle w:val="Celda"/>
            </w:pPr>
          </w:p>
        </w:tc>
        <w:tc>
          <w:tcPr>
            <w:tcW w:w="3213" w:type="dxa"/>
          </w:tcPr>
          <w:p>
            <w:pPr>
              <w:pStyle w:val="Celda"/>
            </w:pPr>
            <w:r>
              <w:t xml:space="preserve">Cuando se cumple el requisito o cesa la actividad exceptuada.</w:t>
            </w:r>
          </w:p>
        </w:tc>
      </w:tr>
      <w:tr>
        <w:tc>
          <w:tcPr>
            <w:tcW w:w="3213" w:type="dxa"/>
          </w:tcPr>
          <w:p>
            <w:pPr>
              <w:pStyle w:val="Celda"/>
            </w:pPr>
            <w:r>
              <w:t xml:space="preserve">Evidencia del cierre</w:t>
            </w:r>
          </w:p>
        </w:tc>
        <w:tc>
          <w:tcPr>
            <w:tcW w:w="3213" w:type="dxa"/>
          </w:tcPr>
          <w:p>
            <w:pPr>
              <w:pStyle w:val="Celda"/>
            </w:pPr>
          </w:p>
        </w:tc>
        <w:tc>
          <w:tcPr>
            <w:tcW w:w="3213" w:type="dxa"/>
          </w:tcPr>
          <w:p>
            <w:pPr>
              <w:pStyle w:val="Celda"/>
            </w:pPr>
            <w:r>
              <w:t xml:space="preserve">Enlace.</w:t>
            </w:r>
          </w:p>
        </w:tc>
      </w:tr>
      <w:tr>
        <w:tc>
          <w:tcPr>
            <w:tcW w:w="3213" w:type="dxa"/>
          </w:tcPr>
          <w:p>
            <w:pPr>
              <w:pStyle w:val="Celda"/>
            </w:pPr>
            <w:r>
              <w:t xml:space="preserve">No conformidad abierta por vencimiento</w:t>
            </w:r>
          </w:p>
        </w:tc>
        <w:tc>
          <w:tcPr>
            <w:tcW w:w="3213" w:type="dxa"/>
          </w:tcPr>
          <w:p>
            <w:pPr>
              <w:pStyle w:val="Celda"/>
            </w:pPr>
          </w:p>
        </w:tc>
        <w:tc>
          <w:tcPr>
            <w:tcW w:w="3213" w:type="dxa"/>
          </w:tcPr>
          <w:p>
            <w:pPr>
              <w:pStyle w:val="Celda"/>
            </w:pPr>
            <w:r>
              <w:t xml:space="preserve">NC-AAAA-NNN, si procede.</w:t>
            </w:r>
          </w:p>
        </w:tc>
      </w:tr>
    </w:tbl>
    <w:p>
      <w:pPr>
        <w:pStyle w:val="Espacio"/>
      </w:pPr>
    </w:p>
    <w:p>
      <w:pPr>
        <w:pStyle w:val="Separador"/>
      </w:pPr>
    </w:p>
    <w:p>
      <w:pPr>
        <w:pStyle w:val="Heading1"/>
      </w:pPr>
      <w:r>
        <w:t xml:space="preserve">9. Registro de excepciones de la compañía</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Código</w:t>
            </w:r>
          </w:p>
        </w:tc>
        <w:tc>
          <w:tcPr>
            <w:tcW w:w="876" w:type="dxa"/>
            <w:shd w:val="clear" w:color="auto" w:fill="F2DFCE"/>
          </w:tcPr>
          <w:p>
            <w:pPr>
              <w:pStyle w:val="Celda"/>
            </w:pPr>
            <w:r>
              <w:rPr>
                <w:b/>
              </w:rPr>
              <w:t xml:space="preserve">Tipo</w:t>
            </w:r>
          </w:p>
        </w:tc>
        <w:tc>
          <w:tcPr>
            <w:tcW w:w="876" w:type="dxa"/>
            <w:shd w:val="clear" w:color="auto" w:fill="F2DFCE"/>
          </w:tcPr>
          <w:p>
            <w:pPr>
              <w:pStyle w:val="Celda"/>
            </w:pPr>
            <w:r>
              <w:rPr>
                <w:b/>
              </w:rPr>
              <w:t xml:space="preserve">Ámbito</w:t>
            </w:r>
          </w:p>
        </w:tc>
        <w:tc>
          <w:tcPr>
            <w:tcW w:w="876" w:type="dxa"/>
            <w:shd w:val="clear" w:color="auto" w:fill="F2DFCE"/>
          </w:tcPr>
          <w:p>
            <w:pPr>
              <w:pStyle w:val="Celda"/>
            </w:pPr>
            <w:r>
              <w:rPr>
                <w:b/>
              </w:rPr>
              <w:t xml:space="preserve">Requisito afectado</w:t>
            </w:r>
          </w:p>
        </w:tc>
        <w:tc>
          <w:tcPr>
            <w:tcW w:w="876" w:type="dxa"/>
            <w:shd w:val="clear" w:color="auto" w:fill="F2DFCE"/>
          </w:tcPr>
          <w:p>
            <w:pPr>
              <w:pStyle w:val="Celda"/>
            </w:pPr>
            <w:r>
              <w:rPr>
                <w:b/>
              </w:rPr>
              <w:t xml:space="preserve">Nivel de riesgo con medidas</w:t>
            </w:r>
          </w:p>
        </w:tc>
        <w:tc>
          <w:tcPr>
            <w:tcW w:w="876" w:type="dxa"/>
            <w:shd w:val="clear" w:color="auto" w:fill="F2DFCE"/>
          </w:tcPr>
          <w:p>
            <w:pPr>
              <w:pStyle w:val="Celda"/>
            </w:pPr>
            <w:r>
              <w:rPr>
                <w:b/>
              </w:rPr>
              <w:t xml:space="preserve">Aprobada por</w:t>
            </w:r>
          </w:p>
        </w:tc>
        <w:tc>
          <w:tcPr>
            <w:tcW w:w="876" w:type="dxa"/>
            <w:shd w:val="clear" w:color="auto" w:fill="F2DFCE"/>
          </w:tcPr>
          <w:p>
            <w:pPr>
              <w:pStyle w:val="Celda"/>
            </w:pPr>
            <w:r>
              <w:rPr>
                <w:b/>
              </w:rPr>
              <w:t xml:space="preserve">Referencia</w:t>
            </w:r>
          </w:p>
        </w:tc>
        <w:tc>
          <w:tcPr>
            <w:tcW w:w="876" w:type="dxa"/>
            <w:shd w:val="clear" w:color="auto" w:fill="F2DFCE"/>
          </w:tcPr>
          <w:p>
            <w:pPr>
              <w:pStyle w:val="Celda"/>
            </w:pPr>
            <w:r>
              <w:rPr>
                <w:b/>
              </w:rPr>
              <w:t xml:space="preserve">Inicio</w:t>
            </w:r>
          </w:p>
        </w:tc>
        <w:tc>
          <w:tcPr>
            <w:tcW w:w="876" w:type="dxa"/>
            <w:shd w:val="clear" w:color="auto" w:fill="F2DFCE"/>
          </w:tcPr>
          <w:p>
            <w:pPr>
              <w:pStyle w:val="Celda"/>
            </w:pPr>
            <w:r>
              <w:rPr>
                <w:b/>
              </w:rPr>
              <w:t xml:space="preserve">Caducidad</w:t>
            </w:r>
          </w:p>
        </w:tc>
        <w:tc>
          <w:tcPr>
            <w:tcW w:w="876" w:type="dxa"/>
            <w:shd w:val="clear" w:color="auto" w:fill="F2DFCE"/>
          </w:tcPr>
          <w:p>
            <w:pPr>
              <w:pStyle w:val="Celda"/>
            </w:pPr>
            <w:r>
              <w:rPr>
                <w:b/>
              </w:rPr>
              <w:t xml:space="preserve">Responsable</w:t>
            </w:r>
          </w:p>
        </w:tc>
        <w:tc>
          <w:tcPr>
            <w:tcW w:w="876" w:type="dxa"/>
            <w:shd w:val="clear" w:color="auto" w:fill="F2DFCE"/>
          </w:tcPr>
          <w:p>
            <w:pPr>
              <w:pStyle w:val="Celda"/>
            </w:pPr>
            <w:r>
              <w:rPr>
                <w:b/>
              </w:rPr>
              <w:t xml:space="preserve">Estado</w:t>
            </w:r>
          </w:p>
        </w:tc>
      </w:tr>
      <w:tr>
        <w:tc>
          <w:tcPr>
            <w:tcW w:w="876" w:type="dxa"/>
          </w:tcPr>
          <w:p>
            <w:pPr>
              <w:pStyle w:val="Celda"/>
            </w:pPr>
            <w:r>
              <w:t xml:space="preserve">EXC-AAAA-NNN</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Bajo · Medio · Alto</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(ejemplo ilustrativo)</w:t>
            </w:r>
            <w:r>
              <w:t xml:space="preserve"> EXC-2026-003</w:t>
            </w:r>
          </w:p>
        </w:tc>
        <w:tc>
          <w:tcPr>
            <w:tcW w:w="876" w:type="dxa"/>
          </w:tcPr>
          <w:p>
            <w:pPr>
              <w:pStyle w:val="Celda"/>
            </w:pPr>
            <w:r>
              <w:t xml:space="preserve">De política de uso</w:t>
            </w:r>
          </w:p>
        </w:tc>
        <w:tc>
          <w:tcPr>
            <w:tcW w:w="876" w:type="dxa"/>
          </w:tcPr>
          <w:p>
            <w:pPr>
              <w:pStyle w:val="Celda"/>
            </w:pPr>
            <w:r>
              <w:t xml:space="preserve">Área de marketing</w:t>
            </w:r>
          </w:p>
        </w:tc>
        <w:tc>
          <w:tcPr>
            <w:tcW w:w="876" w:type="dxa"/>
          </w:tcPr>
          <w:p>
            <w:pPr>
              <w:pStyle w:val="Celda"/>
            </w:pPr>
            <w:r>
              <w:t xml:space="preserve">31 §4.2</w:t>
            </w:r>
          </w:p>
        </w:tc>
        <w:tc>
          <w:tcPr>
            <w:tcW w:w="876" w:type="dxa"/>
          </w:tcPr>
          <w:p>
            <w:pPr>
              <w:pStyle w:val="Celda"/>
            </w:pPr>
            <w:r>
              <w:t xml:space="preserve">Bajo</w:t>
            </w:r>
          </w:p>
        </w:tc>
        <w:tc>
          <w:tcPr>
            <w:tcW w:w="876" w:type="dxa"/>
          </w:tcPr>
          <w:p>
            <w:pPr>
              <w:pStyle w:val="Celda"/>
            </w:pPr>
            <w:r>
              <w:t xml:space="preserve">Oficina de IA con conformidad de seguridad</w:t>
            </w:r>
          </w:p>
        </w:tc>
        <w:tc>
          <w:tcPr>
            <w:tcW w:w="876" w:type="dxa"/>
          </w:tcPr>
          <w:p>
            <w:pPr>
              <w:pStyle w:val="Celda"/>
            </w:pPr>
            <w:r>
              <w:t xml:space="preserve">Registro de la oficina 2026-11</w:t>
            </w:r>
          </w:p>
        </w:tc>
        <w:tc>
          <w:tcPr>
            <w:tcW w:w="876" w:type="dxa"/>
          </w:tcPr>
          <w:p>
            <w:pPr>
              <w:pStyle w:val="Celda"/>
            </w:pPr>
            <w:r>
              <w:t xml:space="preserve">02-11-2026</w:t>
            </w:r>
          </w:p>
        </w:tc>
        <w:tc>
          <w:tcPr>
            <w:tcW w:w="876" w:type="dxa"/>
          </w:tcPr>
          <w:p>
            <w:pPr>
              <w:pStyle w:val="Celda"/>
            </w:pPr>
            <w:r>
              <w:t xml:space="preserve">30-11-2026</w:t>
            </w:r>
          </w:p>
        </w:tc>
        <w:tc>
          <w:tcPr>
            <w:tcW w:w="876" w:type="dxa"/>
          </w:tcPr>
          <w:p>
            <w:pPr>
              <w:pStyle w:val="Celda"/>
            </w:pPr>
            <w:r>
              <w:t xml:space="preserve">Persona G</w:t>
            </w:r>
          </w:p>
        </w:tc>
        <w:tc>
          <w:tcPr>
            <w:tcW w:w="876" w:type="dxa"/>
          </w:tcPr>
          <w:p>
            <w:pPr>
              <w:pStyle w:val="Celda"/>
            </w:pPr>
            <w:r>
              <w:t xml:space="preserve">Vigente</w:t>
            </w:r>
          </w:p>
        </w:tc>
      </w:tr>
    </w:tbl>
    <w:p>
      <w:pPr>
        <w:pStyle w:val="Espacio"/>
      </w:pPr>
    </w:p>
    <w:p>
      <w:r>
        <w:rPr>
          <w:b/>
        </w:rPr>
        <w:t xml:space="preserve">Resumen trimestral para la comisión delegada</w:t>
      </w:r>
      <w:r>
        <w:t xml:space="preserve"> (se incorpora a P42):</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Periodo</w:t>
            </w:r>
          </w:p>
        </w:tc>
        <w:tc>
          <w:tcPr>
            <w:tcW w:w="1377" w:type="dxa"/>
            <w:shd w:val="clear" w:color="auto" w:fill="F2DFCE"/>
          </w:tcPr>
          <w:p>
            <w:pPr>
              <w:pStyle w:val="Celda"/>
            </w:pPr>
            <w:r>
              <w:rPr>
                <w:b/>
              </w:rPr>
              <w:t xml:space="preserve">Vigentes</w:t>
            </w:r>
          </w:p>
        </w:tc>
        <w:tc>
          <w:tcPr>
            <w:tcW w:w="1377" w:type="dxa"/>
            <w:shd w:val="clear" w:color="auto" w:fill="F2DFCE"/>
          </w:tcPr>
          <w:p>
            <w:pPr>
              <w:pStyle w:val="Celda"/>
            </w:pPr>
            <w:r>
              <w:rPr>
                <w:b/>
              </w:rPr>
              <w:t xml:space="preserve">Aprobadas</w:t>
            </w:r>
          </w:p>
        </w:tc>
        <w:tc>
          <w:tcPr>
            <w:tcW w:w="1377" w:type="dxa"/>
            <w:shd w:val="clear" w:color="auto" w:fill="F2DFCE"/>
          </w:tcPr>
          <w:p>
            <w:pPr>
              <w:pStyle w:val="Celda"/>
            </w:pPr>
            <w:r>
              <w:rPr>
                <w:b/>
              </w:rPr>
              <w:t xml:space="preserve">Denegadas</w:t>
            </w:r>
          </w:p>
        </w:tc>
        <w:tc>
          <w:tcPr>
            <w:tcW w:w="1377" w:type="dxa"/>
            <w:shd w:val="clear" w:color="auto" w:fill="F2DFCE"/>
          </w:tcPr>
          <w:p>
            <w:pPr>
              <w:pStyle w:val="Celda"/>
            </w:pPr>
            <w:r>
              <w:rPr>
                <w:b/>
              </w:rPr>
              <w:t xml:space="preserve">Cerradas</w:t>
            </w:r>
          </w:p>
        </w:tc>
        <w:tc>
          <w:tcPr>
            <w:tcW w:w="1377" w:type="dxa"/>
            <w:shd w:val="clear" w:color="auto" w:fill="F2DFCE"/>
          </w:tcPr>
          <w:p>
            <w:pPr>
              <w:pStyle w:val="Celda"/>
            </w:pPr>
            <w:r>
              <w:rPr>
                <w:b/>
              </w:rPr>
              <w:t xml:space="preserve">Vencidas</w:t>
            </w:r>
          </w:p>
        </w:tc>
        <w:tc>
          <w:tcPr>
            <w:tcW w:w="1377" w:type="dxa"/>
            <w:shd w:val="clear" w:color="auto" w:fill="F2DFCE"/>
          </w:tcPr>
          <w:p>
            <w:pPr>
              <w:pStyle w:val="Celda"/>
            </w:pPr>
            <w:r>
              <w:rPr>
                <w:b/>
              </w:rPr>
              <w:t xml:space="preserve">Con riesgo Alto</w:t>
            </w:r>
          </w:p>
        </w:tc>
      </w:tr>
      <w:tr>
        <w:tc>
          <w:tcPr>
            <w:tcW w:w="1377" w:type="dxa"/>
          </w:tcPr>
          <w:p>
            <w:pPr>
              <w:pStyle w:val="Celda"/>
            </w:pPr>
            <w:r>
              <w:t xml:space="preserve">AAAA-Tn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solicitud es anterior a la actividad exceptuada.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comprobación de admisibilidad se ha hecho y ninguna respuesta es Sí.</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Constan los seis campos mínimos de 31 §3.8.</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Aprueba el órgano de 30 §7.4 y no es quien propone (I-9).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Consta la conformidad de la segunda línea cuando se exige.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caducidad no supera el plazo máximo del tipo.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vigentes se han informado a la comisión delegada en el trimestre.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Ninguna excepción vencida sigue sin no conformidad registrada.</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Propone</w:t>
            </w:r>
          </w:p>
        </w:tc>
        <w:tc>
          <w:tcPr>
            <w:tcW w:w="1928" w:type="dxa"/>
          </w:tcPr>
          <w:p>
            <w:pPr>
              <w:pStyle w:val="Celda"/>
            </w:pPr>
            <w:r>
              <w:t xml:space="preserve">Según el tipo (sección 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Comprueba admisibilidad y registra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el riesgo y da conformidad</w:t>
            </w:r>
          </w:p>
        </w:tc>
        <w:tc>
          <w:tcPr>
            <w:tcW w:w="1928" w:type="dxa"/>
          </w:tcPr>
          <w:p>
            <w:pPr>
              <w:pStyle w:val="Celda"/>
            </w:pPr>
            <w:r>
              <w:t xml:space="preserve">Segunda línea (seguridad, riesgos o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Órgano de 30 §7.4</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propone no aprueba; si la oficina de IA propone una excepción, la aprueba el comité de IA.</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Aplica 30 §7.4 y 31 §3.8; propone el código EXC-AAAA-NNN, los estados y la regla de prórroga como nueva solicitud.</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P40 · Solicitud y registro de excepciones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P40 · Solicitud y registro de excepciones</dc:title>
  <dc:creator>Fernando García Varela</dc:creator>
  <dc:language>es</dc:language>
  <dc:description>sha256:5fb761dfca10323390da33039330e652468664f4a1c1256d835b285f6c7162f7</dc:description>
  <cp:keywords>SEVEN-G</cp:keywords>
</cp:coreProperties>
</file>