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Inventario de identidades no humanas y componentes</w:t>
      </w:r>
    </w:p>
    <w:p>
      <w:r>
        <w:rPr>
          <w:b/>
        </w:rPr>
        <w:t xml:space="preserve">Registra las identidades no humanas de los sistemas de IA y agentes —con permisos, responsable humano, credenciales y revisiones periódicas— y los modelos y componentes de software de los que dependen, con versión, origen, licencia y vulnerabilidades.</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Documento</w:t>
            </w:r>
          </w:p>
        </w:tc>
        <w:tc>
          <w:tcPr>
            <w:tcW w:w="4819" w:type="dxa"/>
          </w:tcPr>
          <w:p>
            <w:pPr>
              <w:pStyle w:val="Celda"/>
            </w:pPr>
            <w:r>
              <w:t xml:space="preserve">Plantilla P54 · Inventario de identidades no humanas y componentes</w:t>
            </w:r>
          </w:p>
        </w:tc>
      </w:tr>
      <w:tr>
        <w:tc>
          <w:tcPr>
            <w:tcW w:w="4819" w:type="dxa"/>
          </w:tcPr>
          <w:p>
            <w:pPr>
              <w:pStyle w:val="Celda"/>
            </w:pPr>
            <w:r>
              <w:t xml:space="preserve">Versión</w:t>
            </w:r>
          </w:p>
        </w:tc>
        <w:tc>
          <w:tcPr>
            <w:tcW w:w="4819" w:type="dxa"/>
          </w:tcPr>
          <w:p>
            <w:pPr>
              <w:pStyle w:val="Celda"/>
            </w:pPr>
            <w:r>
              <w:t xml:space="preserve">0.1 (borrador de trabajo)</w:t>
            </w:r>
          </w:p>
        </w:tc>
      </w:tr>
      <w:tr>
        <w:tc>
          <w:tcPr>
            <w:tcW w:w="4819" w:type="dxa"/>
          </w:tcPr>
          <w:p>
            <w:pPr>
              <w:pStyle w:val="Celda"/>
            </w:pPr>
            <w:r>
              <w:t xml:space="preserve">Fecha</w:t>
            </w:r>
          </w:p>
        </w:tc>
        <w:tc>
          <w:tcPr>
            <w:tcW w:w="4819" w:type="dxa"/>
          </w:tcPr>
          <w:p>
            <w:pPr>
              <w:pStyle w:val="Celda"/>
            </w:pPr>
            <w:r>
              <w:t xml:space="preserve">19-09-2026</w:t>
            </w:r>
          </w:p>
        </w:tc>
      </w:tr>
      <w:tr>
        <w:tc>
          <w:tcPr>
            <w:tcW w:w="4819" w:type="dxa"/>
          </w:tcPr>
          <w:p>
            <w:pPr>
              <w:pStyle w:val="Celda"/>
            </w:pPr>
            <w:r>
              <w:t xml:space="preserve">Autor</w:t>
            </w:r>
          </w:p>
        </w:tc>
        <w:tc>
          <w:tcPr>
            <w:tcW w:w="4819" w:type="dxa"/>
          </w:tcPr>
          <w:p>
            <w:pPr>
              <w:pStyle w:val="Celda"/>
            </w:pPr>
            <w:r>
              <w:t xml:space="preserve">Fernando García Varela</w:t>
            </w:r>
          </w:p>
        </w:tc>
      </w:tr>
      <w:tr>
        <w:tc>
          <w:tcPr>
            <w:tcW w:w="4819" w:type="dxa"/>
          </w:tcPr>
          <w:p>
            <w:pPr>
              <w:pStyle w:val="Celda"/>
            </w:pPr>
            <w:r>
              <w:t xml:space="preserve">Estado</w:t>
            </w:r>
          </w:p>
        </w:tc>
        <w:tc>
          <w:tcPr>
            <w:tcW w:w="4819" w:type="dxa"/>
          </w:tcPr>
          <w:p>
            <w:pPr>
              <w:pStyle w:val="Celda"/>
            </w:pPr>
            <w:r>
              <w:t xml:space="preserve">Borrador para revisión.</w:t>
            </w:r>
          </w:p>
        </w:tc>
      </w:tr>
    </w:tbl>
    <w:p>
      <w:pPr>
        <w:pStyle w:val="Espacio"/>
      </w:pPr>
    </w:p>
    <w:p>
      <w:pPr>
        <w:pStyle w:val="Separador"/>
      </w:pPr>
    </w:p>
    <w:p>
      <w:pPr>
        <w:pStyle w:val="Cita"/>
      </w:pPr>
      <w:r>
        <w:rPr>
          <w:b/>
        </w:rPr>
        <w:t xml:space="preserve">Aviso legal y exención de responsabilidad.</w:t>
      </w:r>
      <w:r>
        <w:t xml:space="preserve"> SEVEN-G es un marco metodológico de referencia que se ofrece «tal cual» y con fines exclusivamente informativos. No constituye asesoramiento jurídico, regulatorio, financiero ni profesional, ni garantiza el cumplimiento de ninguna norma. Las referencias a regulación general (como el Reglamento Europeo de IA, el RGPD, DORA o NIS2), a normas técnicas y a regulación específica de cada sector o jurisdicción pueden ser incompletas, no aplicar a un caso concreto o quedar desactualizadas por cambios normativos, interpretaciones o criterios de las autoridades posteriores a su fecha de consulta. </w:t>
      </w:r>
      <w:r>
        <w:rPr>
          <w:b/>
        </w:rPr>
        <w:t xml:space="preserve">Cada organización que use SEVEN-G es la única responsable de identificar la normativa que le aplica, verificar su vigencia y certificar su propio cumplimiento regulatorio</w:t>
      </w:r>
      <w:r>
        <w:t xml:space="preserve">, con el asesoramiento cualificado que corresponda. Esta metodología es una ayuda genérica y gratuita, compartida con la comunidad para que nadie tenga que empezar desde cero; cada persona u organización puede y debe adaptarla a su propio uso. No debe entenderse que sus partes jurídicamente sensibles hayan sido revisadas por una asesoría jurídica: esas revisiones, para cada empresa o sector, son responsabilidad última de la empresa, el consultor o la organización que la use. Aunque se procura mantenerla al día, alguna norma puede haber cambiado sin que se recoja aquí. En la máxima medida permitida por la ley, el autor no asume responsabilidad alguna por los efectos de su aplicación en ninguna organización ni por su aplicabilidad completa. La metodología no otorga certificación de ningún tipo. El autor no asume responsabilidad alguna por el uso que se haga de este contenido ni por las decisiones que se adopten con él. Los datos, cifras, compañías y casos de los ejemplos son ficticios o ilustrativos.</w:t>
      </w:r>
    </w:p>
    <w:p>
      <w:pPr>
        <w:pStyle w:val="Cita"/>
      </w:pPr>
      <w:r>
        <w:rPr>
          <w:b/>
        </w:rPr>
        <w:t xml:space="preserve">Por qué importa.</w:t>
      </w:r>
      <w:r>
        <w:t xml:space="preserve"> Un agente actúa con credenciales y permisos; si nadie sabe qué identidades existen, quién responde de ellas y qué pueden hacer, una credencial robada o un permiso heredado se convierten en la vía de ataque más barata (35 §3.2, abuso de identidad y privilegios). Del mismo modo, un sistema de IA depende de modelos, bibliotecas, conectores y servidores de herramientas que pueden estar manipulados o ser vulnerables: sin inventario no se puede reaccionar cuando se publica una vulnerabilidad ni retirar un componente. Este inventario es la evidencia de AG-01, AG-03, AG-13, AG-20 y SEG-09, y permite demostrar al consejo que no hay permisos excesivos, credenciales sin rotar ni identidades huérfanas (35 §10).</w:t>
      </w:r>
    </w:p>
    <w:p>
      <w:pPr>
        <w:pStyle w:val="Heading1"/>
      </w:pPr>
      <w:r>
        <w:t xml:space="preserve">1. Instrucciones de uso</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Aspecto</w:t>
            </w:r>
          </w:p>
        </w:tc>
        <w:tc>
          <w:tcPr>
            <w:tcW w:w="4819" w:type="dxa"/>
            <w:shd w:val="clear" w:color="auto" w:fill="F2DFCE"/>
          </w:tcPr>
          <w:p>
            <w:pPr>
              <w:pStyle w:val="Celda"/>
            </w:pPr>
            <w:r>
              <w:rPr>
                <w:b/>
              </w:rPr>
              <w:t xml:space="preserve">Indicación</w:t>
            </w:r>
          </w:p>
        </w:tc>
      </w:tr>
      <w:tr>
        <w:tc>
          <w:tcPr>
            <w:tcW w:w="4819" w:type="dxa"/>
          </w:tcPr>
          <w:p>
            <w:pPr>
              <w:pStyle w:val="Celda"/>
            </w:pPr>
            <w:r>
              <w:rPr>
                <w:b/>
              </w:rPr>
              <w:t xml:space="preserve">Cuándo se usa</w:t>
            </w:r>
          </w:p>
        </w:tc>
        <w:tc>
          <w:tcPr>
            <w:tcW w:w="4819" w:type="dxa"/>
          </w:tcPr>
          <w:p>
            <w:pPr>
              <w:pStyle w:val="Celda"/>
            </w:pPr>
            <w:r>
              <w:t xml:space="preserve">Las identidades y componentes se dan de alta en la fase 4, al diseñar la seguridad (P18), y se confirman antes de G5. Se mantienen vivos en la fase 6: cada alta, cambio de permisos, rotación, revisión o baja es un evento. En G7, la retirada revoca identidades y credenciales.</w:t>
            </w:r>
          </w:p>
        </w:tc>
      </w:tr>
      <w:tr>
        <w:tc>
          <w:tcPr>
            <w:tcW w:w="4819" w:type="dxa"/>
          </w:tcPr>
          <w:p>
            <w:pPr>
              <w:pStyle w:val="Celda"/>
            </w:pPr>
            <w:r>
              <w:rPr>
                <w:b/>
              </w:rPr>
              <w:t xml:space="preserve">Quién la rellena</w:t>
            </w:r>
          </w:p>
        </w:tc>
        <w:tc>
          <w:tcPr>
            <w:tcW w:w="4819" w:type="dxa"/>
          </w:tcPr>
          <w:p>
            <w:pPr>
              <w:pStyle w:val="Celda"/>
            </w:pPr>
            <w:r>
              <w:t xml:space="preserve">El responsable técnico de IA da de alta identidades y componentes; el responsable humano de cada identidad certifica sus permisos en cada revisión AG-20; seguridad de la información aporta el análisis de vulnerabilidades.</w:t>
            </w:r>
          </w:p>
        </w:tc>
      </w:tr>
      <w:tr>
        <w:tc>
          <w:tcPr>
            <w:tcW w:w="4819" w:type="dxa"/>
          </w:tcPr>
          <w:p>
            <w:pPr>
              <w:pStyle w:val="Celda"/>
            </w:pPr>
            <w:r>
              <w:rPr>
                <w:b/>
              </w:rPr>
              <w:t xml:space="preserve">Quién la verifica</w:t>
            </w:r>
          </w:p>
        </w:tc>
        <w:tc>
          <w:tcPr>
            <w:tcW w:w="4819" w:type="dxa"/>
          </w:tcPr>
          <w:p>
            <w:pPr>
              <w:pStyle w:val="Celda"/>
            </w:pPr>
            <w:r>
              <w:t xml:space="preserve">Seguridad de la información revisa y emite conformidad. El auditor de IA (Enterprise) o la oficina de IA (Lite) comprueba en G4, G5 y R6 que el inventario coincide con la configuración real, no solo con el documento.</w:t>
            </w:r>
          </w:p>
        </w:tc>
      </w:tr>
      <w:tr>
        <w:tc>
          <w:tcPr>
            <w:tcW w:w="4819" w:type="dxa"/>
          </w:tcPr>
          <w:p>
            <w:pPr>
              <w:pStyle w:val="Celda"/>
            </w:pPr>
            <w:r>
              <w:rPr>
                <w:b/>
              </w:rPr>
              <w:t xml:space="preserve">Quién decide o aprueba</w:t>
            </w:r>
          </w:p>
        </w:tc>
        <w:tc>
          <w:tcPr>
            <w:tcW w:w="4819" w:type="dxa"/>
          </w:tcPr>
          <w:p>
            <w:pPr>
              <w:pStyle w:val="Celda"/>
            </w:pPr>
            <w:r>
              <w:t xml:space="preserve">El responsable humano de cada identidad aprueba sus permisos. La incorporación de un componente o conector nuevo la aprueba el responsable técnico de IA con conformidad de seguridad de la información (AG-13). Las excepciones de plazo de corrección de vulnerabilidades siguen los plazos aprobados de SEG-13.</w:t>
            </w:r>
          </w:p>
        </w:tc>
      </w:tr>
      <w:tr>
        <w:tc>
          <w:tcPr>
            <w:tcW w:w="4819" w:type="dxa"/>
          </w:tcPr>
          <w:p>
            <w:pPr>
              <w:pStyle w:val="Celda"/>
            </w:pPr>
            <w:r>
              <w:rPr>
                <w:b/>
              </w:rPr>
              <w:t xml:space="preserve">Etapa, </w:t>
            </w:r>
            <w:r>
              <w:rPr>
                <w:b/>
                <w:i/>
              </w:rPr>
              <w:t xml:space="preserve">gate</w:t>
            </w:r>
            <w:r>
              <w:rPr>
                <w:b/>
              </w:rPr>
              <w:t xml:space="preserve"> o momento</w:t>
            </w:r>
          </w:p>
        </w:tc>
        <w:tc>
          <w:tcPr>
            <w:tcW w:w="4819" w:type="dxa"/>
          </w:tcPr>
          <w:p>
            <w:pPr>
              <w:pStyle w:val="Celda"/>
            </w:pPr>
            <w:r>
              <w:t xml:space="preserve">G4 (G4.15, G4.16), G5, R6 (R6.11) y G7 (G7.11). En el ámbito corporativo, C4 para los indicadores del consejo.</w:t>
            </w:r>
          </w:p>
        </w:tc>
      </w:tr>
      <w:tr>
        <w:tc>
          <w:tcPr>
            <w:tcW w:w="4819" w:type="dxa"/>
          </w:tcPr>
          <w:p>
            <w:pPr>
              <w:pStyle w:val="Celda"/>
            </w:pPr>
            <w:r>
              <w:rPr>
                <w:b/>
              </w:rPr>
              <w:t xml:space="preserve">Herramienta</w:t>
            </w:r>
          </w:p>
        </w:tc>
        <w:tc>
          <w:tcPr>
            <w:tcW w:w="4819" w:type="dxa"/>
          </w:tcPr>
          <w:p>
            <w:pPr>
              <w:pStyle w:val="Celda"/>
            </w:pPr>
            <w:r>
              <w:t xml:space="preserve">T10 · Evaluación de seguridad de agentes (estado de AG-01, AG-03, AG-13, AG-20 y SEG-09) y T02 · Inventario (responsable humano del agente, P05). La relación de componentes puede generarse con la herramienta de análisis de dependencias de la compañía; esta plantilla recoge los campos que SEVEN-G exige.</w:t>
            </w:r>
          </w:p>
        </w:tc>
      </w:tr>
      <w:tr>
        <w:tc>
          <w:tcPr>
            <w:tcW w:w="4819" w:type="dxa"/>
          </w:tcPr>
          <w:p>
            <w:pPr>
              <w:pStyle w:val="Celda"/>
            </w:pPr>
            <w:r>
              <w:rPr>
                <w:b/>
              </w:rPr>
              <w:t xml:space="preserve">Documento de referencia</w:t>
            </w:r>
          </w:p>
        </w:tc>
        <w:tc>
          <w:tcPr>
            <w:tcW w:w="4819" w:type="dxa"/>
          </w:tcPr>
          <w:p>
            <w:pPr>
              <w:pStyle w:val="Celda"/>
            </w:pPr>
            <w:r>
              <w:t xml:space="preserve">Documento 35 §4.1–4.3 (identidad, permisos y credenciales), §5.3 (frecuencias), §7 (AG-01, AG-02, AG-03, AG-13, AG-20) y §6 (SEG-09, SEG-13); documento 53 §7.4–7.5 (componentes, dependencias y licencias); documento 36 (proveedores).</w:t>
            </w:r>
          </w:p>
        </w:tc>
      </w:tr>
      <w:tr>
        <w:tc>
          <w:tcPr>
            <w:tcW w:w="4819" w:type="dxa"/>
          </w:tcPr>
          <w:p>
            <w:pPr>
              <w:pStyle w:val="Celda"/>
            </w:pPr>
            <w:r>
              <w:rPr>
                <w:b/>
              </w:rPr>
              <w:t xml:space="preserve">Lite frente a Enterprise</w:t>
            </w:r>
          </w:p>
        </w:tc>
        <w:tc>
          <w:tcPr>
            <w:tcW w:w="4819" w:type="dxa"/>
          </w:tcPr>
          <w:p>
            <w:pPr>
              <w:pStyle w:val="Celda"/>
            </w:pPr>
            <w:r>
              <w:t xml:space="preserve">El inventario de identidades y el de modelos y componentes con versión y procedencia son obligatorios en ambas. Lite puede omitir los campos marcados </w:t>
            </w:r>
            <w:r>
              <w:rPr>
                <w:b/>
              </w:rPr>
              <w:t xml:space="preserve">(Enterprise)</w:t>
            </w:r>
            <w:r>
              <w:t xml:space="preserve">; la relación completa de componentes de software (SBOM) es </w:t>
            </w:r>
            <w:r>
              <w:rPr>
                <w:b/>
              </w:rPr>
              <w:t xml:space="preserve">(Enterprise)</w:t>
            </w:r>
            <w:r>
              <w:t xml:space="preserve"> (53 §7.4).</w:t>
            </w:r>
          </w:p>
        </w:tc>
      </w:tr>
    </w:tbl>
    <w:p>
      <w:pPr>
        <w:pStyle w:val="Espacio"/>
      </w:pPr>
    </w:p>
    <w:p>
      <w:r>
        <w:t xml:space="preserve">Reglas de cumplimentación:</w:t>
      </w:r>
    </w:p>
    <w:p>
      <w:pPr>
        <w:pStyle w:val="Lista"/>
      </w:pPr>
      <w:r>
        <w:t xml:space="preserve">• Código de identidad propuesto: </w:t>
      </w:r>
      <w:r>
        <w:rPr>
          <w:b/>
        </w:rPr>
        <w:t xml:space="preserve">IDN-AAAA-NNN</w:t>
      </w:r>
      <w:r>
        <w:t xml:space="preserve"> (año de alta). Los componentes se numeran dentro de cada sistema: SIA-AAAA-NNN · C*nn*.</w:t>
      </w:r>
    </w:p>
    <w:p>
      <w:pPr>
        <w:pStyle w:val="Lista"/>
      </w:pPr>
      <w:r>
        <w:t xml:space="preserve">• Cada agente tiene una identidad no humana propia, distinta de la de cualquier empleado y de la de otros agentes (AG-01). Nunca se registra una identidad compartida.</w:t>
      </w:r>
    </w:p>
    <w:p>
      <w:pPr>
        <w:pStyle w:val="Lista"/>
      </w:pPr>
      <w:r>
        <w:t xml:space="preserve">• Cuando el agente actúa por cuenta de un usuario, no puede obtener más permisos que ese usuario (35 §4.1).</w:t>
      </w:r>
    </w:p>
    <w:p>
      <w:pPr>
        <w:pStyle w:val="Lista"/>
      </w:pPr>
      <w:r>
        <w:t xml:space="preserve">• Los secretos se guardan en un gestor de secretos; este inventario registra </w:t>
      </w:r>
      <w:r>
        <w:rPr>
          <w:b/>
        </w:rPr>
        <w:t xml:space="preserve">dónde</w:t>
      </w:r>
      <w:r>
        <w:t xml:space="preserve"> están y </w:t>
      </w:r>
      <w:r>
        <w:rPr>
          <w:b/>
        </w:rPr>
        <w:t xml:space="preserve">cuándo</w:t>
      </w:r>
      <w:r>
        <w:t xml:space="preserve"> se rotaron, nunca su valor.</w:t>
      </w:r>
    </w:p>
    <w:p>
      <w:pPr>
        <w:pStyle w:val="Lista"/>
      </w:pPr>
      <w:r>
        <w:t xml:space="preserve">• Todo permiso no listado está denegado; lectura y escritura se registran por separado (AG-02).</w:t>
      </w:r>
    </w:p>
    <w:p>
      <w:pPr>
        <w:pStyle w:val="Lista"/>
      </w:pPr>
      <w:r>
        <w:t xml:space="preserve">• Una identidad sin responsable humano vigente o sin sistema activo es una identidad huérfana: se revoca o se regulariza.</w:t>
      </w:r>
    </w:p>
    <w:p>
      <w:pPr>
        <w:pStyle w:val="Separador"/>
      </w:pPr>
    </w:p>
    <w:p>
      <w:pPr>
        <w:pStyle w:val="Heading1"/>
      </w:pPr>
      <w:r>
        <w:t xml:space="preserve">2. Identificación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Ámbito del inventario</w:t>
            </w:r>
          </w:p>
        </w:tc>
        <w:tc>
          <w:tcPr>
            <w:tcW w:w="3213" w:type="dxa"/>
          </w:tcPr>
          <w:p>
            <w:pPr>
              <w:pStyle w:val="Celda"/>
            </w:pPr>
          </w:p>
        </w:tc>
        <w:tc>
          <w:tcPr>
            <w:tcW w:w="3213" w:type="dxa"/>
          </w:tcPr>
          <w:p>
            <w:pPr>
              <w:pStyle w:val="Celda"/>
            </w:pPr>
            <w:r>
              <w:t xml:space="preserve">Sistema (SIA-AAAA-NNN) · Iniciativa (IA-AAAA-NNN) · Compañía.</w:t>
            </w:r>
          </w:p>
        </w:tc>
      </w:tr>
      <w:tr>
        <w:tc>
          <w:tcPr>
            <w:tcW w:w="3213" w:type="dxa"/>
          </w:tcPr>
          <w:p>
            <w:pPr>
              <w:pStyle w:val="Celda"/>
            </w:pPr>
            <w:r>
              <w:t xml:space="preserve">Nivel de autonomía</w:t>
            </w:r>
          </w:p>
        </w:tc>
        <w:tc>
          <w:tcPr>
            <w:tcW w:w="3213" w:type="dxa"/>
          </w:tcPr>
          <w:p>
            <w:pPr>
              <w:pStyle w:val="Celda"/>
            </w:pPr>
          </w:p>
        </w:tc>
        <w:tc>
          <w:tcPr>
            <w:tcW w:w="3213" w:type="dxa"/>
          </w:tcPr>
          <w:p>
            <w:pPr>
              <w:pStyle w:val="Celda"/>
            </w:pPr>
            <w:r>
              <w:t xml:space="preserve">A0 · A1 · A2 · A3. Determina la frecuencia de revisión AG-20.</w:t>
            </w:r>
          </w:p>
        </w:tc>
      </w:tr>
      <w:tr>
        <w:tc>
          <w:tcPr>
            <w:tcW w:w="3213" w:type="dxa"/>
          </w:tcPr>
          <w:p>
            <w:pPr>
              <w:pStyle w:val="Celda"/>
            </w:pPr>
            <w:r>
              <w:t xml:space="preserve">Intensidad</w:t>
            </w:r>
          </w:p>
        </w:tc>
        <w:tc>
          <w:tcPr>
            <w:tcW w:w="3213" w:type="dxa"/>
          </w:tcPr>
          <w:p>
            <w:pPr>
              <w:pStyle w:val="Celda"/>
            </w:pPr>
          </w:p>
        </w:tc>
        <w:tc>
          <w:tcPr>
            <w:tcW w:w="3213" w:type="dxa"/>
          </w:tcPr>
          <w:p>
            <w:pPr>
              <w:pStyle w:val="Celda"/>
            </w:pPr>
            <w:r>
              <w:t xml:space="preserve">Lite · Enterprise.</w:t>
            </w:r>
          </w:p>
        </w:tc>
      </w:tr>
      <w:tr>
        <w:tc>
          <w:tcPr>
            <w:tcW w:w="3213" w:type="dxa"/>
          </w:tcPr>
          <w:p>
            <w:pPr>
              <w:pStyle w:val="Celda"/>
            </w:pPr>
            <w:r>
              <w:t xml:space="preserve">Responsable del inventario</w:t>
            </w:r>
          </w:p>
        </w:tc>
        <w:tc>
          <w:tcPr>
            <w:tcW w:w="3213" w:type="dxa"/>
          </w:tcPr>
          <w:p>
            <w:pPr>
              <w:pStyle w:val="Celda"/>
            </w:pPr>
          </w:p>
        </w:tc>
        <w:tc>
          <w:tcPr>
            <w:tcW w:w="3213" w:type="dxa"/>
          </w:tcPr>
          <w:p>
            <w:pPr>
              <w:pStyle w:val="Celda"/>
            </w:pPr>
            <w:r>
              <w:t xml:space="preserve">Responsable técnico de IA.</w:t>
            </w:r>
          </w:p>
        </w:tc>
      </w:tr>
      <w:tr>
        <w:tc>
          <w:tcPr>
            <w:tcW w:w="3213" w:type="dxa"/>
          </w:tcPr>
          <w:p>
            <w:pPr>
              <w:pStyle w:val="Celda"/>
            </w:pPr>
            <w:r>
              <w:t xml:space="preserve">Fecha de la última actualización</w:t>
            </w:r>
          </w:p>
        </w:tc>
        <w:tc>
          <w:tcPr>
            <w:tcW w:w="3213" w:type="dxa"/>
          </w:tcPr>
          <w:p>
            <w:pPr>
              <w:pStyle w:val="Celda"/>
            </w:pPr>
          </w:p>
        </w:tc>
        <w:tc>
          <w:tcPr>
            <w:tcW w:w="3213" w:type="dxa"/>
          </w:tcPr>
          <w:p>
            <w:pPr>
              <w:pStyle w:val="Celda"/>
            </w:pPr>
            <w:r>
              <w:t xml:space="preserve">DD-MM-AAAA.</w:t>
            </w:r>
          </w:p>
        </w:tc>
      </w:tr>
      <w:tr>
        <w:tc>
          <w:tcPr>
            <w:tcW w:w="3213" w:type="dxa"/>
          </w:tcPr>
          <w:p>
            <w:pPr>
              <w:pStyle w:val="Celda"/>
            </w:pPr>
            <w:r>
              <w:t xml:space="preserve">Fecha de la última revisión AG-20</w:t>
            </w:r>
          </w:p>
        </w:tc>
        <w:tc>
          <w:tcPr>
            <w:tcW w:w="3213" w:type="dxa"/>
          </w:tcPr>
          <w:p>
            <w:pPr>
              <w:pStyle w:val="Celda"/>
            </w:pPr>
          </w:p>
        </w:tc>
        <w:tc>
          <w:tcPr>
            <w:tcW w:w="3213" w:type="dxa"/>
          </w:tcPr>
          <w:p>
            <w:pPr>
              <w:pStyle w:val="Celda"/>
            </w:pPr>
          </w:p>
        </w:tc>
      </w:tr>
      <w:tr>
        <w:tc>
          <w:tcPr>
            <w:tcW w:w="3213" w:type="dxa"/>
          </w:tcPr>
          <w:p>
            <w:pPr>
              <w:pStyle w:val="Celda"/>
            </w:pPr>
            <w:r>
              <w:t xml:space="preserve">Versión del documento</w:t>
            </w:r>
          </w:p>
        </w:tc>
        <w:tc>
          <w:tcPr>
            <w:tcW w:w="3213" w:type="dxa"/>
          </w:tcPr>
          <w:p>
            <w:pPr>
              <w:pStyle w:val="Celda"/>
            </w:pPr>
          </w:p>
        </w:tc>
        <w:tc>
          <w:tcPr>
            <w:tcW w:w="3213" w:type="dxa"/>
          </w:tcPr>
          <w:p>
            <w:pPr>
              <w:pStyle w:val="Celda"/>
            </w:pPr>
          </w:p>
        </w:tc>
      </w:tr>
    </w:tbl>
    <w:p>
      <w:pPr>
        <w:pStyle w:val="Espacio"/>
      </w:pPr>
    </w:p>
    <w:p>
      <w:pPr>
        <w:pStyle w:val="Separador"/>
      </w:pPr>
    </w:p>
    <w:p>
      <w:pPr>
        <w:pStyle w:val="Heading1"/>
      </w:pPr>
      <w:r>
        <w:t xml:space="preserve">3. Inventario de identidades no humanas</w:t>
      </w:r>
    </w:p>
    <w:p>
      <w:r>
        <w:rPr>
          <w:b/>
        </w:rPr>
        <w:t xml:space="preserve">Tipo:</w:t>
      </w:r>
      <w:r>
        <w:t xml:space="preserve"> Agente · Cuenta de servicio · Clave de API · Certificado · Identidad de conector o servidor de herramientas · Agente de construcción (53 §7.4). </w:t>
      </w:r>
      <w:r>
        <w:rPr>
          <w:b/>
        </w:rPr>
        <w:t xml:space="preserve">Actúa por cuenta de:</w:t>
      </w:r>
      <w:r>
        <w:t xml:space="preserve"> Un usuario (delegación) · La compañía (proceso). </w:t>
      </w:r>
      <w:r>
        <w:rPr>
          <w:b/>
        </w:rPr>
        <w:t xml:space="preserve">Estado:</w:t>
      </w:r>
      <w:r>
        <w:t xml:space="preserve"> Activa · Suspendida · Revocada.</w:t>
      </w:r>
    </w:p>
    <w:tbl>
      <w:tblPr>
        <w:tblStyle w:val="TablaSG"/>
        <w:tblW w:w="5000" w:type="pct"/>
        <w:tblLayout w:type="autofit"/>
        <w:tblLook w:val="04A0" w:firstRow="1" w:lastRow="0" w:firstColumn="0" w:lastColumn="0" w:noHBand="1" w:noVBand="1"/>
      </w:tblPr>
      <w:tblGrid>
        <w:gridCol w:w="964"/>
        <w:gridCol w:w="964"/>
        <w:gridCol w:w="964"/>
        <w:gridCol w:w="964"/>
        <w:gridCol w:w="964"/>
        <w:gridCol w:w="964"/>
        <w:gridCol w:w="964"/>
        <w:gridCol w:w="964"/>
        <w:gridCol w:w="964"/>
        <w:gridCol w:w="964"/>
      </w:tblGrid>
      <w:tr>
        <w:trPr>
          <w:tblHeader/>
        </w:trPr>
        <w:tc>
          <w:tcPr>
            <w:tcW w:w="964" w:type="dxa"/>
            <w:shd w:val="clear" w:color="auto" w:fill="F2DFCE"/>
          </w:tcPr>
          <w:p>
            <w:pPr>
              <w:pStyle w:val="Celda"/>
            </w:pPr>
            <w:r>
              <w:rPr>
                <w:b/>
              </w:rPr>
              <w:t xml:space="preserve">Código</w:t>
            </w:r>
          </w:p>
        </w:tc>
        <w:tc>
          <w:tcPr>
            <w:tcW w:w="964" w:type="dxa"/>
            <w:shd w:val="clear" w:color="auto" w:fill="F2DFCE"/>
          </w:tcPr>
          <w:p>
            <w:pPr>
              <w:pStyle w:val="Celda"/>
            </w:pPr>
            <w:r>
              <w:rPr>
                <w:b/>
              </w:rPr>
              <w:t xml:space="preserve">Nombre técnico</w:t>
            </w:r>
          </w:p>
        </w:tc>
        <w:tc>
          <w:tcPr>
            <w:tcW w:w="964" w:type="dxa"/>
            <w:shd w:val="clear" w:color="auto" w:fill="F2DFCE"/>
          </w:tcPr>
          <w:p>
            <w:pPr>
              <w:pStyle w:val="Celda"/>
            </w:pPr>
            <w:r>
              <w:rPr>
                <w:b/>
              </w:rPr>
              <w:t xml:space="preserve">Tipo</w:t>
            </w:r>
          </w:p>
        </w:tc>
        <w:tc>
          <w:tcPr>
            <w:tcW w:w="964" w:type="dxa"/>
            <w:shd w:val="clear" w:color="auto" w:fill="F2DFCE"/>
          </w:tcPr>
          <w:p>
            <w:pPr>
              <w:pStyle w:val="Celda"/>
            </w:pPr>
            <w:r>
              <w:rPr>
                <w:b/>
              </w:rPr>
              <w:t xml:space="preserve">Sistema</w:t>
            </w:r>
          </w:p>
        </w:tc>
        <w:tc>
          <w:tcPr>
            <w:tcW w:w="964" w:type="dxa"/>
            <w:shd w:val="clear" w:color="auto" w:fill="F2DFCE"/>
          </w:tcPr>
          <w:p>
            <w:pPr>
              <w:pStyle w:val="Celda"/>
            </w:pPr>
            <w:r>
              <w:rPr>
                <w:b/>
              </w:rPr>
              <w:t xml:space="preserve">Finalidad</w:t>
            </w:r>
          </w:p>
        </w:tc>
        <w:tc>
          <w:tcPr>
            <w:tcW w:w="964" w:type="dxa"/>
            <w:shd w:val="clear" w:color="auto" w:fill="F2DFCE"/>
          </w:tcPr>
          <w:p>
            <w:pPr>
              <w:pStyle w:val="Celda"/>
            </w:pPr>
            <w:r>
              <w:rPr>
                <w:b/>
              </w:rPr>
              <w:t xml:space="preserve">Actúa por cuenta de</w:t>
            </w:r>
          </w:p>
        </w:tc>
        <w:tc>
          <w:tcPr>
            <w:tcW w:w="964" w:type="dxa"/>
            <w:shd w:val="clear" w:color="auto" w:fill="F2DFCE"/>
          </w:tcPr>
          <w:p>
            <w:pPr>
              <w:pStyle w:val="Celda"/>
            </w:pPr>
            <w:r>
              <w:rPr>
                <w:b/>
              </w:rPr>
              <w:t xml:space="preserve">Responsable humano</w:t>
            </w:r>
          </w:p>
        </w:tc>
        <w:tc>
          <w:tcPr>
            <w:tcW w:w="964" w:type="dxa"/>
            <w:shd w:val="clear" w:color="auto" w:fill="F2DFCE"/>
          </w:tcPr>
          <w:p>
            <w:pPr>
              <w:pStyle w:val="Celda"/>
            </w:pPr>
            <w:r>
              <w:rPr>
                <w:b/>
              </w:rPr>
              <w:t xml:space="preserve">Sustituto </w:t>
            </w:r>
            <w:r>
              <w:rPr>
                <w:b/>
              </w:rPr>
              <w:t xml:space="preserve">(Enterprise)</w:t>
            </w:r>
          </w:p>
        </w:tc>
        <w:tc>
          <w:tcPr>
            <w:tcW w:w="964" w:type="dxa"/>
            <w:shd w:val="clear" w:color="auto" w:fill="F2DFCE"/>
          </w:tcPr>
          <w:p>
            <w:pPr>
              <w:pStyle w:val="Celda"/>
            </w:pPr>
            <w:r>
              <w:rPr>
                <w:b/>
              </w:rPr>
              <w:t xml:space="preserve">Estado</w:t>
            </w:r>
          </w:p>
        </w:tc>
        <w:tc>
          <w:tcPr>
            <w:tcW w:w="964" w:type="dxa"/>
            <w:shd w:val="clear" w:color="auto" w:fill="F2DFCE"/>
          </w:tcPr>
          <w:p>
            <w:pPr>
              <w:pStyle w:val="Celda"/>
            </w:pPr>
            <w:r>
              <w:rPr>
                <w:b/>
              </w:rPr>
              <w:t xml:space="preserve">Fecha de alta</w:t>
            </w:r>
          </w:p>
        </w:tc>
      </w:tr>
      <w:tr>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r>
      <w:tr>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r>
      <w:tr>
        <w:tc>
          <w:tcPr>
            <w:tcW w:w="964" w:type="dxa"/>
          </w:tcPr>
          <w:p>
            <w:pPr>
              <w:pStyle w:val="Celda"/>
            </w:pPr>
            <w:r>
              <w:t xml:space="preserve">IDN-2026-012 </w:t>
            </w:r>
            <w:r>
              <w:rPr>
                <w:i/>
              </w:rPr>
              <w:t xml:space="preserve">(ejemplo ilustrativo)</w:t>
            </w:r>
          </w:p>
        </w:tc>
        <w:tc>
          <w:tcPr>
            <w:tcW w:w="964" w:type="dxa"/>
          </w:tcPr>
          <w:p>
            <w:pPr>
              <w:pStyle w:val="Celda"/>
            </w:pPr>
            <w:r>
              <w:t xml:space="preserve">agente-devoluciones-prod</w:t>
            </w:r>
          </w:p>
        </w:tc>
        <w:tc>
          <w:tcPr>
            <w:tcW w:w="964" w:type="dxa"/>
          </w:tcPr>
          <w:p>
            <w:pPr>
              <w:pStyle w:val="Celda"/>
            </w:pPr>
            <w:r>
              <w:t xml:space="preserve">Agente</w:t>
            </w:r>
          </w:p>
        </w:tc>
        <w:tc>
          <w:tcPr>
            <w:tcW w:w="964" w:type="dxa"/>
          </w:tcPr>
          <w:p>
            <w:pPr>
              <w:pStyle w:val="Celda"/>
            </w:pPr>
            <w:r>
              <w:t xml:space="preserve">SIA-2026-004</w:t>
            </w:r>
          </w:p>
        </w:tc>
        <w:tc>
          <w:tcPr>
            <w:tcW w:w="964" w:type="dxa"/>
          </w:tcPr>
          <w:p>
            <w:pPr>
              <w:pStyle w:val="Celda"/>
            </w:pPr>
            <w:r>
              <w:t xml:space="preserve">Tramitar devoluciones de pedidos propios</w:t>
            </w:r>
          </w:p>
        </w:tc>
        <w:tc>
          <w:tcPr>
            <w:tcW w:w="964" w:type="dxa"/>
          </w:tcPr>
          <w:p>
            <w:pPr>
              <w:pStyle w:val="Celda"/>
            </w:pPr>
            <w:r>
              <w:t xml:space="preserve">La compañía (proceso)</w:t>
            </w:r>
          </w:p>
        </w:tc>
        <w:tc>
          <w:tcPr>
            <w:tcW w:w="964" w:type="dxa"/>
          </w:tcPr>
          <w:p>
            <w:pPr>
              <w:pStyle w:val="Celda"/>
            </w:pPr>
            <w:r>
              <w:t xml:space="preserve">Responsable de operación de IA</w:t>
            </w:r>
          </w:p>
        </w:tc>
        <w:tc>
          <w:tcPr>
            <w:tcW w:w="964" w:type="dxa"/>
          </w:tcPr>
          <w:p>
            <w:pPr>
              <w:pStyle w:val="Celda"/>
            </w:pPr>
            <w:r>
              <w:t xml:space="preserve">Responsable técnico de IA</w:t>
            </w:r>
          </w:p>
        </w:tc>
        <w:tc>
          <w:tcPr>
            <w:tcW w:w="964" w:type="dxa"/>
          </w:tcPr>
          <w:p>
            <w:pPr>
              <w:pStyle w:val="Celda"/>
            </w:pPr>
            <w:r>
              <w:t xml:space="preserve">Activa</w:t>
            </w:r>
          </w:p>
        </w:tc>
        <w:tc>
          <w:tcPr>
            <w:tcW w:w="964" w:type="dxa"/>
          </w:tcPr>
          <w:p>
            <w:pPr>
              <w:pStyle w:val="Celda"/>
            </w:pPr>
            <w:r>
              <w:t xml:space="preserve">02-10-2026</w:t>
            </w:r>
          </w:p>
        </w:tc>
      </w:tr>
    </w:tbl>
    <w:p>
      <w:pPr>
        <w:pStyle w:val="Espacio"/>
      </w:pPr>
    </w:p>
    <w:p>
      <w:pPr>
        <w:pStyle w:val="Separador"/>
      </w:pPr>
    </w:p>
    <w:p>
      <w:pPr>
        <w:pStyle w:val="Heading1"/>
      </w:pPr>
      <w:r>
        <w:t xml:space="preserve">4. Permisos de cada identidad</w:t>
      </w:r>
    </w:p>
    <w:p>
      <w:r>
        <w:t xml:space="preserve">Coherentes con la matriz de permisos de P18 §5. </w:t>
      </w:r>
      <w:r>
        <w:rPr>
          <w:b/>
        </w:rPr>
        <w:t xml:space="preserve">Operación:</w:t>
      </w:r>
      <w:r>
        <w:t xml:space="preserve"> Lectura · Escritura · Borrado · Envío externo · Operación económica · Cambio de configuración.</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Identidad</w:t>
            </w:r>
          </w:p>
        </w:tc>
        <w:tc>
          <w:tcPr>
            <w:tcW w:w="1377" w:type="dxa"/>
            <w:shd w:val="clear" w:color="auto" w:fill="F2DFCE"/>
          </w:tcPr>
          <w:p>
            <w:pPr>
              <w:pStyle w:val="Celda"/>
            </w:pPr>
            <w:r>
              <w:rPr>
                <w:b/>
              </w:rPr>
              <w:t xml:space="preserve">Sistema o herramienta</w:t>
            </w:r>
          </w:p>
        </w:tc>
        <w:tc>
          <w:tcPr>
            <w:tcW w:w="1377" w:type="dxa"/>
            <w:shd w:val="clear" w:color="auto" w:fill="F2DFCE"/>
          </w:tcPr>
          <w:p>
            <w:pPr>
              <w:pStyle w:val="Celda"/>
            </w:pPr>
            <w:r>
              <w:rPr>
                <w:b/>
              </w:rPr>
              <w:t xml:space="preserve">Operación</w:t>
            </w:r>
          </w:p>
        </w:tc>
        <w:tc>
          <w:tcPr>
            <w:tcW w:w="1377" w:type="dxa"/>
            <w:shd w:val="clear" w:color="auto" w:fill="F2DFCE"/>
          </w:tcPr>
          <w:p>
            <w:pPr>
              <w:pStyle w:val="Celda"/>
            </w:pPr>
            <w:r>
              <w:rPr>
                <w:b/>
              </w:rPr>
              <w:t xml:space="preserve">Alcance concreto</w:t>
            </w:r>
          </w:p>
        </w:tc>
        <w:tc>
          <w:tcPr>
            <w:tcW w:w="1377" w:type="dxa"/>
            <w:shd w:val="clear" w:color="auto" w:fill="F2DFCE"/>
          </w:tcPr>
          <w:p>
            <w:pPr>
              <w:pStyle w:val="Celda"/>
            </w:pPr>
            <w:r>
              <w:rPr>
                <w:b/>
              </w:rPr>
              <w:t xml:space="preserve">Justificación</w:t>
            </w:r>
          </w:p>
        </w:tc>
        <w:tc>
          <w:tcPr>
            <w:tcW w:w="1377" w:type="dxa"/>
            <w:shd w:val="clear" w:color="auto" w:fill="F2DFCE"/>
          </w:tcPr>
          <w:p>
            <w:pPr>
              <w:pStyle w:val="Celda"/>
            </w:pPr>
            <w:r>
              <w:rPr>
                <w:b/>
              </w:rPr>
              <w:t xml:space="preserve">Validación humana previa</w:t>
            </w:r>
          </w:p>
        </w:tc>
        <w:tc>
          <w:tcPr>
            <w:tcW w:w="1377" w:type="dxa"/>
            <w:shd w:val="clear" w:color="auto" w:fill="F2DFCE"/>
          </w:tcPr>
          <w:p>
            <w:pPr>
              <w:pStyle w:val="Celda"/>
            </w:pPr>
            <w:r>
              <w:rPr>
                <w:b/>
              </w:rPr>
              <w:t xml:space="preserve">¿Coincide con la configuración real? (Sí · No)</w:t>
            </w:r>
          </w:p>
        </w:tc>
      </w:tr>
      <w:tr>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IDN-2026-012 </w:t>
            </w:r>
            <w:r>
              <w:rPr>
                <w:i/>
              </w:rPr>
              <w:t xml:space="preserve">(ejemplo ilustrativo)</w:t>
            </w:r>
          </w:p>
        </w:tc>
        <w:tc>
          <w:tcPr>
            <w:tcW w:w="1377" w:type="dxa"/>
          </w:tcPr>
          <w:p>
            <w:pPr>
              <w:pStyle w:val="Celda"/>
            </w:pPr>
            <w:r>
              <w:t xml:space="preserve">Pasarela de devoluciones</w:t>
            </w:r>
          </w:p>
        </w:tc>
        <w:tc>
          <w:tcPr>
            <w:tcW w:w="1377" w:type="dxa"/>
          </w:tcPr>
          <w:p>
            <w:pPr>
              <w:pStyle w:val="Celda"/>
            </w:pPr>
            <w:r>
              <w:t xml:space="preserve">Operación económica</w:t>
            </w:r>
          </w:p>
        </w:tc>
        <w:tc>
          <w:tcPr>
            <w:tcW w:w="1377" w:type="dxa"/>
          </w:tcPr>
          <w:p>
            <w:pPr>
              <w:pStyle w:val="Celda"/>
            </w:pPr>
            <w:r>
              <w:t xml:space="preserve">Reembolsos de pedidos propios hasta el límite de P18 §7</w:t>
            </w:r>
          </w:p>
        </w:tc>
        <w:tc>
          <w:tcPr>
            <w:tcW w:w="1377" w:type="dxa"/>
          </w:tcPr>
          <w:p>
            <w:pPr>
              <w:pStyle w:val="Celda"/>
            </w:pPr>
            <w:r>
              <w:t xml:space="preserve">Resolver devoluciones</w:t>
            </w:r>
          </w:p>
        </w:tc>
        <w:tc>
          <w:tcPr>
            <w:tcW w:w="1377" w:type="dxa"/>
          </w:tcPr>
          <w:p>
            <w:pPr>
              <w:pStyle w:val="Celda"/>
            </w:pPr>
            <w:r>
              <w:t xml:space="preserve">Sí, por encima del límite</w:t>
            </w:r>
          </w:p>
        </w:tc>
        <w:tc>
          <w:tcPr>
            <w:tcW w:w="1377" w:type="dxa"/>
          </w:tcPr>
          <w:p>
            <w:pPr>
              <w:pStyle w:val="Celda"/>
            </w:pPr>
            <w:r>
              <w:t xml:space="preserve">Sí</w:t>
            </w:r>
          </w:p>
        </w:tc>
      </w:tr>
    </w:tbl>
    <w:p>
      <w:pPr>
        <w:pStyle w:val="Espacio"/>
      </w:pPr>
    </w:p>
    <w:p>
      <w:pPr>
        <w:pStyle w:val="Separador"/>
      </w:pPr>
    </w:p>
    <w:p>
      <w:pPr>
        <w:pStyle w:val="Heading1"/>
      </w:pPr>
      <w:r>
        <w:t xml:space="preserve">5. Credenciales</w:t>
      </w:r>
    </w:p>
    <w:tbl>
      <w:tblPr>
        <w:tblStyle w:val="TablaSG"/>
        <w:tblW w:w="5000" w:type="pct"/>
        <w:tblLayout w:type="autofit"/>
        <w:tblLook w:val="04A0" w:firstRow="1" w:lastRow="0" w:firstColumn="0" w:lastColumn="0" w:noHBand="1" w:noVBand="1"/>
      </w:tblPr>
      <w:tblGrid>
        <w:gridCol w:w="964"/>
        <w:gridCol w:w="964"/>
        <w:gridCol w:w="964"/>
        <w:gridCol w:w="964"/>
        <w:gridCol w:w="964"/>
        <w:gridCol w:w="964"/>
        <w:gridCol w:w="964"/>
        <w:gridCol w:w="964"/>
        <w:gridCol w:w="964"/>
        <w:gridCol w:w="964"/>
      </w:tblGrid>
      <w:tr>
        <w:trPr>
          <w:tblHeader/>
        </w:trPr>
        <w:tc>
          <w:tcPr>
            <w:tcW w:w="964" w:type="dxa"/>
            <w:shd w:val="clear" w:color="auto" w:fill="F2DFCE"/>
          </w:tcPr>
          <w:p>
            <w:pPr>
              <w:pStyle w:val="Celda"/>
            </w:pPr>
            <w:r>
              <w:rPr>
                <w:b/>
              </w:rPr>
              <w:t xml:space="preserve">Identidad</w:t>
            </w:r>
          </w:p>
        </w:tc>
        <w:tc>
          <w:tcPr>
            <w:tcW w:w="964" w:type="dxa"/>
            <w:shd w:val="clear" w:color="auto" w:fill="F2DFCE"/>
          </w:tcPr>
          <w:p>
            <w:pPr>
              <w:pStyle w:val="Celda"/>
            </w:pPr>
            <w:r>
              <w:rPr>
                <w:b/>
              </w:rPr>
              <w:t xml:space="preserve">Tipo de credencial</w:t>
            </w:r>
          </w:p>
        </w:tc>
        <w:tc>
          <w:tcPr>
            <w:tcW w:w="964" w:type="dxa"/>
            <w:shd w:val="clear" w:color="auto" w:fill="F2DFCE"/>
          </w:tcPr>
          <w:p>
            <w:pPr>
              <w:pStyle w:val="Celda"/>
            </w:pPr>
            <w:r>
              <w:rPr>
                <w:b/>
              </w:rPr>
              <w:t xml:space="preserve">Ubicación (gestor de secretos)</w:t>
            </w:r>
          </w:p>
        </w:tc>
        <w:tc>
          <w:tcPr>
            <w:tcW w:w="964" w:type="dxa"/>
            <w:shd w:val="clear" w:color="auto" w:fill="F2DFCE"/>
          </w:tcPr>
          <w:p>
            <w:pPr>
              <w:pStyle w:val="Celda"/>
            </w:pPr>
            <w:r>
              <w:rPr>
                <w:b/>
              </w:rPr>
              <w:t xml:space="preserve">Duración</w:t>
            </w:r>
          </w:p>
        </w:tc>
        <w:tc>
          <w:tcPr>
            <w:tcW w:w="964" w:type="dxa"/>
            <w:shd w:val="clear" w:color="auto" w:fill="F2DFCE"/>
          </w:tcPr>
          <w:p>
            <w:pPr>
              <w:pStyle w:val="Celda"/>
            </w:pPr>
            <w:r>
              <w:rPr>
                <w:b/>
              </w:rPr>
              <w:t xml:space="preserve">Ámbito</w:t>
            </w:r>
          </w:p>
        </w:tc>
        <w:tc>
          <w:tcPr>
            <w:tcW w:w="964" w:type="dxa"/>
            <w:shd w:val="clear" w:color="auto" w:fill="F2DFCE"/>
          </w:tcPr>
          <w:p>
            <w:pPr>
              <w:pStyle w:val="Celda"/>
            </w:pPr>
            <w:r>
              <w:rPr>
                <w:b/>
              </w:rPr>
              <w:t xml:space="preserve">Plazo de rotación</w:t>
            </w:r>
          </w:p>
        </w:tc>
        <w:tc>
          <w:tcPr>
            <w:tcW w:w="964" w:type="dxa"/>
            <w:shd w:val="clear" w:color="auto" w:fill="F2DFCE"/>
          </w:tcPr>
          <w:p>
            <w:pPr>
              <w:pStyle w:val="Celda"/>
            </w:pPr>
            <w:r>
              <w:rPr>
                <w:b/>
              </w:rPr>
              <w:t xml:space="preserve">Última rotación</w:t>
            </w:r>
          </w:p>
        </w:tc>
        <w:tc>
          <w:tcPr>
            <w:tcW w:w="964" w:type="dxa"/>
            <w:shd w:val="clear" w:color="auto" w:fill="F2DFCE"/>
          </w:tcPr>
          <w:p>
            <w:pPr>
              <w:pStyle w:val="Celda"/>
            </w:pPr>
            <w:r>
              <w:rPr>
                <w:b/>
              </w:rPr>
              <w:t xml:space="preserve">Próxima rotación</w:t>
            </w:r>
          </w:p>
        </w:tc>
        <w:tc>
          <w:tcPr>
            <w:tcW w:w="964" w:type="dxa"/>
            <w:shd w:val="clear" w:color="auto" w:fill="F2DFCE"/>
          </w:tcPr>
          <w:p>
            <w:pPr>
              <w:pStyle w:val="Celda"/>
            </w:pPr>
            <w:r>
              <w:rPr>
                <w:b/>
              </w:rPr>
              <w:t xml:space="preserve">¿Revocación vinculada al interruptor de parada?</w:t>
            </w:r>
          </w:p>
        </w:tc>
        <w:tc>
          <w:tcPr>
            <w:tcW w:w="964" w:type="dxa"/>
            <w:shd w:val="clear" w:color="auto" w:fill="F2DFCE"/>
          </w:tcPr>
          <w:p>
            <w:pPr>
              <w:pStyle w:val="Celda"/>
            </w:pPr>
            <w:r>
              <w:rPr>
                <w:b/>
              </w:rPr>
              <w:t xml:space="preserve">Tiempo de revocación probado</w:t>
            </w:r>
          </w:p>
        </w:tc>
      </w:tr>
      <w:tr>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r>
      <w:tr>
        <w:tc>
          <w:tcPr>
            <w:tcW w:w="964" w:type="dxa"/>
          </w:tcPr>
          <w:p>
            <w:pPr>
              <w:pStyle w:val="Celda"/>
            </w:pPr>
            <w:r>
              <w:t xml:space="preserve">IDN-2026-012 </w:t>
            </w:r>
            <w:r>
              <w:rPr>
                <w:i/>
              </w:rPr>
              <w:t xml:space="preserve">(ejemplo ilustrativo)</w:t>
            </w:r>
          </w:p>
        </w:tc>
        <w:tc>
          <w:tcPr>
            <w:tcW w:w="964" w:type="dxa"/>
          </w:tcPr>
          <w:p>
            <w:pPr>
              <w:pStyle w:val="Celda"/>
            </w:pPr>
            <w:r>
              <w:t xml:space="preserve">Token de corta duración</w:t>
            </w:r>
          </w:p>
        </w:tc>
        <w:tc>
          <w:tcPr>
            <w:tcW w:w="964" w:type="dxa"/>
          </w:tcPr>
          <w:p>
            <w:pPr>
              <w:pStyle w:val="Celda"/>
            </w:pPr>
            <w:r>
              <w:t xml:space="preserve">Gestor de secretos corporativo</w:t>
            </w:r>
          </w:p>
        </w:tc>
        <w:tc>
          <w:tcPr>
            <w:tcW w:w="964" w:type="dxa"/>
          </w:tcPr>
          <w:p>
            <w:pPr>
              <w:pStyle w:val="Celda"/>
            </w:pPr>
            <w:r>
              <w:t xml:space="preserve">1 hora</w:t>
            </w:r>
          </w:p>
        </w:tc>
        <w:tc>
          <w:tcPr>
            <w:tcW w:w="964" w:type="dxa"/>
          </w:tcPr>
          <w:p>
            <w:pPr>
              <w:pStyle w:val="Celda"/>
            </w:pPr>
            <w:r>
              <w:t xml:space="preserve">Pasarela de devoluciones</w:t>
            </w:r>
          </w:p>
        </w:tc>
        <w:tc>
          <w:tcPr>
            <w:tcW w:w="964" w:type="dxa"/>
          </w:tcPr>
          <w:p>
            <w:pPr>
              <w:pStyle w:val="Celda"/>
            </w:pPr>
            <w:r>
              <w:t xml:space="preserve">Clave raíz trimestral</w:t>
            </w:r>
          </w:p>
        </w:tc>
        <w:tc>
          <w:tcPr>
            <w:tcW w:w="964" w:type="dxa"/>
          </w:tcPr>
          <w:p>
            <w:pPr>
              <w:pStyle w:val="Celda"/>
            </w:pPr>
            <w:r>
              <w:t xml:space="preserve">01-10-2026</w:t>
            </w:r>
          </w:p>
        </w:tc>
        <w:tc>
          <w:tcPr>
            <w:tcW w:w="964" w:type="dxa"/>
          </w:tcPr>
          <w:p>
            <w:pPr>
              <w:pStyle w:val="Celda"/>
            </w:pPr>
            <w:r>
              <w:t xml:space="preserve">01-01-2027</w:t>
            </w:r>
          </w:p>
        </w:tc>
        <w:tc>
          <w:tcPr>
            <w:tcW w:w="964" w:type="dxa"/>
          </w:tcPr>
          <w:p>
            <w:pPr>
              <w:pStyle w:val="Celda"/>
            </w:pPr>
            <w:r>
              <w:t xml:space="preserve">Sí</w:t>
            </w:r>
          </w:p>
        </w:tc>
        <w:tc>
          <w:tcPr>
            <w:tcW w:w="964" w:type="dxa"/>
          </w:tcPr>
          <w:p>
            <w:pPr>
              <w:pStyle w:val="Celda"/>
            </w:pPr>
            <w:r>
              <w:t xml:space="preserve">40 segundos</w:t>
            </w:r>
          </w:p>
        </w:tc>
      </w:tr>
    </w:tbl>
    <w:p>
      <w:pPr>
        <w:pStyle w:val="Espacio"/>
      </w:pPr>
    </w:p>
    <w:p>
      <w:r>
        <w:t xml:space="preserve">Una credencial fuera de plazo de rotación se señala y se informa en el indicador «Credenciales sin rotar en plazo» (35 §10).</w:t>
      </w:r>
    </w:p>
    <w:p>
      <w:pPr>
        <w:pStyle w:val="Separador"/>
      </w:pPr>
    </w:p>
    <w:p>
      <w:pPr>
        <w:pStyle w:val="Heading1"/>
      </w:pPr>
      <w:r>
        <w:t xml:space="preserve">6. Revisiones periódicas de permisos (AG-20)</w:t>
      </w:r>
    </w:p>
    <w:p>
      <w:r>
        <w:t xml:space="preserve">Frecuencia mínima (35 §5.3): </w:t>
      </w:r>
      <w:r>
        <w:rPr>
          <w:b/>
        </w:rPr>
        <w:t xml:space="preserve">A1</w:t>
      </w:r>
      <w:r>
        <w:t xml:space="preserve"> anual · </w:t>
      </w:r>
      <w:r>
        <w:rPr>
          <w:b/>
        </w:rPr>
        <w:t xml:space="preserve">A2</w:t>
      </w:r>
      <w:r>
        <w:t xml:space="preserve"> semestral · </w:t>
      </w:r>
      <w:r>
        <w:rPr>
          <w:b/>
        </w:rPr>
        <w:t xml:space="preserve">A3</w:t>
      </w:r>
      <w:r>
        <w:t xml:space="preserve"> trimestral. En A0 es recomendada.</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Fecha</w:t>
            </w:r>
          </w:p>
        </w:tc>
        <w:tc>
          <w:tcPr>
            <w:tcW w:w="1205" w:type="dxa"/>
            <w:shd w:val="clear" w:color="auto" w:fill="F2DFCE"/>
          </w:tcPr>
          <w:p>
            <w:pPr>
              <w:pStyle w:val="Celda"/>
            </w:pPr>
            <w:r>
              <w:rPr>
                <w:b/>
              </w:rPr>
              <w:t xml:space="preserve">Identidades revisadas</w:t>
            </w:r>
          </w:p>
        </w:tc>
        <w:tc>
          <w:tcPr>
            <w:tcW w:w="1205" w:type="dxa"/>
            <w:shd w:val="clear" w:color="auto" w:fill="F2DFCE"/>
          </w:tcPr>
          <w:p>
            <w:pPr>
              <w:pStyle w:val="Celda"/>
            </w:pPr>
            <w:r>
              <w:rPr>
                <w:b/>
              </w:rPr>
              <w:t xml:space="preserve">Revisado por (responsable humano)</w:t>
            </w:r>
          </w:p>
        </w:tc>
        <w:tc>
          <w:tcPr>
            <w:tcW w:w="1205" w:type="dxa"/>
            <w:shd w:val="clear" w:color="auto" w:fill="F2DFCE"/>
          </w:tcPr>
          <w:p>
            <w:pPr>
              <w:pStyle w:val="Celda"/>
            </w:pPr>
            <w:r>
              <w:rPr>
                <w:b/>
              </w:rPr>
              <w:t xml:space="preserve">Permisos retirados</w:t>
            </w:r>
          </w:p>
        </w:tc>
        <w:tc>
          <w:tcPr>
            <w:tcW w:w="1205" w:type="dxa"/>
            <w:shd w:val="clear" w:color="auto" w:fill="F2DFCE"/>
          </w:tcPr>
          <w:p>
            <w:pPr>
              <w:pStyle w:val="Celda"/>
            </w:pPr>
            <w:r>
              <w:rPr>
                <w:b/>
              </w:rPr>
              <w:t xml:space="preserve">Credenciales rotadas o revocadas</w:t>
            </w:r>
          </w:p>
        </w:tc>
        <w:tc>
          <w:tcPr>
            <w:tcW w:w="1205" w:type="dxa"/>
            <w:shd w:val="clear" w:color="auto" w:fill="F2DFCE"/>
          </w:tcPr>
          <w:p>
            <w:pPr>
              <w:pStyle w:val="Celda"/>
            </w:pPr>
            <w:r>
              <w:rPr>
                <w:b/>
              </w:rPr>
              <w:t xml:space="preserve">Identidades huérfanas detectadas</w:t>
            </w:r>
          </w:p>
        </w:tc>
        <w:tc>
          <w:tcPr>
            <w:tcW w:w="1205" w:type="dxa"/>
            <w:shd w:val="clear" w:color="auto" w:fill="F2DFCE"/>
          </w:tcPr>
          <w:p>
            <w:pPr>
              <w:pStyle w:val="Celda"/>
            </w:pPr>
            <w:r>
              <w:rPr>
                <w:b/>
              </w:rPr>
              <w:t xml:space="preserve">Hallazgos</w:t>
            </w:r>
          </w:p>
        </w:tc>
        <w:tc>
          <w:tcPr>
            <w:tcW w:w="1205" w:type="dxa"/>
            <w:shd w:val="clear" w:color="auto" w:fill="F2DFCE"/>
          </w:tcPr>
          <w:p>
            <w:pPr>
              <w:pStyle w:val="Celda"/>
            </w:pPr>
            <w:r>
              <w:rPr>
                <w:b/>
              </w:rPr>
              <w:t xml:space="preserve">Referencia del acta</w:t>
            </w:r>
          </w:p>
        </w:tc>
      </w:tr>
      <w:tr>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rPr>
                <w:i/>
              </w:rPr>
              <w:t xml:space="preserve">(ejemplo ilustrativo)</w:t>
            </w:r>
            <w:r>
              <w:t xml:space="preserve"> 15-01-2027</w:t>
            </w:r>
          </w:p>
        </w:tc>
        <w:tc>
          <w:tcPr>
            <w:tcW w:w="1205" w:type="dxa"/>
          </w:tcPr>
          <w:p>
            <w:pPr>
              <w:pStyle w:val="Celda"/>
            </w:pPr>
            <w:r>
              <w:t xml:space="preserve">IDN-2026-010 a IDN-2026-014</w:t>
            </w:r>
          </w:p>
        </w:tc>
        <w:tc>
          <w:tcPr>
            <w:tcW w:w="1205" w:type="dxa"/>
          </w:tcPr>
          <w:p>
            <w:pPr>
              <w:pStyle w:val="Celda"/>
            </w:pPr>
            <w:r>
              <w:t xml:space="preserve">Responsable de operación de IA</w:t>
            </w:r>
          </w:p>
        </w:tc>
        <w:tc>
          <w:tcPr>
            <w:tcW w:w="1205" w:type="dxa"/>
          </w:tcPr>
          <w:p>
            <w:pPr>
              <w:pStyle w:val="Celda"/>
            </w:pPr>
            <w:r>
              <w:t xml:space="preserve">1 (lectura de un histórico no usado)</w:t>
            </w:r>
          </w:p>
        </w:tc>
        <w:tc>
          <w:tcPr>
            <w:tcW w:w="1205" w:type="dxa"/>
          </w:tcPr>
          <w:p>
            <w:pPr>
              <w:pStyle w:val="Celda"/>
            </w:pPr>
            <w:r>
              <w:t xml:space="preserve">0</w:t>
            </w:r>
          </w:p>
        </w:tc>
        <w:tc>
          <w:tcPr>
            <w:tcW w:w="1205" w:type="dxa"/>
          </w:tcPr>
          <w:p>
            <w:pPr>
              <w:pStyle w:val="Celda"/>
            </w:pPr>
            <w:r>
              <w:t xml:space="preserve">0</w:t>
            </w:r>
          </w:p>
        </w:tc>
        <w:tc>
          <w:tcPr>
            <w:tcW w:w="1205" w:type="dxa"/>
          </w:tcPr>
          <w:p>
            <w:pPr>
              <w:pStyle w:val="Celda"/>
            </w:pPr>
            <w:r>
              <w:t xml:space="preserve">Permiso heredado de una fase de pruebas</w:t>
            </w:r>
          </w:p>
        </w:tc>
        <w:tc>
          <w:tcPr>
            <w:tcW w:w="1205" w:type="dxa"/>
          </w:tcPr>
          <w:p>
            <w:pPr>
              <w:pStyle w:val="Celda"/>
            </w:pPr>
            <w:r>
              <w:t xml:space="preserve">Acta AG-20 del primer trimestre de 2027</w:t>
            </w:r>
          </w:p>
        </w:tc>
      </w:tr>
    </w:tbl>
    <w:p>
      <w:pPr>
        <w:pStyle w:val="Espacio"/>
      </w:pPr>
    </w:p>
    <w:p>
      <w:r>
        <w:t xml:space="preserve">Los hallazgos de permisos excesivos se informan en el indicador «Identidades de agentes con permisos excesivos» (35 §10), cuyo objetivo es cero. La desactivación en producción de un control crítico (AG-01 en A2 y A3; AG-02 y AG-03 de A1 a A3; 35 §5.4) es una no conformidad crítica (P50).</w:t>
      </w:r>
    </w:p>
    <w:p>
      <w:pPr>
        <w:pStyle w:val="Separador"/>
      </w:pPr>
    </w:p>
    <w:p>
      <w:pPr>
        <w:pStyle w:val="Heading1"/>
      </w:pPr>
      <w:r>
        <w:t xml:space="preserve">7. Inventario de modelos y componentes</w:t>
      </w:r>
    </w:p>
    <w:p>
      <w:r>
        <w:t xml:space="preserve">Evidencia de SEG-09 y AG-13. </w:t>
      </w:r>
      <w:r>
        <w:rPr>
          <w:b/>
        </w:rPr>
        <w:t xml:space="preserve">Tipo:</w:t>
      </w:r>
      <w:r>
        <w:t xml:space="preserve"> Modelo (propio, de proveedor o abierto) · Pesos · Biblioteca o dependencia · Conector · Servidor de herramientas · Imagen o contenedor · Servicio de proveedor · Conjunto de datos de evaluación. </w:t>
      </w:r>
      <w:r>
        <w:rPr>
          <w:b/>
        </w:rPr>
        <w:t xml:space="preserve">Estado:</w:t>
      </w:r>
      <w:r>
        <w:t xml:space="preserve"> Aprobado · En evaluación · Obsoleto · Retirado.</w:t>
      </w:r>
    </w:p>
    <w:tbl>
      <w:tblPr>
        <w:tblStyle w:val="TablaSG"/>
        <w:tblW w:w="5000" w:type="pct"/>
        <w:tblLayout w:type="autofit"/>
        <w:tblLook w:val="04A0" w:firstRow="1" w:lastRow="0" w:firstColumn="0" w:lastColumn="0" w:noHBand="1" w:noVBand="1"/>
      </w:tblPr>
      <w:tblGrid>
        <w:gridCol w:w="876"/>
        <w:gridCol w:w="876"/>
        <w:gridCol w:w="876"/>
        <w:gridCol w:w="876"/>
        <w:gridCol w:w="876"/>
        <w:gridCol w:w="876"/>
        <w:gridCol w:w="876"/>
        <w:gridCol w:w="876"/>
        <w:gridCol w:w="876"/>
        <w:gridCol w:w="876"/>
        <w:gridCol w:w="876"/>
      </w:tblGrid>
      <w:tr>
        <w:trPr>
          <w:tblHeader/>
        </w:trPr>
        <w:tc>
          <w:tcPr>
            <w:tcW w:w="876" w:type="dxa"/>
            <w:shd w:val="clear" w:color="auto" w:fill="F2DFCE"/>
          </w:tcPr>
          <w:p>
            <w:pPr>
              <w:pStyle w:val="Celda"/>
            </w:pPr>
            <w:r>
              <w:rPr>
                <w:b/>
              </w:rPr>
              <w:t xml:space="preserve">Código</w:t>
            </w:r>
          </w:p>
        </w:tc>
        <w:tc>
          <w:tcPr>
            <w:tcW w:w="876" w:type="dxa"/>
            <w:shd w:val="clear" w:color="auto" w:fill="F2DFCE"/>
          </w:tcPr>
          <w:p>
            <w:pPr>
              <w:pStyle w:val="Celda"/>
            </w:pPr>
            <w:r>
              <w:rPr>
                <w:b/>
              </w:rPr>
              <w:t xml:space="preserve">Componente</w:t>
            </w:r>
          </w:p>
        </w:tc>
        <w:tc>
          <w:tcPr>
            <w:tcW w:w="876" w:type="dxa"/>
            <w:shd w:val="clear" w:color="auto" w:fill="F2DFCE"/>
          </w:tcPr>
          <w:p>
            <w:pPr>
              <w:pStyle w:val="Celda"/>
            </w:pPr>
            <w:r>
              <w:rPr>
                <w:b/>
              </w:rPr>
              <w:t xml:space="preserve">Tipo</w:t>
            </w:r>
          </w:p>
        </w:tc>
        <w:tc>
          <w:tcPr>
            <w:tcW w:w="876" w:type="dxa"/>
            <w:shd w:val="clear" w:color="auto" w:fill="F2DFCE"/>
          </w:tcPr>
          <w:p>
            <w:pPr>
              <w:pStyle w:val="Celda"/>
            </w:pPr>
            <w:r>
              <w:rPr>
                <w:b/>
              </w:rPr>
              <w:t xml:space="preserve">Versión fijada</w:t>
            </w:r>
          </w:p>
        </w:tc>
        <w:tc>
          <w:tcPr>
            <w:tcW w:w="876" w:type="dxa"/>
            <w:shd w:val="clear" w:color="auto" w:fill="F2DFCE"/>
          </w:tcPr>
          <w:p>
            <w:pPr>
              <w:pStyle w:val="Celda"/>
            </w:pPr>
            <w:r>
              <w:rPr>
                <w:b/>
              </w:rPr>
              <w:t xml:space="preserve">Origen o proveedor</w:t>
            </w:r>
          </w:p>
        </w:tc>
        <w:tc>
          <w:tcPr>
            <w:tcW w:w="876" w:type="dxa"/>
            <w:shd w:val="clear" w:color="auto" w:fill="F2DFCE"/>
          </w:tcPr>
          <w:p>
            <w:pPr>
              <w:pStyle w:val="Celda"/>
            </w:pPr>
            <w:r>
              <w:rPr>
                <w:b/>
              </w:rPr>
              <w:t xml:space="preserve">Fuente aprobada (Sí · No)</w:t>
            </w:r>
          </w:p>
        </w:tc>
        <w:tc>
          <w:tcPr>
            <w:tcW w:w="876" w:type="dxa"/>
            <w:shd w:val="clear" w:color="auto" w:fill="F2DFCE"/>
          </w:tcPr>
          <w:p>
            <w:pPr>
              <w:pStyle w:val="Celda"/>
            </w:pPr>
            <w:r>
              <w:rPr>
                <w:b/>
              </w:rPr>
              <w:t xml:space="preserve">Verificación de integridad</w:t>
            </w:r>
          </w:p>
        </w:tc>
        <w:tc>
          <w:tcPr>
            <w:tcW w:w="876" w:type="dxa"/>
            <w:shd w:val="clear" w:color="auto" w:fill="F2DFCE"/>
          </w:tcPr>
          <w:p>
            <w:pPr>
              <w:pStyle w:val="Celda"/>
            </w:pPr>
            <w:r>
              <w:rPr>
                <w:b/>
              </w:rPr>
              <w:t xml:space="preserve">Licencia</w:t>
            </w:r>
          </w:p>
        </w:tc>
        <w:tc>
          <w:tcPr>
            <w:tcW w:w="876" w:type="dxa"/>
            <w:shd w:val="clear" w:color="auto" w:fill="F2DFCE"/>
          </w:tcPr>
          <w:p>
            <w:pPr>
              <w:pStyle w:val="Celda"/>
            </w:pPr>
            <w:r>
              <w:rPr>
                <w:b/>
              </w:rPr>
              <w:t xml:space="preserve">Vulnerabilidades conocidas</w:t>
            </w:r>
          </w:p>
        </w:tc>
        <w:tc>
          <w:tcPr>
            <w:tcW w:w="876" w:type="dxa"/>
            <w:shd w:val="clear" w:color="auto" w:fill="F2DFCE"/>
          </w:tcPr>
          <w:p>
            <w:pPr>
              <w:pStyle w:val="Celda"/>
            </w:pPr>
            <w:r>
              <w:rPr>
                <w:b/>
              </w:rPr>
              <w:t xml:space="preserve">Responsable</w:t>
            </w:r>
          </w:p>
        </w:tc>
        <w:tc>
          <w:tcPr>
            <w:tcW w:w="876" w:type="dxa"/>
            <w:shd w:val="clear" w:color="auto" w:fill="F2DFCE"/>
          </w:tcPr>
          <w:p>
            <w:pPr>
              <w:pStyle w:val="Celda"/>
            </w:pPr>
            <w:r>
              <w:rPr>
                <w:b/>
              </w:rPr>
              <w:t xml:space="preserve">Estado</w:t>
            </w:r>
          </w:p>
        </w:tc>
      </w:tr>
      <w:tr>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r>
      <w:tr>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r>
      <w:tr>
        <w:tc>
          <w:tcPr>
            <w:tcW w:w="876" w:type="dxa"/>
          </w:tcPr>
          <w:p>
            <w:pPr>
              <w:pStyle w:val="Celda"/>
            </w:pPr>
            <w:r>
              <w:t xml:space="preserve">SIA-2026-004 · C03 </w:t>
            </w:r>
            <w:r>
              <w:rPr>
                <w:i/>
              </w:rPr>
              <w:t xml:space="preserve">(ejemplo ilustrativo)</w:t>
            </w:r>
          </w:p>
        </w:tc>
        <w:tc>
          <w:tcPr>
            <w:tcW w:w="876" w:type="dxa"/>
          </w:tcPr>
          <w:p>
            <w:pPr>
              <w:pStyle w:val="Celda"/>
            </w:pPr>
            <w:r>
              <w:t xml:space="preserve">Conector con el sistema de pedidos</w:t>
            </w:r>
          </w:p>
        </w:tc>
        <w:tc>
          <w:tcPr>
            <w:tcW w:w="876" w:type="dxa"/>
          </w:tcPr>
          <w:p>
            <w:pPr>
              <w:pStyle w:val="Celda"/>
            </w:pPr>
            <w:r>
              <w:t xml:space="preserve">Conector</w:t>
            </w:r>
          </w:p>
        </w:tc>
        <w:tc>
          <w:tcPr>
            <w:tcW w:w="876" w:type="dxa"/>
          </w:tcPr>
          <w:p>
            <w:pPr>
              <w:pStyle w:val="Celda"/>
            </w:pPr>
            <w:r>
              <w:t xml:space="preserve">2.4.1</w:t>
            </w:r>
          </w:p>
        </w:tc>
        <w:tc>
          <w:tcPr>
            <w:tcW w:w="876" w:type="dxa"/>
          </w:tcPr>
          <w:p>
            <w:pPr>
              <w:pStyle w:val="Celda"/>
            </w:pPr>
            <w:r>
              <w:t xml:space="preserve">Desarrollo propio</w:t>
            </w:r>
          </w:p>
        </w:tc>
        <w:tc>
          <w:tcPr>
            <w:tcW w:w="876" w:type="dxa"/>
          </w:tcPr>
          <w:p>
            <w:pPr>
              <w:pStyle w:val="Celda"/>
            </w:pPr>
            <w:r>
              <w:t xml:space="preserve">Sí</w:t>
            </w:r>
          </w:p>
        </w:tc>
        <w:tc>
          <w:tcPr>
            <w:tcW w:w="876" w:type="dxa"/>
          </w:tcPr>
          <w:p>
            <w:pPr>
              <w:pStyle w:val="Celda"/>
            </w:pPr>
            <w:r>
              <w:t xml:space="preserve">Firma verificada en el despliegue</w:t>
            </w:r>
          </w:p>
        </w:tc>
        <w:tc>
          <w:tcPr>
            <w:tcW w:w="876" w:type="dxa"/>
          </w:tcPr>
          <w:p>
            <w:pPr>
              <w:pStyle w:val="Celda"/>
            </w:pPr>
            <w:r>
              <w:t xml:space="preserve">Interna</w:t>
            </w:r>
          </w:p>
        </w:tc>
        <w:tc>
          <w:tcPr>
            <w:tcW w:w="876" w:type="dxa"/>
          </w:tcPr>
          <w:p>
            <w:pPr>
              <w:pStyle w:val="Celda"/>
            </w:pPr>
            <w:r>
              <w:t xml:space="preserve">Ninguna en el último análisis</w:t>
            </w:r>
          </w:p>
        </w:tc>
        <w:tc>
          <w:tcPr>
            <w:tcW w:w="876" w:type="dxa"/>
          </w:tcPr>
          <w:p>
            <w:pPr>
              <w:pStyle w:val="Celda"/>
            </w:pPr>
            <w:r>
              <w:t xml:space="preserve">Responsable técnico de IA</w:t>
            </w:r>
          </w:p>
        </w:tc>
        <w:tc>
          <w:tcPr>
            <w:tcW w:w="876" w:type="dxa"/>
          </w:tcPr>
          <w:p>
            <w:pPr>
              <w:pStyle w:val="Celda"/>
            </w:pPr>
            <w:r>
              <w:t xml:space="preserve">Aprobado</w:t>
            </w:r>
          </w:p>
        </w:tc>
      </w:tr>
    </w:tbl>
    <w:p>
      <w:pPr>
        <w:pStyle w:val="Espacio"/>
      </w:pPr>
    </w:p>
    <w:p>
      <w:pPr>
        <w:pStyle w:val="Heading2"/>
      </w:pPr>
      <w:r>
        <w:t xml:space="preserve">7.1 Campos complementarios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Relación completa de componentes de software (SBOM) </w:t>
            </w:r>
            <w:r>
              <w:rPr>
                <w:b/>
              </w:rPr>
              <w:t xml:space="preserve">(Enterprise)</w:t>
            </w:r>
          </w:p>
        </w:tc>
        <w:tc>
          <w:tcPr>
            <w:tcW w:w="3213" w:type="dxa"/>
          </w:tcPr>
          <w:p>
            <w:pPr>
              <w:pStyle w:val="Celda"/>
            </w:pPr>
          </w:p>
        </w:tc>
        <w:tc>
          <w:tcPr>
            <w:tcW w:w="3213" w:type="dxa"/>
          </w:tcPr>
          <w:p>
            <w:pPr>
              <w:pStyle w:val="Celda"/>
            </w:pPr>
            <w:r>
              <w:t xml:space="preserve">Referencia del fichero generado, herramienta y fecha. Se regenera en cada cambio (53 §7.4).</w:t>
            </w:r>
          </w:p>
        </w:tc>
      </w:tr>
      <w:tr>
        <w:tc>
          <w:tcPr>
            <w:tcW w:w="3213" w:type="dxa"/>
          </w:tcPr>
          <w:p>
            <w:pPr>
              <w:pStyle w:val="Celda"/>
            </w:pPr>
            <w:r>
              <w:t xml:space="preserve">Dependencias propuestas por herramientas de IA</w:t>
            </w:r>
          </w:p>
        </w:tc>
        <w:tc>
          <w:tcPr>
            <w:tcW w:w="3213" w:type="dxa"/>
          </w:tcPr>
          <w:p>
            <w:pPr>
              <w:pStyle w:val="Celda"/>
            </w:pPr>
          </w:p>
        </w:tc>
        <w:tc>
          <w:tcPr>
            <w:tcW w:w="3213" w:type="dxa"/>
          </w:tcPr>
          <w:p>
            <w:pPr>
              <w:pStyle w:val="Celda"/>
            </w:pPr>
            <w:r>
              <w:t xml:space="preserve">Verificadas antes de incorporarse: existencia, procedencia, mantenimiento y vulnerabilidades conocidas (53 §7.4).</w:t>
            </w:r>
          </w:p>
        </w:tc>
      </w:tr>
      <w:tr>
        <w:tc>
          <w:tcPr>
            <w:tcW w:w="3213" w:type="dxa"/>
          </w:tcPr>
          <w:p>
            <w:pPr>
              <w:pStyle w:val="Celda"/>
            </w:pPr>
            <w:r>
              <w:t xml:space="preserve">Política de licencias aplicada</w:t>
            </w:r>
          </w:p>
        </w:tc>
        <w:tc>
          <w:tcPr>
            <w:tcW w:w="3213" w:type="dxa"/>
          </w:tcPr>
          <w:p>
            <w:pPr>
              <w:pStyle w:val="Celda"/>
            </w:pPr>
          </w:p>
        </w:tc>
        <w:tc>
          <w:tcPr>
            <w:tcW w:w="3213" w:type="dxa"/>
          </w:tcPr>
          <w:p>
            <w:pPr>
              <w:pStyle w:val="Celda"/>
            </w:pPr>
            <w:r>
              <w:t xml:space="preserve">Comprobación frente a la política de la compañía (53 §7.5).</w:t>
            </w:r>
          </w:p>
        </w:tc>
      </w:tr>
      <w:tr>
        <w:tc>
          <w:tcPr>
            <w:tcW w:w="3213" w:type="dxa"/>
          </w:tcPr>
          <w:p>
            <w:pPr>
              <w:pStyle w:val="Celda"/>
            </w:pPr>
            <w:r>
              <w:t xml:space="preserve">Análisis de vulnerabilidades</w:t>
            </w:r>
          </w:p>
        </w:tc>
        <w:tc>
          <w:tcPr>
            <w:tcW w:w="3213" w:type="dxa"/>
          </w:tcPr>
          <w:p>
            <w:pPr>
              <w:pStyle w:val="Celda"/>
            </w:pPr>
          </w:p>
        </w:tc>
        <w:tc>
          <w:tcPr>
            <w:tcW w:w="3213" w:type="dxa"/>
          </w:tcPr>
          <w:p>
            <w:pPr>
              <w:pStyle w:val="Celda"/>
            </w:pPr>
            <w:r>
              <w:t xml:space="preserve">Herramienta, frecuencia y fecha del último análisis.</w:t>
            </w:r>
          </w:p>
        </w:tc>
      </w:tr>
      <w:tr>
        <w:tc>
          <w:tcPr>
            <w:tcW w:w="3213" w:type="dxa"/>
          </w:tcPr>
          <w:p>
            <w:pPr>
              <w:pStyle w:val="Celda"/>
            </w:pPr>
            <w:r>
              <w:t xml:space="preserve">Plazos de corrección aplicables</w:t>
            </w:r>
          </w:p>
        </w:tc>
        <w:tc>
          <w:tcPr>
            <w:tcW w:w="3213" w:type="dxa"/>
          </w:tcPr>
          <w:p>
            <w:pPr>
              <w:pStyle w:val="Celda"/>
            </w:pPr>
          </w:p>
        </w:tc>
        <w:tc>
          <w:tcPr>
            <w:tcW w:w="3213" w:type="dxa"/>
          </w:tcPr>
          <w:p>
            <w:pPr>
              <w:pStyle w:val="Celda"/>
            </w:pPr>
            <w:r>
              <w:t xml:space="preserve">Los aprobados para sistemas expuestos y componentes de IA (SEG-13).</w:t>
            </w:r>
          </w:p>
        </w:tc>
      </w:tr>
      <w:tr>
        <w:tc>
          <w:tcPr>
            <w:tcW w:w="3213" w:type="dxa"/>
          </w:tcPr>
          <w:p>
            <w:pPr>
              <w:pStyle w:val="Celda"/>
            </w:pPr>
            <w:r>
              <w:t xml:space="preserve">Proveedores de modelos y conectores</w:t>
            </w:r>
          </w:p>
        </w:tc>
        <w:tc>
          <w:tcPr>
            <w:tcW w:w="3213" w:type="dxa"/>
          </w:tcPr>
          <w:p>
            <w:pPr>
              <w:pStyle w:val="Celda"/>
            </w:pPr>
          </w:p>
        </w:tc>
        <w:tc>
          <w:tcPr>
            <w:tcW w:w="3213" w:type="dxa"/>
          </w:tcPr>
          <w:p>
            <w:pPr>
              <w:pStyle w:val="Celda"/>
            </w:pPr>
            <w:r>
              <w:t xml:space="preserve">Nivel de exigencia N1 · N2 · N3 y evaluación en P14 (documento 36).</w:t>
            </w:r>
          </w:p>
        </w:tc>
      </w:tr>
    </w:tbl>
    <w:p>
      <w:pPr>
        <w:pStyle w:val="Espacio"/>
      </w:pPr>
    </w:p>
    <w:p>
      <w:pPr>
        <w:pStyle w:val="Heading2"/>
      </w:pPr>
      <w:r>
        <w:t xml:space="preserve">7.2 Vulnerabilidades y cambios de componentes</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Fecha</w:t>
            </w:r>
          </w:p>
        </w:tc>
        <w:tc>
          <w:tcPr>
            <w:tcW w:w="1205" w:type="dxa"/>
            <w:shd w:val="clear" w:color="auto" w:fill="F2DFCE"/>
          </w:tcPr>
          <w:p>
            <w:pPr>
              <w:pStyle w:val="Celda"/>
            </w:pPr>
            <w:r>
              <w:rPr>
                <w:b/>
              </w:rPr>
              <w:t xml:space="preserve">Componente</w:t>
            </w:r>
          </w:p>
        </w:tc>
        <w:tc>
          <w:tcPr>
            <w:tcW w:w="1205" w:type="dxa"/>
            <w:shd w:val="clear" w:color="auto" w:fill="F2DFCE"/>
          </w:tcPr>
          <w:p>
            <w:pPr>
              <w:pStyle w:val="Celda"/>
            </w:pPr>
            <w:r>
              <w:rPr>
                <w:b/>
              </w:rPr>
              <w:t xml:space="preserve">Vulnerabilidad o cambio</w:t>
            </w:r>
          </w:p>
        </w:tc>
        <w:tc>
          <w:tcPr>
            <w:tcW w:w="1205" w:type="dxa"/>
            <w:shd w:val="clear" w:color="auto" w:fill="F2DFCE"/>
          </w:tcPr>
          <w:p>
            <w:pPr>
              <w:pStyle w:val="Celda"/>
            </w:pPr>
            <w:r>
              <w:rPr>
                <w:b/>
              </w:rPr>
              <w:t xml:space="preserve">Gravedad</w:t>
            </w:r>
          </w:p>
        </w:tc>
        <w:tc>
          <w:tcPr>
            <w:tcW w:w="1205" w:type="dxa"/>
            <w:shd w:val="clear" w:color="auto" w:fill="F2DFCE"/>
          </w:tcPr>
          <w:p>
            <w:pPr>
              <w:pStyle w:val="Celda"/>
            </w:pPr>
            <w:r>
              <w:rPr>
                <w:b/>
              </w:rPr>
              <w:t xml:space="preserve">Plazo de corrección</w:t>
            </w:r>
          </w:p>
        </w:tc>
        <w:tc>
          <w:tcPr>
            <w:tcW w:w="1205" w:type="dxa"/>
            <w:shd w:val="clear" w:color="auto" w:fill="F2DFCE"/>
          </w:tcPr>
          <w:p>
            <w:pPr>
              <w:pStyle w:val="Celda"/>
            </w:pPr>
            <w:r>
              <w:rPr>
                <w:b/>
              </w:rPr>
              <w:t xml:space="preserve">Acción</w:t>
            </w:r>
          </w:p>
        </w:tc>
        <w:tc>
          <w:tcPr>
            <w:tcW w:w="1205" w:type="dxa"/>
            <w:shd w:val="clear" w:color="auto" w:fill="F2DFCE"/>
          </w:tcPr>
          <w:p>
            <w:pPr>
              <w:pStyle w:val="Celda"/>
            </w:pPr>
            <w:r>
              <w:rPr>
                <w:b/>
              </w:rPr>
              <w:t xml:space="preserve">Fecha de cierre</w:t>
            </w:r>
          </w:p>
        </w:tc>
        <w:tc>
          <w:tcPr>
            <w:tcW w:w="1205" w:type="dxa"/>
            <w:shd w:val="clear" w:color="auto" w:fill="F2DFCE"/>
          </w:tcPr>
          <w:p>
            <w:pPr>
              <w:pStyle w:val="Celda"/>
            </w:pPr>
            <w:r>
              <w:rPr>
                <w:b/>
              </w:rPr>
              <w:t xml:space="preserve">Cambio registrado en P27</w:t>
            </w:r>
          </w:p>
        </w:tc>
      </w:tr>
      <w:tr>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bl>
    <w:p>
      <w:pPr>
        <w:pStyle w:val="Espacio"/>
      </w:pPr>
    </w:p>
    <w:p>
      <w:r>
        <w:t xml:space="preserve">Un cambio de versión de modelo, de conector o de servidor de herramientas es un cambio que se registra en P27 y se evalúa antes de ejecutarse (37 §7.2).</w:t>
      </w:r>
    </w:p>
    <w:p>
      <w:pPr>
        <w:pStyle w:val="Separador"/>
      </w:pPr>
    </w:p>
    <w:p>
      <w:pPr>
        <w:pStyle w:val="Heading1"/>
      </w:pPr>
      <w:r>
        <w:t xml:space="preserve">8. Bajas y retirada</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Identidad o componente</w:t>
            </w:r>
          </w:p>
        </w:tc>
        <w:tc>
          <w:tcPr>
            <w:tcW w:w="1377" w:type="dxa"/>
            <w:shd w:val="clear" w:color="auto" w:fill="F2DFCE"/>
          </w:tcPr>
          <w:p>
            <w:pPr>
              <w:pStyle w:val="Celda"/>
            </w:pPr>
            <w:r>
              <w:rPr>
                <w:b/>
              </w:rPr>
              <w:t xml:space="preserve">Motivo de la baja</w:t>
            </w:r>
          </w:p>
        </w:tc>
        <w:tc>
          <w:tcPr>
            <w:tcW w:w="1377" w:type="dxa"/>
            <w:shd w:val="clear" w:color="auto" w:fill="F2DFCE"/>
          </w:tcPr>
          <w:p>
            <w:pPr>
              <w:pStyle w:val="Celda"/>
            </w:pPr>
            <w:r>
              <w:rPr>
                <w:b/>
              </w:rPr>
              <w:t xml:space="preserve">Fecha</w:t>
            </w:r>
          </w:p>
        </w:tc>
        <w:tc>
          <w:tcPr>
            <w:tcW w:w="1377" w:type="dxa"/>
            <w:shd w:val="clear" w:color="auto" w:fill="F2DFCE"/>
          </w:tcPr>
          <w:p>
            <w:pPr>
              <w:pStyle w:val="Celda"/>
            </w:pPr>
            <w:r>
              <w:rPr>
                <w:b/>
              </w:rPr>
              <w:t xml:space="preserve">Credenciales revocadas (Sí · No)</w:t>
            </w:r>
          </w:p>
        </w:tc>
        <w:tc>
          <w:tcPr>
            <w:tcW w:w="1377" w:type="dxa"/>
            <w:shd w:val="clear" w:color="auto" w:fill="F2DFCE"/>
          </w:tcPr>
          <w:p>
            <w:pPr>
              <w:pStyle w:val="Celda"/>
            </w:pPr>
            <w:r>
              <w:rPr>
                <w:b/>
              </w:rPr>
              <w:t xml:space="preserve">Permisos retirados (Sí · No)</w:t>
            </w:r>
          </w:p>
        </w:tc>
        <w:tc>
          <w:tcPr>
            <w:tcW w:w="1377" w:type="dxa"/>
            <w:shd w:val="clear" w:color="auto" w:fill="F2DFCE"/>
          </w:tcPr>
          <w:p>
            <w:pPr>
              <w:pStyle w:val="Celda"/>
            </w:pPr>
            <w:r>
              <w:rPr>
                <w:b/>
              </w:rPr>
              <w:t xml:space="preserve">Registros conservados hasta</w:t>
            </w:r>
          </w:p>
        </w:tc>
        <w:tc>
          <w:tcPr>
            <w:tcW w:w="1377" w:type="dxa"/>
            <w:shd w:val="clear" w:color="auto" w:fill="F2DFCE"/>
          </w:tcPr>
          <w:p>
            <w:pPr>
              <w:pStyle w:val="Celda"/>
            </w:pPr>
            <w:r>
              <w:rPr>
                <w:b/>
              </w:rPr>
              <w:t xml:space="preserve">Verificado por</w:t>
            </w:r>
          </w:p>
        </w:tc>
      </w:tr>
      <w:tr>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bl>
    <w:p>
      <w:pPr>
        <w:pStyle w:val="Espacio"/>
      </w:pPr>
    </w:p>
    <w:p>
      <w:r>
        <w:t xml:space="preserve">En la retirada del sistema (G7, P30) se revocan identidad, credenciales y permisos y se conservan los registros el periodo definido (G7.11); no deben quedar identidades ni credenciales huérfanas (35 §8, fase 7).</w:t>
      </w:r>
    </w:p>
    <w:p>
      <w:pPr>
        <w:pStyle w:val="Separador"/>
      </w:pPr>
    </w:p>
    <w:p>
      <w:pPr>
        <w:pStyle w:val="Heading1"/>
      </w:pPr>
      <w:r>
        <w:t xml:space="preserve">9. Criterios de calidad</w:t>
      </w:r>
    </w:p>
    <w:p>
      <w:r>
        <w:t xml:space="preserve">Criterios formales en el documento 21 (G4.15, G4.16, R6.11 y G7.11) y lista LV-AG del documento 22 §12.</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Comprobación</w:t>
            </w:r>
          </w:p>
        </w:tc>
        <w:tc>
          <w:tcPr>
            <w:tcW w:w="3213" w:type="dxa"/>
            <w:shd w:val="clear" w:color="auto" w:fill="F2DFCE"/>
          </w:tcPr>
          <w:p>
            <w:pPr>
              <w:pStyle w:val="Celda"/>
            </w:pPr>
            <w:r>
              <w:rPr>
                <w:b/>
              </w:rPr>
              <w:t xml:space="preserve">Estado</w:t>
            </w:r>
          </w:p>
        </w:tc>
      </w:tr>
      <w:tr>
        <w:tc>
          <w:tcPr>
            <w:tcW w:w="3213" w:type="dxa"/>
          </w:tcPr>
          <w:p>
            <w:pPr>
              <w:pStyle w:val="Celda"/>
            </w:pPr>
            <w:r>
              <w:t xml:space="preserve">1</w:t>
            </w:r>
          </w:p>
        </w:tc>
        <w:tc>
          <w:tcPr>
            <w:tcW w:w="3213" w:type="dxa"/>
          </w:tcPr>
          <w:p>
            <w:pPr>
              <w:pStyle w:val="Celda"/>
            </w:pPr>
            <w:r>
              <w:t xml:space="preserve">Cada agente tiene una identidad propia, no compartida, con responsable humano vigente.</w:t>
            </w:r>
          </w:p>
        </w:tc>
        <w:tc>
          <w:tcPr>
            <w:tcW w:w="3213" w:type="dxa"/>
          </w:tcPr>
          <w:p>
            <w:pPr>
              <w:pStyle w:val="Celda"/>
            </w:pPr>
            <w:r>
              <w:t xml:space="preserve">Cumple · No cumple · No aplica · Pendiente</w:t>
            </w:r>
          </w:p>
        </w:tc>
      </w:tr>
      <w:tr>
        <w:tc>
          <w:tcPr>
            <w:tcW w:w="3213" w:type="dxa"/>
          </w:tcPr>
          <w:p>
            <w:pPr>
              <w:pStyle w:val="Celda"/>
            </w:pPr>
            <w:r>
              <w:t xml:space="preserve">2</w:t>
            </w:r>
          </w:p>
        </w:tc>
        <w:tc>
          <w:tcPr>
            <w:tcW w:w="3213" w:type="dxa"/>
          </w:tcPr>
          <w:p>
            <w:pPr>
              <w:pStyle w:val="Celda"/>
            </w:pPr>
            <w:r>
              <w:t xml:space="preserve">Los permisos registrados coinciden con los mínimos aprobados en P18 y con la configuración real.</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Las credenciales están en un gestor de secretos, dentro de plazo de rotación y con revocación vinculada al interruptor de parada.</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Las revisiones AG-20 se han hecho con la frecuencia del nivel de autonomía y constan en acta.</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No hay identidades huérfanas ni permisos heredados sin justificar.</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Todos los modelos, conectores y servidores de herramientas tienen versión fijada, origen verificado y aprobación (AG-13, SEG-09).</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Las licencias y vulnerabilidades están revisadas y las correcciones están dentro de plazo.</w:t>
            </w:r>
          </w:p>
        </w:tc>
        <w:tc>
          <w:tcPr>
            <w:tcW w:w="3213" w:type="dxa"/>
          </w:tcPr>
          <w:p>
            <w:pPr>
              <w:pStyle w:val="Celda"/>
            </w:pPr>
          </w:p>
        </w:tc>
      </w:tr>
      <w:tr>
        <w:tc>
          <w:tcPr>
            <w:tcW w:w="3213" w:type="dxa"/>
          </w:tcPr>
          <w:p>
            <w:pPr>
              <w:pStyle w:val="Celda"/>
            </w:pPr>
            <w:r>
              <w:t xml:space="preserve">8</w:t>
            </w:r>
          </w:p>
        </w:tc>
        <w:tc>
          <w:tcPr>
            <w:tcW w:w="3213" w:type="dxa"/>
          </w:tcPr>
          <w:p>
            <w:pPr>
              <w:pStyle w:val="Celda"/>
            </w:pPr>
            <w:r>
              <w:t xml:space="preserve">En Enterprise existe una relación completa de componentes de software actualizada con el último cambio.</w:t>
            </w:r>
          </w:p>
        </w:tc>
        <w:tc>
          <w:tcPr>
            <w:tcW w:w="3213" w:type="dxa"/>
          </w:tcPr>
          <w:p>
            <w:pPr>
              <w:pStyle w:val="Celda"/>
            </w:pPr>
          </w:p>
        </w:tc>
      </w:tr>
    </w:tbl>
    <w:p>
      <w:pPr>
        <w:pStyle w:val="Espacio"/>
      </w:pPr>
    </w:p>
    <w:p>
      <w:pPr>
        <w:pStyle w:val="Separador"/>
      </w:pPr>
    </w:p>
    <w:p>
      <w:pPr>
        <w:pStyle w:val="Heading1"/>
      </w:pPr>
      <w:r>
        <w:t xml:space="preserve">10. Aprobación y verificación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Función</w:t>
            </w:r>
          </w:p>
        </w:tc>
        <w:tc>
          <w:tcPr>
            <w:tcW w:w="1928" w:type="dxa"/>
            <w:shd w:val="clear" w:color="auto" w:fill="F2DFCE"/>
          </w:tcPr>
          <w:p>
            <w:pPr>
              <w:pStyle w:val="Celda"/>
            </w:pPr>
            <w:r>
              <w:rPr>
                <w:b/>
              </w:rPr>
              <w:t xml:space="preserve">Rol en SEVEN-G</w:t>
            </w:r>
          </w:p>
        </w:tc>
        <w:tc>
          <w:tcPr>
            <w:tcW w:w="1928" w:type="dxa"/>
            <w:shd w:val="clear" w:color="auto" w:fill="F2DFCE"/>
          </w:tcPr>
          <w:p>
            <w:pPr>
              <w:pStyle w:val="Celda"/>
            </w:pPr>
            <w:r>
              <w:rPr>
                <w:b/>
              </w:rPr>
              <w:t xml:space="preserve">Nombre y cargo</w:t>
            </w:r>
          </w:p>
        </w:tc>
        <w:tc>
          <w:tcPr>
            <w:tcW w:w="1928" w:type="dxa"/>
            <w:shd w:val="clear" w:color="auto" w:fill="F2DFCE"/>
          </w:tcPr>
          <w:p>
            <w:pPr>
              <w:pStyle w:val="Celda"/>
            </w:pPr>
            <w:r>
              <w:rPr>
                <w:b/>
              </w:rPr>
              <w:t xml:space="preserve">Fecha</w:t>
            </w:r>
          </w:p>
        </w:tc>
        <w:tc>
          <w:tcPr>
            <w:tcW w:w="1928" w:type="dxa"/>
            <w:shd w:val="clear" w:color="auto" w:fill="F2DFCE"/>
          </w:tcPr>
          <w:p>
            <w:pPr>
              <w:pStyle w:val="Celda"/>
            </w:pPr>
            <w:r>
              <w:rPr>
                <w:b/>
              </w:rPr>
              <w:t xml:space="preserve">Firma o referencia</w:t>
            </w:r>
          </w:p>
        </w:tc>
      </w:tr>
      <w:tr>
        <w:tc>
          <w:tcPr>
            <w:tcW w:w="1928" w:type="dxa"/>
          </w:tcPr>
          <w:p>
            <w:pPr>
              <w:pStyle w:val="Celda"/>
            </w:pPr>
            <w:r>
              <w:t xml:space="preserve">Elabora y mantiene</w:t>
            </w:r>
          </w:p>
        </w:tc>
        <w:tc>
          <w:tcPr>
            <w:tcW w:w="1928" w:type="dxa"/>
          </w:tcPr>
          <w:p>
            <w:pPr>
              <w:pStyle w:val="Celda"/>
            </w:pPr>
            <w:r>
              <w:t xml:space="preserve">Responsable técnico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Certifica los permisos de cada identidad</w:t>
            </w:r>
          </w:p>
        </w:tc>
        <w:tc>
          <w:tcPr>
            <w:tcW w:w="1928" w:type="dxa"/>
          </w:tcPr>
          <w:p>
            <w:pPr>
              <w:pStyle w:val="Celda"/>
            </w:pPr>
            <w:r>
              <w:t xml:space="preserve">Responsable humano de la identidad (normalmente, responsable de operación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Revisa y emite conformidad</w:t>
            </w:r>
          </w:p>
        </w:tc>
        <w:tc>
          <w:tcPr>
            <w:tcW w:w="1928" w:type="dxa"/>
          </w:tcPr>
          <w:p>
            <w:pPr>
              <w:pStyle w:val="Celda"/>
            </w:pPr>
            <w:r>
              <w:t xml:space="preserve">Seguridad de la información</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Verifica</w:t>
            </w:r>
          </w:p>
        </w:tc>
        <w:tc>
          <w:tcPr>
            <w:tcW w:w="1928" w:type="dxa"/>
          </w:tcPr>
          <w:p>
            <w:pPr>
              <w:pStyle w:val="Celda"/>
            </w:pPr>
            <w:r>
              <w:t xml:space="preserve">Oficina de IA (Lite) · Auditor de IA (Enterprise)</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Separación de funciones: quien administra las identidades no certifica sus propios permisos; la certificación AG-20 la firma el responsable humano de cada identidad y la verifica alguien ajeno al equipo que construye.</w:t>
      </w:r>
    </w:p>
    <w:p>
      <w:pPr>
        <w:pStyle w:val="Separador"/>
      </w:pPr>
    </w:p>
    <w:p>
      <w:pPr>
        <w:pStyle w:val="Heading1"/>
      </w:pPr>
      <w:r>
        <w:t xml:space="preserve">11. Control de versiones</w:t>
      </w:r>
    </w:p>
    <w:p>
      <w:r>
        <w:rPr>
          <w:b/>
        </w:rPr>
        <w:t xml:space="preserve">Documento cumplimentado</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Versión</w:t>
            </w:r>
          </w:p>
        </w:tc>
        <w:tc>
          <w:tcPr>
            <w:tcW w:w="2410" w:type="dxa"/>
            <w:shd w:val="clear" w:color="auto" w:fill="F2DFCE"/>
          </w:tcPr>
          <w:p>
            <w:pPr>
              <w:pStyle w:val="Celda"/>
            </w:pPr>
            <w:r>
              <w:rPr>
                <w:b/>
              </w:rPr>
              <w:t xml:space="preserve">Fecha</w:t>
            </w:r>
          </w:p>
        </w:tc>
        <w:tc>
          <w:tcPr>
            <w:tcW w:w="2410" w:type="dxa"/>
            <w:shd w:val="clear" w:color="auto" w:fill="F2DFCE"/>
          </w:tcPr>
          <w:p>
            <w:pPr>
              <w:pStyle w:val="Celda"/>
            </w:pPr>
            <w:r>
              <w:rPr>
                <w:b/>
              </w:rPr>
              <w:t xml:space="preserve">Autor</w:t>
            </w:r>
          </w:p>
        </w:tc>
        <w:tc>
          <w:tcPr>
            <w:tcW w:w="2410" w:type="dxa"/>
            <w:shd w:val="clear" w:color="auto" w:fill="F2DFCE"/>
          </w:tcPr>
          <w:p>
            <w:pPr>
              <w:pStyle w:val="Celda"/>
            </w:pPr>
            <w:r>
              <w:rPr>
                <w:b/>
              </w:rPr>
              <w:t xml:space="preserve">Cambios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Plantilla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Versión</w:t>
            </w:r>
          </w:p>
        </w:tc>
        <w:tc>
          <w:tcPr>
            <w:tcW w:w="3213" w:type="dxa"/>
            <w:shd w:val="clear" w:color="auto" w:fill="F2DFCE"/>
          </w:tcPr>
          <w:p>
            <w:pPr>
              <w:pStyle w:val="Celda"/>
            </w:pPr>
            <w:r>
              <w:rPr>
                <w:b/>
              </w:rPr>
              <w:t xml:space="preserve">Fecha</w:t>
            </w:r>
          </w:p>
        </w:tc>
        <w:tc>
          <w:tcPr>
            <w:tcW w:w="3213" w:type="dxa"/>
            <w:shd w:val="clear" w:color="auto" w:fill="F2DFCE"/>
          </w:tcPr>
          <w:p>
            <w:pPr>
              <w:pStyle w:val="Celda"/>
            </w:pPr>
            <w:r>
              <w:rPr>
                <w:b/>
              </w:rPr>
              <w:t xml:space="preserve">Cambios</w:t>
            </w:r>
          </w:p>
        </w:tc>
      </w:tr>
      <w:tr>
        <w:tc>
          <w:tcPr>
            <w:tcW w:w="3213" w:type="dxa"/>
          </w:tcPr>
          <w:p>
            <w:pPr>
              <w:pStyle w:val="Celda"/>
            </w:pPr>
            <w:r>
              <w:t xml:space="preserve">0.1</w:t>
            </w:r>
          </w:p>
        </w:tc>
        <w:tc>
          <w:tcPr>
            <w:tcW w:w="3213" w:type="dxa"/>
          </w:tcPr>
          <w:p>
            <w:pPr>
              <w:pStyle w:val="Celda"/>
            </w:pPr>
            <w:r>
              <w:t xml:space="preserve">19-09-2026</w:t>
            </w:r>
          </w:p>
        </w:tc>
        <w:tc>
          <w:tcPr>
            <w:tcW w:w="3213" w:type="dxa"/>
          </w:tcPr>
          <w:p>
            <w:pPr>
              <w:pStyle w:val="Celda"/>
            </w:pPr>
            <w:r>
              <w:t xml:space="preserve">Primera versión. Inventario de identidades no humanas con permisos, credenciales, responsable y revisiones AG-20 (35 §4.1, §7) e inventario de modelos y componentes con versión, origen, licencia y vulnerabilidades (SEG-09, AG-13, 53 §7.4). Propone el código IDN-AAAA-NNN.</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Plantilla P54 · Inventario de identidades no humanas y componentes · CC BY 4.0 · Fernando García Varela · Generada desde la fuente Markdown: no edite la plantilla, rellene una copia.</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s-ES"/>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P54 · Inventario de identidades no humanas y componentes</dc:title>
  <dc:creator>Fernando García Varela</dc:creator>
  <dc:language>es</dc:language>
  <dc:description>sha256:cef9516abd89a348c1f3a1e940b7e8e7e3d66d4867b32d1bd4ae17ca99bd6aca</dc:description>
  <cp:keywords>SEVEN-G</cp:keywords>
</cp:coreProperties>
</file>