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Monitoring and alerting configuration</w:t>
      </w:r>
    </w:p>
    <w:p>
      <w:r>
        <w:rPr>
          <w:b/>
        </w:rPr>
        <w:t xml:space="preserve">Defines what is monitored in the AI system in production, with which thresholds, who receives each alert and what action it triggers.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P25 · Monitoring and alerting configuration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designed in phase 4, configured and tested in phase 5 and maintained in phase 6.</w:t>
            </w:r>
          </w:p>
        </w:tc>
      </w:tr>
      <w:tr>
        <w:tc>
          <w:tcPr>
            <w:tcW w:w="4819" w:type="dxa"/>
          </w:tcPr>
          <w:p>
            <w:pPr>
              <w:pStyle w:val="Celda"/>
            </w:pPr>
            <w:r>
              <w:rPr>
                <w:b/>
              </w:rPr>
              <w:t xml:space="preserve">Who completes it</w:t>
            </w:r>
          </w:p>
        </w:tc>
        <w:tc>
          <w:tcPr>
            <w:tcW w:w="4819" w:type="dxa"/>
          </w:tcPr>
          <w:p>
            <w:pPr>
              <w:pStyle w:val="Celda"/>
            </w:pPr>
            <w:r>
              <w:t xml:space="preserve">AI Operations Owner, with the AI Technical Owner and the AI Product Owner (adoption and value metrics).</w:t>
            </w:r>
          </w:p>
        </w:tc>
      </w:tr>
      <w:tr>
        <w:tc>
          <w:tcPr>
            <w:tcW w:w="4819" w:type="dxa"/>
          </w:tcPr>
          <w:p>
            <w:pPr>
              <w:pStyle w:val="Celda"/>
            </w:pPr>
            <w:r>
              <w:rPr>
                <w:b/>
              </w:rPr>
              <w:t xml:space="preserve">Who verifies it</w:t>
            </w:r>
          </w:p>
        </w:tc>
        <w:tc>
          <w:tcPr>
            <w:tcW w:w="4819" w:type="dxa"/>
          </w:tcPr>
          <w:p>
            <w:pPr>
              <w:pStyle w:val="Celda"/>
            </w:pPr>
            <w:r>
              <w:t xml:space="preserve">AI Office at Lite intensity; AI Auditor at Enterprise intensity.</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G4 (design), G5 (tested configuration) and R6 (currency of thresholds).</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Every initiative in production must monitor, as a minimum, performance, availability, cost and the human oversight indicators of P17.</w:t>
            </w:r>
          </w:p>
        </w:tc>
      </w:tr>
      <w:tr>
        <w:tc>
          <w:tcPr>
            <w:tcW w:w="4819" w:type="dxa"/>
          </w:tcPr>
          <w:p>
            <w:pPr>
              <w:pStyle w:val="Celda"/>
            </w:pPr>
            <w:r>
              <w:rPr>
                <w:b/>
              </w:rPr>
              <w:t xml:space="preserve">Relationship</w:t>
            </w:r>
          </w:p>
        </w:tc>
        <w:tc>
          <w:tcPr>
            <w:tcW w:w="4819" w:type="dxa"/>
          </w:tcPr>
          <w:p>
            <w:pPr>
              <w:pStyle w:val="Celda"/>
            </w:pPr>
            <w:r>
              <w:t xml:space="preserve">P09 Baseline · P16 Lineage (drift reference) · P17 Oversight indicators · P18 Action log · P19 Rollback triggers · P24 Operations manual · P26 Incident response · P28 Value tracking · documents 41 (Indicator catalogue) and 52.</w:t>
            </w:r>
          </w:p>
        </w:tc>
      </w:tr>
    </w:tbl>
    <w:p>
      <w:pPr>
        <w:pStyle w:val="Espacio"/>
      </w:pPr>
    </w:p>
    <w:p>
      <w:r>
        <w:t xml:space="preserve">Rules:</w:t>
      </w:r>
    </w:p>
    <w:p>
      <w:pPr>
        <w:pStyle w:val="Lista"/>
      </w:pPr>
      <w:r>
        <w:t xml:space="preserve">• Each rollback trigger in P19 must have an alert in this document.</w:t>
      </w:r>
    </w:p>
    <w:p>
      <w:pPr>
        <w:pStyle w:val="Lista"/>
      </w:pPr>
      <w:r>
        <w:t xml:space="preserve">• </w:t>
      </w:r>
      <w:r>
        <w:rPr>
          <w:b/>
        </w:rPr>
        <w:t xml:space="preserve">"No data" is not zero:</w:t>
      </w:r>
      <w:r>
        <w:t xml:space="preserve"> the absence of a metric is in itself an alert, never a normal value.</w:t>
      </w:r>
    </w:p>
    <w:p>
      <w:pPr>
        <w:pStyle w:val="Lista"/>
      </w:pPr>
      <w:r>
        <w:t xml:space="preserve">• The severity of an alert is an </w:t>
      </w:r>
      <w:r>
        <w:rPr>
          <w:b/>
        </w:rPr>
        <w:t xml:space="preserve">initial proposal</w:t>
      </w:r>
      <w:r>
        <w:t xml:space="preserve">; the severity of the incident is classified using the criteria of document 37 (P26).</w:t>
      </w:r>
    </w:p>
    <w:p>
      <w:pPr>
        <w:pStyle w:val="Lista"/>
      </w:pPr>
      <w:r>
        <w:t xml:space="preserve">• Threshold changes are recorded in P27 with their reason.</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AI system(s)</w:t>
            </w:r>
          </w:p>
        </w:tc>
        <w:tc>
          <w:tcPr>
            <w:tcW w:w="3213" w:type="dxa"/>
          </w:tcPr>
          <w:p>
            <w:pPr>
              <w:pStyle w:val="Celda"/>
            </w:pPr>
          </w:p>
        </w:tc>
        <w:tc>
          <w:tcPr>
            <w:tcW w:w="3213" w:type="dxa"/>
          </w:tcPr>
          <w:p>
            <w:pPr>
              <w:pStyle w:val="Celda"/>
            </w:pPr>
            <w:r>
              <w:t xml:space="preserve">Identifier in the inventory (T02).</w:t>
            </w:r>
          </w:p>
        </w:tc>
      </w:tr>
      <w:tr>
        <w:tc>
          <w:tcPr>
            <w:tcW w:w="3213" w:type="dxa"/>
          </w:tcPr>
          <w:p>
            <w:pPr>
              <w:pStyle w:val="Celda"/>
            </w:pPr>
            <w:r>
              <w:t xml:space="preserve">Technology</w:t>
            </w:r>
          </w:p>
        </w:tc>
        <w:tc>
          <w:tcPr>
            <w:tcW w:w="3213" w:type="dxa"/>
          </w:tcPr>
          <w:p>
            <w:pPr>
              <w:pStyle w:val="Celda"/>
            </w:pPr>
          </w:p>
        </w:tc>
        <w:tc>
          <w:tcPr>
            <w:tcW w:w="3213" w:type="dxa"/>
          </w:tcPr>
          <w:p>
            <w:pPr>
              <w:pStyle w:val="Celda"/>
            </w:pPr>
            <w:r>
              <w:t xml:space="preserve">Predictive ML · Generative AI · Agent · Language and document processing · Vision · Optimisation · Embedded third-party AI · Rules (not AI).</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Monitoring tool</w:t>
            </w:r>
          </w:p>
        </w:tc>
        <w:tc>
          <w:tcPr>
            <w:tcW w:w="3213" w:type="dxa"/>
          </w:tcPr>
          <w:p>
            <w:pPr>
              <w:pStyle w:val="Celda"/>
            </w:pPr>
          </w:p>
        </w:tc>
        <w:tc>
          <w:tcPr>
            <w:tcW w:w="3213" w:type="dxa"/>
          </w:tcPr>
          <w:p>
            <w:pPr>
              <w:pStyle w:val="Celda"/>
            </w:pPr>
            <w:r>
              <w:t xml:space="preserve">Name of the internal or provider tool.</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DD-MM-YYYY.</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Metrics catalogue</w:t>
      </w:r>
    </w:p>
    <w:p>
      <w:r>
        <w:rPr>
          <w:b/>
        </w:rPr>
        <w:t xml:space="preserve">Category:</w:t>
      </w:r>
      <w:r>
        <w:t xml:space="preserve"> Model performance · Data drift · Usage drift · Input data quality · Bias and fairness · Availability and latency · Cost and consumption · Security · Agent behaviour · Human oversight · Adoption · Value.</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ID</w:t>
            </w:r>
          </w:p>
        </w:tc>
        <w:tc>
          <w:tcPr>
            <w:tcW w:w="964" w:type="dxa"/>
            <w:shd w:val="clear" w:color="auto" w:fill="F2DFCE"/>
          </w:tcPr>
          <w:p>
            <w:pPr>
              <w:pStyle w:val="Celda"/>
            </w:pPr>
            <w:r>
              <w:rPr>
                <w:b/>
              </w:rPr>
              <w:t xml:space="preserve">Metric</w:t>
            </w:r>
          </w:p>
        </w:tc>
        <w:tc>
          <w:tcPr>
            <w:tcW w:w="964" w:type="dxa"/>
            <w:shd w:val="clear" w:color="auto" w:fill="F2DFCE"/>
          </w:tcPr>
          <w:p>
            <w:pPr>
              <w:pStyle w:val="Celda"/>
            </w:pPr>
            <w:r>
              <w:rPr>
                <w:b/>
              </w:rPr>
              <w:t xml:space="preserve">Category</w:t>
            </w:r>
          </w:p>
        </w:tc>
        <w:tc>
          <w:tcPr>
            <w:tcW w:w="964" w:type="dxa"/>
            <w:shd w:val="clear" w:color="auto" w:fill="F2DFCE"/>
          </w:tcPr>
          <w:p>
            <w:pPr>
              <w:pStyle w:val="Celda"/>
            </w:pPr>
            <w:r>
              <w:rPr>
                <w:b/>
              </w:rPr>
              <w:t xml:space="preserve">Definition and formula</w:t>
            </w:r>
          </w:p>
        </w:tc>
        <w:tc>
          <w:tcPr>
            <w:tcW w:w="964" w:type="dxa"/>
            <w:shd w:val="clear" w:color="auto" w:fill="F2DFCE"/>
          </w:tcPr>
          <w:p>
            <w:pPr>
              <w:pStyle w:val="Celda"/>
            </w:pPr>
            <w:r>
              <w:rPr>
                <w:b/>
              </w:rPr>
              <w:t xml:space="preserve">Source</w:t>
            </w:r>
          </w:p>
        </w:tc>
        <w:tc>
          <w:tcPr>
            <w:tcW w:w="964" w:type="dxa"/>
            <w:shd w:val="clear" w:color="auto" w:fill="F2DFCE"/>
          </w:tcPr>
          <w:p>
            <w:pPr>
              <w:pStyle w:val="Celda"/>
            </w:pPr>
            <w:r>
              <w:rPr>
                <w:b/>
              </w:rPr>
              <w:t xml:space="preserve">Calculation frequency</w:t>
            </w:r>
          </w:p>
        </w:tc>
        <w:tc>
          <w:tcPr>
            <w:tcW w:w="964" w:type="dxa"/>
            <w:shd w:val="clear" w:color="auto" w:fill="F2DFCE"/>
          </w:tcPr>
          <w:p>
            <w:pPr>
              <w:pStyle w:val="Celda"/>
            </w:pPr>
            <w:r>
              <w:rPr>
                <w:b/>
              </w:rPr>
              <w:t xml:space="preserve">Reference value</w:t>
            </w:r>
          </w:p>
        </w:tc>
        <w:tc>
          <w:tcPr>
            <w:tcW w:w="964" w:type="dxa"/>
            <w:shd w:val="clear" w:color="auto" w:fill="F2DFCE"/>
          </w:tcPr>
          <w:p>
            <w:pPr>
              <w:pStyle w:val="Celda"/>
            </w:pPr>
            <w:r>
              <w:rPr>
                <w:b/>
              </w:rPr>
              <w:t xml:space="preserve">Warning threshold</w:t>
            </w:r>
          </w:p>
        </w:tc>
        <w:tc>
          <w:tcPr>
            <w:tcW w:w="964" w:type="dxa"/>
            <w:shd w:val="clear" w:color="auto" w:fill="F2DFCE"/>
          </w:tcPr>
          <w:p>
            <w:pPr>
              <w:pStyle w:val="Celda"/>
            </w:pPr>
            <w:r>
              <w:rPr>
                <w:b/>
              </w:rPr>
              <w:t xml:space="preserve">Critical threshold</w:t>
            </w:r>
          </w:p>
        </w:tc>
        <w:tc>
          <w:tcPr>
            <w:tcW w:w="964" w:type="dxa"/>
            <w:shd w:val="clear" w:color="auto" w:fill="F2DFCE"/>
          </w:tcPr>
          <w:p>
            <w:pPr>
              <w:pStyle w:val="Celda"/>
            </w:pPr>
            <w:r>
              <w:rPr>
                <w:b/>
              </w:rPr>
              <w:t xml:space="preserve">Owner</w:t>
            </w:r>
          </w:p>
        </w:tc>
      </w:tr>
      <w:tr>
        <w:tc>
          <w:tcPr>
            <w:tcW w:w="964" w:type="dxa"/>
          </w:tcPr>
          <w:p>
            <w:pPr>
              <w:pStyle w:val="Celda"/>
            </w:pPr>
            <w:r>
              <w:t xml:space="preserve">M-01 </w:t>
            </w:r>
            <w:r>
              <w:rPr>
                <w:i/>
              </w:rPr>
              <w:t xml:space="preserve">(illustrative example)</w:t>
            </w:r>
          </w:p>
        </w:tc>
        <w:tc>
          <w:tcPr>
            <w:tcW w:w="964" w:type="dxa"/>
          </w:tcPr>
          <w:p>
            <w:pPr>
              <w:pStyle w:val="Celda"/>
            </w:pPr>
            <w:r>
              <w:t xml:space="preserve">Human override rate</w:t>
            </w:r>
          </w:p>
        </w:tc>
        <w:tc>
          <w:tcPr>
            <w:tcW w:w="964" w:type="dxa"/>
          </w:tcPr>
          <w:p>
            <w:pPr>
              <w:pStyle w:val="Celda"/>
            </w:pPr>
            <w:r>
              <w:t xml:space="preserve">Human oversight</w:t>
            </w:r>
          </w:p>
        </w:tc>
        <w:tc>
          <w:tcPr>
            <w:tcW w:w="964" w:type="dxa"/>
          </w:tcPr>
          <w:p>
            <w:pPr>
              <w:pStyle w:val="Celda"/>
            </w:pPr>
            <w:r>
              <w:t xml:space="preserve">Proposals rejected or corrected ÷ proposals reviewed, daily</w:t>
            </w:r>
          </w:p>
        </w:tc>
        <w:tc>
          <w:tcPr>
            <w:tcW w:w="964" w:type="dxa"/>
          </w:tcPr>
          <w:p>
            <w:pPr>
              <w:pStyle w:val="Celda"/>
            </w:pPr>
            <w:r>
              <w:t xml:space="preserve">Validation log</w:t>
            </w:r>
          </w:p>
        </w:tc>
        <w:tc>
          <w:tcPr>
            <w:tcW w:w="964" w:type="dxa"/>
          </w:tcPr>
          <w:p>
            <w:pPr>
              <w:pStyle w:val="Celda"/>
            </w:pPr>
            <w:r>
              <w:t xml:space="preserve">Daily</w:t>
            </w:r>
          </w:p>
        </w:tc>
        <w:tc>
          <w:tcPr>
            <w:tcW w:w="964" w:type="dxa"/>
          </w:tcPr>
          <w:p>
            <w:pPr>
              <w:pStyle w:val="Celda"/>
            </w:pPr>
            <w:r>
              <w:t xml:space="preserve">8% (pilot)</w:t>
            </w:r>
          </w:p>
        </w:tc>
        <w:tc>
          <w:tcPr>
            <w:tcW w:w="964" w:type="dxa"/>
          </w:tcPr>
          <w:p>
            <w:pPr>
              <w:pStyle w:val="Celda"/>
            </w:pPr>
            <w:r>
              <w:t xml:space="preserve">&gt; 15%</w:t>
            </w:r>
          </w:p>
        </w:tc>
        <w:tc>
          <w:tcPr>
            <w:tcW w:w="964" w:type="dxa"/>
          </w:tcPr>
          <w:p>
            <w:pPr>
              <w:pStyle w:val="Celda"/>
            </w:pPr>
            <w:r>
              <w:t xml:space="preserve">&gt; 25% on two consecutive days</w:t>
            </w:r>
          </w:p>
        </w:tc>
        <w:tc>
          <w:tcPr>
            <w:tcW w:w="964" w:type="dxa"/>
          </w:tcPr>
          <w:p>
            <w:pPr>
              <w:pStyle w:val="Celda"/>
            </w:pPr>
            <w:r>
              <w:t xml:space="preserve">AI Operations Owner</w:t>
            </w:r>
          </w:p>
        </w:tc>
      </w:tr>
      <w:tr>
        <w:tc>
          <w:tcPr>
            <w:tcW w:w="964" w:type="dxa"/>
          </w:tcPr>
          <w:p>
            <w:pPr>
              <w:pStyle w:val="Celda"/>
            </w:pPr>
            <w:r>
              <w:t xml:space="preserve">M-02 </w:t>
            </w:r>
            <w:r>
              <w:rPr>
                <w:i/>
              </w:rPr>
              <w:t xml:space="preserve">(illustrative example)</w:t>
            </w:r>
          </w:p>
        </w:tc>
        <w:tc>
          <w:tcPr>
            <w:tcW w:w="964" w:type="dxa"/>
          </w:tcPr>
          <w:p>
            <w:pPr>
              <w:pStyle w:val="Celda"/>
            </w:pPr>
            <w:r>
              <w:t xml:space="preserve">Model consumption cost</w:t>
            </w:r>
          </w:p>
        </w:tc>
        <w:tc>
          <w:tcPr>
            <w:tcW w:w="964" w:type="dxa"/>
          </w:tcPr>
          <w:p>
            <w:pPr>
              <w:pStyle w:val="Celda"/>
            </w:pPr>
            <w:r>
              <w:t xml:space="preserve">Cost and consumption</w:t>
            </w:r>
          </w:p>
        </w:tc>
        <w:tc>
          <w:tcPr>
            <w:tcW w:w="964" w:type="dxa"/>
          </w:tcPr>
          <w:p>
            <w:pPr>
              <w:pStyle w:val="Celda"/>
            </w:pPr>
            <w:r>
              <w:t xml:space="preserve">Daily sum invoiced by the provider</w:t>
            </w:r>
          </w:p>
        </w:tc>
        <w:tc>
          <w:tcPr>
            <w:tcW w:w="964" w:type="dxa"/>
          </w:tcPr>
          <w:p>
            <w:pPr>
              <w:pStyle w:val="Celda"/>
            </w:pPr>
            <w:r>
              <w:t xml:space="preserve">Provider console</w:t>
            </w:r>
          </w:p>
        </w:tc>
        <w:tc>
          <w:tcPr>
            <w:tcW w:w="964" w:type="dxa"/>
          </w:tcPr>
          <w:p>
            <w:pPr>
              <w:pStyle w:val="Celda"/>
            </w:pPr>
            <w:r>
              <w:t xml:space="preserve">Daily</w:t>
            </w:r>
          </w:p>
        </w:tc>
        <w:tc>
          <w:tcPr>
            <w:tcW w:w="964" w:type="dxa"/>
          </w:tcPr>
          <w:p>
            <w:pPr>
              <w:pStyle w:val="Celda"/>
            </w:pPr>
            <w:r>
              <w:t xml:space="preserve">€65/day</w:t>
            </w:r>
          </w:p>
        </w:tc>
        <w:tc>
          <w:tcPr>
            <w:tcW w:w="964" w:type="dxa"/>
          </w:tcPr>
          <w:p>
            <w:pPr>
              <w:pStyle w:val="Celda"/>
            </w:pPr>
            <w:r>
              <w:t xml:space="preserve">&gt; €90/day</w:t>
            </w:r>
          </w:p>
        </w:tc>
        <w:tc>
          <w:tcPr>
            <w:tcW w:w="964" w:type="dxa"/>
          </w:tcPr>
          <w:p>
            <w:pPr>
              <w:pStyle w:val="Celda"/>
            </w:pPr>
            <w:r>
              <w:t xml:space="preserve">&gt; €150/day</w:t>
            </w:r>
          </w:p>
        </w:tc>
        <w:tc>
          <w:tcPr>
            <w:tcW w:w="964" w:type="dxa"/>
          </w:tcPr>
          <w:p>
            <w:pPr>
              <w:pStyle w:val="Celda"/>
            </w:pPr>
            <w:r>
              <w:t xml:space="preserve">AI Product Owner</w:t>
            </w:r>
          </w:p>
        </w:tc>
      </w:tr>
      <w:tr>
        <w:tc>
          <w:tcPr>
            <w:tcW w:w="964" w:type="dxa"/>
          </w:tcPr>
          <w:p>
            <w:pPr>
              <w:pStyle w:val="Celda"/>
            </w:pPr>
            <w:r>
              <w:t xml:space="preserve">M-03 </w:t>
            </w:r>
            <w:r>
              <w:rPr>
                <w:i/>
              </w:rPr>
              <w:t xml:space="preserve">(illustrative example)</w:t>
            </w:r>
          </w:p>
        </w:tc>
        <w:tc>
          <w:tcPr>
            <w:tcW w:w="964" w:type="dxa"/>
          </w:tcPr>
          <w:p>
            <w:pPr>
              <w:pStyle w:val="Celda"/>
            </w:pPr>
            <w:r>
              <w:t xml:space="preserve">Actions blocked by limits</w:t>
            </w:r>
          </w:p>
        </w:tc>
        <w:tc>
          <w:tcPr>
            <w:tcW w:w="964" w:type="dxa"/>
          </w:tcPr>
          <w:p>
            <w:pPr>
              <w:pStyle w:val="Celda"/>
            </w:pPr>
            <w:r>
              <w:t xml:space="preserve">Agent behaviour</w:t>
            </w:r>
          </w:p>
        </w:tc>
        <w:tc>
          <w:tcPr>
            <w:tcW w:w="964" w:type="dxa"/>
          </w:tcPr>
          <w:p>
            <w:pPr>
              <w:pStyle w:val="Celda"/>
            </w:pPr>
            <w:r>
              <w:t xml:space="preserve">No. of actions blocked by limits or intent-based access control</w:t>
            </w:r>
          </w:p>
        </w:tc>
        <w:tc>
          <w:tcPr>
            <w:tcW w:w="964" w:type="dxa"/>
          </w:tcPr>
          <w:p>
            <w:pPr>
              <w:pStyle w:val="Celda"/>
            </w:pPr>
            <w:r>
              <w:t xml:space="preserve">Action log (P18)</w:t>
            </w:r>
          </w:p>
        </w:tc>
        <w:tc>
          <w:tcPr>
            <w:tcW w:w="964" w:type="dxa"/>
          </w:tcPr>
          <w:p>
            <w:pPr>
              <w:pStyle w:val="Celda"/>
            </w:pPr>
            <w:r>
              <w:t xml:space="preserve">Continuous</w:t>
            </w:r>
          </w:p>
        </w:tc>
        <w:tc>
          <w:tcPr>
            <w:tcW w:w="964" w:type="dxa"/>
          </w:tcPr>
          <w:p>
            <w:pPr>
              <w:pStyle w:val="Celda"/>
            </w:pPr>
            <w:r>
              <w:t xml:space="preserve">0–3/day</w:t>
            </w:r>
          </w:p>
        </w:tc>
        <w:tc>
          <w:tcPr>
            <w:tcW w:w="964" w:type="dxa"/>
          </w:tcPr>
          <w:p>
            <w:pPr>
              <w:pStyle w:val="Celda"/>
            </w:pPr>
            <w:r>
              <w:t xml:space="preserve">&gt; 10/day</w:t>
            </w:r>
          </w:p>
        </w:tc>
        <w:tc>
          <w:tcPr>
            <w:tcW w:w="964" w:type="dxa"/>
          </w:tcPr>
          <w:p>
            <w:pPr>
              <w:pStyle w:val="Celda"/>
            </w:pPr>
            <w:r>
              <w:t xml:space="preserve">Any action executed outside limits</w:t>
            </w:r>
          </w:p>
        </w:tc>
        <w:tc>
          <w:tcPr>
            <w:tcW w:w="964" w:type="dxa"/>
          </w:tcPr>
          <w:p>
            <w:pPr>
              <w:pStyle w:val="Celda"/>
            </w:pPr>
            <w:r>
              <w:t xml:space="preserve">Information security</w:t>
            </w:r>
          </w:p>
        </w:tc>
      </w:tr>
      <w:tr>
        <w:tc>
          <w:tcPr>
            <w:tcW w:w="964" w:type="dxa"/>
          </w:tcPr>
          <w:p>
            <w:pPr>
              <w:pStyle w:val="Celda"/>
            </w:pPr>
            <w:r>
              <w:t xml:space="preserve">M-04 </w:t>
            </w:r>
            <w:r>
              <w:rPr>
                <w:i/>
              </w:rPr>
              <w:t xml:space="preserve">(illustrative example)</w:t>
            </w:r>
          </w:p>
        </w:tc>
        <w:tc>
          <w:tcPr>
            <w:tcW w:w="964" w:type="dxa"/>
          </w:tcPr>
          <w:p>
            <w:pPr>
              <w:pStyle w:val="Celda"/>
            </w:pPr>
            <w:r>
              <w:t xml:space="preserve">Input data freshness</w:t>
            </w:r>
          </w:p>
        </w:tc>
        <w:tc>
          <w:tcPr>
            <w:tcW w:w="964" w:type="dxa"/>
          </w:tcPr>
          <w:p>
            <w:pPr>
              <w:pStyle w:val="Celda"/>
            </w:pPr>
            <w:r>
              <w:t xml:space="preserve">Input data quality</w:t>
            </w:r>
          </w:p>
        </w:tc>
        <w:tc>
          <w:tcPr>
            <w:tcW w:w="964" w:type="dxa"/>
          </w:tcPr>
          <w:p>
            <w:pPr>
              <w:pStyle w:val="Celda"/>
            </w:pPr>
            <w:r>
              <w:t xml:space="preserve">Hours since the last successful load</w:t>
            </w:r>
          </w:p>
        </w:tc>
        <w:tc>
          <w:tcPr>
            <w:tcW w:w="964" w:type="dxa"/>
          </w:tcPr>
          <w:p>
            <w:pPr>
              <w:pStyle w:val="Celda"/>
            </w:pPr>
            <w:r>
              <w:t xml:space="preserve">Load process</w:t>
            </w:r>
          </w:p>
        </w:tc>
        <w:tc>
          <w:tcPr>
            <w:tcW w:w="964" w:type="dxa"/>
          </w:tcPr>
          <w:p>
            <w:pPr>
              <w:pStyle w:val="Celda"/>
            </w:pPr>
            <w:r>
              <w:t xml:space="preserve">Hourly</w:t>
            </w:r>
          </w:p>
        </w:tc>
        <w:tc>
          <w:tcPr>
            <w:tcW w:w="964" w:type="dxa"/>
          </w:tcPr>
          <w:p>
            <w:pPr>
              <w:pStyle w:val="Celda"/>
            </w:pPr>
            <w:r>
              <w:t xml:space="preserve">&lt; 2 h</w:t>
            </w:r>
          </w:p>
        </w:tc>
        <w:tc>
          <w:tcPr>
            <w:tcW w:w="964" w:type="dxa"/>
          </w:tcPr>
          <w:p>
            <w:pPr>
              <w:pStyle w:val="Celda"/>
            </w:pPr>
            <w:r>
              <w:t xml:space="preserve">&gt; 4 h</w:t>
            </w:r>
          </w:p>
        </w:tc>
        <w:tc>
          <w:tcPr>
            <w:tcW w:w="964" w:type="dxa"/>
          </w:tcPr>
          <w:p>
            <w:pPr>
              <w:pStyle w:val="Celda"/>
            </w:pPr>
            <w:r>
              <w:t xml:space="preserve">&gt; 12 h or no data</w:t>
            </w:r>
          </w:p>
        </w:tc>
        <w:tc>
          <w:tcPr>
            <w:tcW w:w="964" w:type="dxa"/>
          </w:tcPr>
          <w:p>
            <w:pPr>
              <w:pStyle w:val="Celda"/>
            </w:pPr>
            <w:r>
              <w:t xml:space="preserve">Technical on-call</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p>
      <w:pPr>
        <w:pStyle w:val="Separador"/>
      </w:pPr>
    </w:p>
    <w:p>
      <w:pPr>
        <w:pStyle w:val="Heading1"/>
      </w:pPr>
      <w:r>
        <w:t xml:space="preserve">4. Minimum metrics by type of system</w:t>
      </w:r>
    </w:p>
    <w:p>
      <w:r>
        <w:t xml:space="preserve">Tick those that apply and link the ID from block 3.</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Metric</w:t>
            </w:r>
          </w:p>
        </w:tc>
        <w:tc>
          <w:tcPr>
            <w:tcW w:w="1928" w:type="dxa"/>
            <w:shd w:val="clear" w:color="auto" w:fill="F2DFCE"/>
          </w:tcPr>
          <w:p>
            <w:pPr>
              <w:pStyle w:val="Celda"/>
            </w:pPr>
            <w:r>
              <w:rPr>
                <w:b/>
              </w:rPr>
              <w:t xml:space="preserve">Predictive ML</w:t>
            </w:r>
          </w:p>
        </w:tc>
        <w:tc>
          <w:tcPr>
            <w:tcW w:w="1928" w:type="dxa"/>
            <w:shd w:val="clear" w:color="auto" w:fill="F2DFCE"/>
          </w:tcPr>
          <w:p>
            <w:pPr>
              <w:pStyle w:val="Celda"/>
            </w:pPr>
            <w:r>
              <w:rPr>
                <w:b/>
              </w:rPr>
              <w:t xml:space="preserve">Generative AI</w:t>
            </w:r>
          </w:p>
        </w:tc>
        <w:tc>
          <w:tcPr>
            <w:tcW w:w="1928" w:type="dxa"/>
            <w:shd w:val="clear" w:color="auto" w:fill="F2DFCE"/>
          </w:tcPr>
          <w:p>
            <w:pPr>
              <w:pStyle w:val="Celda"/>
            </w:pPr>
            <w:r>
              <w:rPr>
                <w:b/>
              </w:rPr>
              <w:t xml:space="preserve">Agent</w:t>
            </w:r>
          </w:p>
        </w:tc>
        <w:tc>
          <w:tcPr>
            <w:tcW w:w="1928" w:type="dxa"/>
            <w:shd w:val="clear" w:color="auto" w:fill="F2DFCE"/>
          </w:tcPr>
          <w:p>
            <w:pPr>
              <w:pStyle w:val="Celda"/>
            </w:pPr>
            <w:r>
              <w:rPr>
                <w:b/>
              </w:rPr>
              <w:t xml:space="preserve">ID in block 3</w:t>
            </w:r>
          </w:p>
        </w:tc>
      </w:tr>
      <w:tr>
        <w:tc>
          <w:tcPr>
            <w:tcW w:w="1928" w:type="dxa"/>
          </w:tcPr>
          <w:p>
            <w:pPr>
              <w:pStyle w:val="Celda"/>
            </w:pPr>
            <w:r>
              <w:t xml:space="preserve">Performance against reference (with actual outcome when available)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Drift in input variables</w:t>
            </w:r>
          </w:p>
        </w:tc>
        <w:tc>
          <w:tcPr>
            <w:tcW w:w="1928" w:type="dxa"/>
          </w:tcPr>
          <w:p>
            <w:pPr>
              <w:pStyle w:val="Celda"/>
            </w:pPr>
            <w:r>
              <w:t xml:space="preserv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Usage drift: distribution of topics or intents and queries outside the validated scope</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Performance differences between groups </w:t>
            </w:r>
            <w:r>
              <w:rPr>
                <w:b/>
              </w:rPr>
              <w:t xml:space="preserve">(Enterprise)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Unequal responses in counterfactual pairs (mandatory if the system decides, recommends or communicates with people, or has direct exposure)</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Ungrounded responses or responses flagged as incorrect by users</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Detection of prompt injection attempts</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Detected leakage of confidential or personal data</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Actions executed, blocked and validated by people</w:t>
            </w:r>
          </w:p>
        </w:tc>
        <w:tc>
          <w:tcPr>
            <w:tcW w:w="1928" w:type="dxa"/>
          </w:tcPr>
          <w:p>
            <w:pPr>
              <w:pStyle w:val="Celda"/>
            </w:pPr>
          </w:p>
        </w:tc>
        <w:tc>
          <w:tcPr>
            <w:tcW w:w="1928" w:type="dxa"/>
          </w:tcPr>
          <w:p>
            <w:pPr>
              <w:pStyle w:val="Celda"/>
            </w:pP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Kill switch activations</w:t>
            </w:r>
          </w:p>
        </w:tc>
        <w:tc>
          <w:tcPr>
            <w:tcW w:w="1928" w:type="dxa"/>
          </w:tcPr>
          <w:p>
            <w:pPr>
              <w:pStyle w:val="Celda"/>
            </w:pPr>
          </w:p>
        </w:tc>
        <w:tc>
          <w:tcPr>
            <w:tcW w:w="1928" w:type="dxa"/>
          </w:tcPr>
          <w:p>
            <w:pPr>
              <w:pStyle w:val="Celda"/>
            </w:pP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Human override rate and validation time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Availability, latency and errors</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Consumption and infrastructure cost</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Days in cost-driven degraded mode and quality during the mode</w:t>
            </w:r>
          </w:p>
        </w:tc>
        <w:tc>
          <w:tcPr>
            <w:tcW w:w="1928" w:type="dxa"/>
          </w:tcPr>
          <w:p>
            <w:pPr>
              <w:pStyle w:val="Celda"/>
            </w:pP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r>
        <w:tc>
          <w:tcPr>
            <w:tcW w:w="1928" w:type="dxa"/>
          </w:tcPr>
          <w:p>
            <w:pPr>
              <w:pStyle w:val="Celda"/>
            </w:pPr>
            <w:r>
              <w:t xml:space="preserve">Effective use (adoption)</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r>
              <w:t xml:space="preserve">☐</w:t>
            </w:r>
          </w:p>
        </w:tc>
        <w:tc>
          <w:tcPr>
            <w:tcW w:w="1928" w:type="dxa"/>
          </w:tcPr>
          <w:p>
            <w:pPr>
              <w:pStyle w:val="Celda"/>
            </w:pPr>
          </w:p>
        </w:tc>
      </w:tr>
    </w:tbl>
    <w:p>
      <w:pPr>
        <w:pStyle w:val="Espacio"/>
      </w:pPr>
    </w:p>
    <w:p>
      <w:r>
        <w:t xml:space="preserve">References for generative AI and agents (document 52 §4.2.6, §4.2.7 and §10.3):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Usage reference</w:t>
            </w:r>
          </w:p>
        </w:tc>
        <w:tc>
          <w:tcPr>
            <w:tcW w:w="3213" w:type="dxa"/>
          </w:tcPr>
          <w:p>
            <w:pPr>
              <w:pStyle w:val="Celda"/>
            </w:pPr>
          </w:p>
        </w:tc>
        <w:tc>
          <w:tcPr>
            <w:tcW w:w="3213" w:type="dxa"/>
          </w:tcPr>
          <w:p>
            <w:pPr>
              <w:pStyle w:val="Celda"/>
            </w:pPr>
            <w:r>
              <w:t xml:space="preserve">Topics, intents and scope validated at G5, with their reference distribution (P16).</w:t>
            </w:r>
          </w:p>
        </w:tc>
      </w:tr>
      <w:tr>
        <w:tc>
          <w:tcPr>
            <w:tcW w:w="3213" w:type="dxa"/>
          </w:tcPr>
          <w:p>
            <w:pPr>
              <w:pStyle w:val="Celda"/>
            </w:pPr>
            <w:r>
              <w:t xml:space="preserve">Query classification</w:t>
            </w:r>
          </w:p>
        </w:tc>
        <w:tc>
          <w:tcPr>
            <w:tcW w:w="3213" w:type="dxa"/>
          </w:tcPr>
          <w:p>
            <w:pPr>
              <w:pStyle w:val="Celda"/>
            </w:pPr>
          </w:p>
        </w:tc>
        <w:tc>
          <w:tcPr>
            <w:tcW w:w="3213" w:type="dxa"/>
          </w:tcPr>
          <w:p>
            <w:pPr>
              <w:pStyle w:val="Celda"/>
            </w:pPr>
            <w:r>
              <w:t xml:space="preserve">Rules, classifier or human sampling; sample size and frequency.</w:t>
            </w:r>
          </w:p>
        </w:tc>
      </w:tr>
      <w:tr>
        <w:tc>
          <w:tcPr>
            <w:tcW w:w="3213" w:type="dxa"/>
          </w:tcPr>
          <w:p>
            <w:pPr>
              <w:pStyle w:val="Celda"/>
            </w:pPr>
            <w:r>
              <w:t xml:space="preserve">Counterfactual pairs</w:t>
            </w:r>
          </w:p>
        </w:tc>
        <w:tc>
          <w:tcPr>
            <w:tcW w:w="3213" w:type="dxa"/>
          </w:tcPr>
          <w:p>
            <w:pPr>
              <w:pStyle w:val="Celda"/>
            </w:pPr>
          </w:p>
        </w:tc>
        <w:tc>
          <w:tcPr>
            <w:tcW w:w="3213" w:type="dxa"/>
          </w:tcPr>
          <w:p>
            <w:pPr>
              <w:pStyle w:val="Celda"/>
            </w:pPr>
            <w:r>
              <w:t xml:space="preserve">Protected attributes or proxies tested (according to the impact assessment), number of pairs and what counts as a material difference (decision, amount, tone, refusal, completeness). Threshold in P17.</w:t>
            </w:r>
          </w:p>
        </w:tc>
      </w:tr>
      <w:tr>
        <w:tc>
          <w:tcPr>
            <w:tcW w:w="3213" w:type="dxa"/>
          </w:tcPr>
          <w:p>
            <w:pPr>
              <w:pStyle w:val="Celda"/>
            </w:pPr>
            <w:r>
              <w:t xml:space="preserve">Minimum quality in degraded mode</w:t>
            </w:r>
          </w:p>
        </w:tc>
        <w:tc>
          <w:tcPr>
            <w:tcW w:w="3213" w:type="dxa"/>
          </w:tcPr>
          <w:p>
            <w:pPr>
              <w:pStyle w:val="Celda"/>
            </w:pPr>
          </w:p>
        </w:tc>
        <w:tc>
          <w:tcPr>
            <w:tcW w:w="3213" w:type="dxa"/>
          </w:tcPr>
          <w:p>
            <w:pPr>
              <w:pStyle w:val="Celda"/>
            </w:pPr>
            <w:r>
              <w:t xml:space="preserve">Minimum value of the quality metric below which the system moves to the next level of the cascade; sampling at least doubled during the mode.</w:t>
            </w:r>
          </w:p>
        </w:tc>
      </w:tr>
    </w:tbl>
    <w:p>
      <w:pPr>
        <w:pStyle w:val="Espacio"/>
      </w:pPr>
    </w:p>
    <w:p>
      <w:pPr>
        <w:pStyle w:val="Separador"/>
      </w:pPr>
    </w:p>
    <w:p>
      <w:pPr>
        <w:pStyle w:val="Heading1"/>
      </w:pPr>
      <w:r>
        <w:t xml:space="preserve">5. Alert rules</w:t>
      </w:r>
    </w:p>
    <w:p>
      <w:r>
        <w:rPr>
          <w:b/>
        </w:rPr>
        <w:t xml:space="preserve">Proposed initial severity:</w:t>
      </w:r>
      <w:r>
        <w:t xml:space="preserve"> S1 Critical · S2 High · S3 Medium · S4 Low (confirmed using document 37). </w:t>
      </w:r>
      <w:r>
        <w:rPr>
          <w:b/>
        </w:rPr>
        <w:t xml:space="preserve">Associated action:</w:t>
      </w:r>
      <w:r>
        <w:t xml:space="preserve"> Review · Apply P24 procedure · Open incident (P26) · Activate rollback trigger (P19) · Kill switch.</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Alert ID</w:t>
            </w:r>
          </w:p>
        </w:tc>
        <w:tc>
          <w:tcPr>
            <w:tcW w:w="1205" w:type="dxa"/>
            <w:shd w:val="clear" w:color="auto" w:fill="F2DFCE"/>
          </w:tcPr>
          <w:p>
            <w:pPr>
              <w:pStyle w:val="Celda"/>
            </w:pPr>
            <w:r>
              <w:rPr>
                <w:b/>
              </w:rPr>
              <w:t xml:space="preserve">Condition (metric and threshold)</w:t>
            </w:r>
          </w:p>
        </w:tc>
        <w:tc>
          <w:tcPr>
            <w:tcW w:w="1205" w:type="dxa"/>
            <w:shd w:val="clear" w:color="auto" w:fill="F2DFCE"/>
          </w:tcPr>
          <w:p>
            <w:pPr>
              <w:pStyle w:val="Celda"/>
            </w:pPr>
            <w:r>
              <w:rPr>
                <w:b/>
              </w:rPr>
              <w:t xml:space="preserve">Initial severity</w:t>
            </w:r>
          </w:p>
        </w:tc>
        <w:tc>
          <w:tcPr>
            <w:tcW w:w="1205" w:type="dxa"/>
            <w:shd w:val="clear" w:color="auto" w:fill="F2DFCE"/>
          </w:tcPr>
          <w:p>
            <w:pPr>
              <w:pStyle w:val="Celda"/>
            </w:pPr>
            <w:r>
              <w:rPr>
                <w:b/>
              </w:rPr>
              <w:t xml:space="preserve">Recipient</w:t>
            </w:r>
          </w:p>
        </w:tc>
        <w:tc>
          <w:tcPr>
            <w:tcW w:w="1205" w:type="dxa"/>
            <w:shd w:val="clear" w:color="auto" w:fill="F2DFCE"/>
          </w:tcPr>
          <w:p>
            <w:pPr>
              <w:pStyle w:val="Celda"/>
            </w:pPr>
            <w:r>
              <w:rPr>
                <w:b/>
              </w:rPr>
              <w:t xml:space="preserve">Channel</w:t>
            </w:r>
          </w:p>
        </w:tc>
        <w:tc>
          <w:tcPr>
            <w:tcW w:w="1205" w:type="dxa"/>
            <w:shd w:val="clear" w:color="auto" w:fill="F2DFCE"/>
          </w:tcPr>
          <w:p>
            <w:pPr>
              <w:pStyle w:val="Celda"/>
            </w:pPr>
            <w:r>
              <w:rPr>
                <w:b/>
              </w:rPr>
              <w:t xml:space="preserve">Maximum acknowledgement time</w:t>
            </w:r>
          </w:p>
        </w:tc>
        <w:tc>
          <w:tcPr>
            <w:tcW w:w="1205" w:type="dxa"/>
            <w:shd w:val="clear" w:color="auto" w:fill="F2DFCE"/>
          </w:tcPr>
          <w:p>
            <w:pPr>
              <w:pStyle w:val="Celda"/>
            </w:pPr>
            <w:r>
              <w:rPr>
                <w:b/>
              </w:rPr>
              <w:t xml:space="preserve">Associated action</w:t>
            </w:r>
          </w:p>
        </w:tc>
        <w:tc>
          <w:tcPr>
            <w:tcW w:w="1205" w:type="dxa"/>
            <w:shd w:val="clear" w:color="auto" w:fill="F2DFCE"/>
          </w:tcPr>
          <w:p>
            <w:pPr>
              <w:pStyle w:val="Celda"/>
            </w:pPr>
            <w:r>
              <w:rPr>
                <w:b/>
              </w:rPr>
              <w:t xml:space="preserve">P19 trigger</w:t>
            </w:r>
          </w:p>
        </w:tc>
      </w:tr>
      <w:tr>
        <w:tc>
          <w:tcPr>
            <w:tcW w:w="1205" w:type="dxa"/>
          </w:tcPr>
          <w:p>
            <w:pPr>
              <w:pStyle w:val="Celda"/>
            </w:pPr>
            <w:r>
              <w:t xml:space="preserve">AL-01 </w:t>
            </w:r>
            <w:r>
              <w:rPr>
                <w:i/>
              </w:rPr>
              <w:t xml:space="preserve">(illustrative example)</w:t>
            </w:r>
          </w:p>
        </w:tc>
        <w:tc>
          <w:tcPr>
            <w:tcW w:w="1205" w:type="dxa"/>
          </w:tcPr>
          <w:p>
            <w:pPr>
              <w:pStyle w:val="Celda"/>
            </w:pPr>
            <w:r>
              <w:t xml:space="preserve">M-01 &gt; 25% on two consecutive days</w:t>
            </w:r>
          </w:p>
        </w:tc>
        <w:tc>
          <w:tcPr>
            <w:tcW w:w="1205" w:type="dxa"/>
          </w:tcPr>
          <w:p>
            <w:pPr>
              <w:pStyle w:val="Celda"/>
            </w:pPr>
            <w:r>
              <w:t xml:space="preserve">S2 High</w:t>
            </w:r>
          </w:p>
        </w:tc>
        <w:tc>
          <w:tcPr>
            <w:tcW w:w="1205" w:type="dxa"/>
          </w:tcPr>
          <w:p>
            <w:pPr>
              <w:pStyle w:val="Celda"/>
            </w:pPr>
            <w:r>
              <w:t xml:space="preserve">AI Operations Owner</w:t>
            </w:r>
          </w:p>
        </w:tc>
        <w:tc>
          <w:tcPr>
            <w:tcW w:w="1205" w:type="dxa"/>
          </w:tcPr>
          <w:p>
            <w:pPr>
              <w:pStyle w:val="Celda"/>
            </w:pPr>
            <w:r>
              <w:t xml:space="preserve">On-call tool</w:t>
            </w:r>
          </w:p>
        </w:tc>
        <w:tc>
          <w:tcPr>
            <w:tcW w:w="1205" w:type="dxa"/>
          </w:tcPr>
          <w:p>
            <w:pPr>
              <w:pStyle w:val="Celda"/>
            </w:pPr>
            <w:r>
              <w:t xml:space="preserve">2 working hours</w:t>
            </w:r>
          </w:p>
        </w:tc>
        <w:tc>
          <w:tcPr>
            <w:tcW w:w="1205" w:type="dxa"/>
          </w:tcPr>
          <w:p>
            <w:pPr>
              <w:pStyle w:val="Celda"/>
            </w:pPr>
            <w:r>
              <w:t xml:space="preserve">Activate rollback trigger</w:t>
            </w:r>
          </w:p>
        </w:tc>
        <w:tc>
          <w:tcPr>
            <w:tcW w:w="1205" w:type="dxa"/>
          </w:tcPr>
          <w:p>
            <w:pPr>
              <w:pStyle w:val="Celda"/>
            </w:pPr>
            <w:r>
              <w:t xml:space="preserve">D-01</w:t>
            </w:r>
          </w:p>
        </w:tc>
      </w:tr>
      <w:tr>
        <w:tc>
          <w:tcPr>
            <w:tcW w:w="1205" w:type="dxa"/>
          </w:tcPr>
          <w:p>
            <w:pPr>
              <w:pStyle w:val="Celda"/>
            </w:pPr>
            <w:r>
              <w:t xml:space="preserve">AL-02 </w:t>
            </w:r>
            <w:r>
              <w:rPr>
                <w:i/>
              </w:rPr>
              <w:t xml:space="preserve">(illustrative example)</w:t>
            </w:r>
          </w:p>
        </w:tc>
        <w:tc>
          <w:tcPr>
            <w:tcW w:w="1205" w:type="dxa"/>
          </w:tcPr>
          <w:p>
            <w:pPr>
              <w:pStyle w:val="Celda"/>
            </w:pPr>
            <w:r>
              <w:t xml:space="preserve">M-03: action executed outside limits</w:t>
            </w:r>
          </w:p>
        </w:tc>
        <w:tc>
          <w:tcPr>
            <w:tcW w:w="1205" w:type="dxa"/>
          </w:tcPr>
          <w:p>
            <w:pPr>
              <w:pStyle w:val="Celda"/>
            </w:pPr>
            <w:r>
              <w:t xml:space="preserve">S1 Critical</w:t>
            </w:r>
          </w:p>
        </w:tc>
        <w:tc>
          <w:tcPr>
            <w:tcW w:w="1205" w:type="dxa"/>
          </w:tcPr>
          <w:p>
            <w:pPr>
              <w:pStyle w:val="Celda"/>
            </w:pPr>
            <w:r>
              <w:t xml:space="preserve">Technical on-call and security</w:t>
            </w:r>
          </w:p>
        </w:tc>
        <w:tc>
          <w:tcPr>
            <w:tcW w:w="1205" w:type="dxa"/>
          </w:tcPr>
          <w:p>
            <w:pPr>
              <w:pStyle w:val="Celda"/>
            </w:pPr>
            <w:r>
              <w:t xml:space="preserve">Immediate notification</w:t>
            </w:r>
          </w:p>
        </w:tc>
        <w:tc>
          <w:tcPr>
            <w:tcW w:w="1205" w:type="dxa"/>
          </w:tcPr>
          <w:p>
            <w:pPr>
              <w:pStyle w:val="Celda"/>
            </w:pPr>
            <w:r>
              <w:t xml:space="preserve">15 minutes</w:t>
            </w:r>
          </w:p>
        </w:tc>
        <w:tc>
          <w:tcPr>
            <w:tcW w:w="1205" w:type="dxa"/>
          </w:tcPr>
          <w:p>
            <w:pPr>
              <w:pStyle w:val="Celda"/>
            </w:pPr>
            <w:r>
              <w:t xml:space="preserve">Kill switch and open incident</w:t>
            </w:r>
          </w:p>
        </w:tc>
        <w:tc>
          <w:tcPr>
            <w:tcW w:w="1205" w:type="dxa"/>
          </w:tcPr>
          <w:p>
            <w:pPr>
              <w:pStyle w:val="Celda"/>
            </w:pPr>
            <w:r>
              <w:t xml:space="preserve">D-02</w:t>
            </w:r>
          </w:p>
        </w:tc>
      </w:tr>
      <w:tr>
        <w:tc>
          <w:tcPr>
            <w:tcW w:w="1205" w:type="dxa"/>
          </w:tcPr>
          <w:p>
            <w:pPr>
              <w:pStyle w:val="Celda"/>
            </w:pPr>
            <w:r>
              <w:t xml:space="preserve">AL-03 </w:t>
            </w:r>
            <w:r>
              <w:rPr>
                <w:i/>
              </w:rPr>
              <w:t xml:space="preserve">(illustrative example)</w:t>
            </w:r>
          </w:p>
        </w:tc>
        <w:tc>
          <w:tcPr>
            <w:tcW w:w="1205" w:type="dxa"/>
          </w:tcPr>
          <w:p>
            <w:pPr>
              <w:pStyle w:val="Celda"/>
            </w:pPr>
            <w:r>
              <w:t xml:space="preserve">Any critical metric with no data for more than one cycle</w:t>
            </w:r>
          </w:p>
        </w:tc>
        <w:tc>
          <w:tcPr>
            <w:tcW w:w="1205" w:type="dxa"/>
          </w:tcPr>
          <w:p>
            <w:pPr>
              <w:pStyle w:val="Celda"/>
            </w:pPr>
            <w:r>
              <w:t xml:space="preserve">S3 Medium</w:t>
            </w:r>
          </w:p>
        </w:tc>
        <w:tc>
          <w:tcPr>
            <w:tcW w:w="1205" w:type="dxa"/>
          </w:tcPr>
          <w:p>
            <w:pPr>
              <w:pStyle w:val="Celda"/>
            </w:pPr>
            <w:r>
              <w:t xml:space="preserve">Technical on-call</w:t>
            </w:r>
          </w:p>
        </w:tc>
        <w:tc>
          <w:tcPr>
            <w:tcW w:w="1205" w:type="dxa"/>
          </w:tcPr>
          <w:p>
            <w:pPr>
              <w:pStyle w:val="Celda"/>
            </w:pPr>
            <w:r>
              <w:t xml:space="preserve">On-call tool</w:t>
            </w:r>
          </w:p>
        </w:tc>
        <w:tc>
          <w:tcPr>
            <w:tcW w:w="1205" w:type="dxa"/>
          </w:tcPr>
          <w:p>
            <w:pPr>
              <w:pStyle w:val="Celda"/>
            </w:pPr>
            <w:r>
              <w:t xml:space="preserve">4 working hours</w:t>
            </w:r>
          </w:p>
        </w:tc>
        <w:tc>
          <w:tcPr>
            <w:tcW w:w="1205" w:type="dxa"/>
          </w:tcPr>
          <w:p>
            <w:pPr>
              <w:pStyle w:val="Celda"/>
            </w:pPr>
            <w:r>
              <w:t xml:space="preserve">Apply P24 procedure</w:t>
            </w:r>
          </w:p>
        </w:tc>
        <w:tc>
          <w:tcPr>
            <w:tcW w:w="1205" w:type="dxa"/>
          </w:tcPr>
          <w:p>
            <w:pPr>
              <w:pStyle w:val="Celda"/>
            </w:pPr>
            <w:r>
              <w:t xml:space="preserve">—</w:t>
            </w:r>
          </w:p>
        </w:tc>
      </w:tr>
      <w:tr>
        <w:tc>
          <w:tcPr>
            <w:tcW w:w="1205" w:type="dxa"/>
          </w:tcPr>
          <w:p>
            <w:pPr>
              <w:pStyle w:val="Celda"/>
            </w:pPr>
            <w:r>
              <w:t xml:space="preserve">AL-04 </w:t>
            </w:r>
            <w:r>
              <w:rPr>
                <w:i/>
              </w:rPr>
              <w:t xml:space="preserve">(illustrative example)</w:t>
            </w:r>
          </w:p>
        </w:tc>
        <w:tc>
          <w:tcPr>
            <w:tcW w:w="1205" w:type="dxa"/>
          </w:tcPr>
          <w:p>
            <w:pPr>
              <w:pStyle w:val="Celda"/>
            </w:pPr>
            <w:r>
              <w:t xml:space="preserve">Month-to-date cost ≥ 100% of the budget</w:t>
            </w:r>
          </w:p>
        </w:tc>
        <w:tc>
          <w:tcPr>
            <w:tcW w:w="1205" w:type="dxa"/>
          </w:tcPr>
          <w:p>
            <w:pPr>
              <w:pStyle w:val="Celda"/>
            </w:pPr>
            <w:r>
              <w:t xml:space="preserve">S4 Low</w:t>
            </w:r>
          </w:p>
        </w:tc>
        <w:tc>
          <w:tcPr>
            <w:tcW w:w="1205" w:type="dxa"/>
          </w:tcPr>
          <w:p>
            <w:pPr>
              <w:pStyle w:val="Celda"/>
            </w:pPr>
            <w:r>
              <w:t xml:space="preserve">AI Operations Owner</w:t>
            </w:r>
          </w:p>
        </w:tc>
        <w:tc>
          <w:tcPr>
            <w:tcW w:w="1205" w:type="dxa"/>
          </w:tcPr>
          <w:p>
            <w:pPr>
              <w:pStyle w:val="Celda"/>
            </w:pPr>
            <w:r>
              <w:t xml:space="preserve">On-call tool</w:t>
            </w:r>
          </w:p>
        </w:tc>
        <w:tc>
          <w:tcPr>
            <w:tcW w:w="1205" w:type="dxa"/>
          </w:tcPr>
          <w:p>
            <w:pPr>
              <w:pStyle w:val="Celda"/>
            </w:pPr>
            <w:r>
              <w:t xml:space="preserve">4 working hours</w:t>
            </w:r>
          </w:p>
        </w:tc>
        <w:tc>
          <w:tcPr>
            <w:tcW w:w="1205" w:type="dxa"/>
          </w:tcPr>
          <w:p>
            <w:pPr>
              <w:pStyle w:val="Celda"/>
            </w:pPr>
            <w:r>
              <w:t xml:space="preserve">Apply P24 procedure (cost-driven degradation cascade, level N2)</w:t>
            </w:r>
          </w:p>
        </w:tc>
        <w:tc>
          <w:tcPr>
            <w:tcW w:w="1205" w:type="dxa"/>
          </w:tcPr>
          <w:p>
            <w:pPr>
              <w:pStyle w:val="Celda"/>
            </w:pPr>
            <w:r>
              <w:t xml:space="preserve">D-04</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6. Dashboards and recipients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Dashboard or report</w:t>
            </w:r>
          </w:p>
        </w:tc>
        <w:tc>
          <w:tcPr>
            <w:tcW w:w="2410" w:type="dxa"/>
            <w:shd w:val="clear" w:color="auto" w:fill="F2DFCE"/>
          </w:tcPr>
          <w:p>
            <w:pPr>
              <w:pStyle w:val="Celda"/>
            </w:pPr>
            <w:r>
              <w:rPr>
                <w:b/>
              </w:rPr>
              <w:t xml:space="preserve">Recipients</w:t>
            </w:r>
          </w:p>
        </w:tc>
        <w:tc>
          <w:tcPr>
            <w:tcW w:w="2410" w:type="dxa"/>
            <w:shd w:val="clear" w:color="auto" w:fill="F2DFCE"/>
          </w:tcPr>
          <w:p>
            <w:pPr>
              <w:pStyle w:val="Celda"/>
            </w:pPr>
            <w:r>
              <w:rPr>
                <w:b/>
              </w:rPr>
              <w:t xml:space="preserve">Content</w:t>
            </w:r>
          </w:p>
        </w:tc>
        <w:tc>
          <w:tcPr>
            <w:tcW w:w="2410" w:type="dxa"/>
            <w:shd w:val="clear" w:color="auto" w:fill="F2DFCE"/>
          </w:tcPr>
          <w:p>
            <w:pPr>
              <w:pStyle w:val="Celda"/>
            </w:pPr>
            <w:r>
              <w:rPr>
                <w:b/>
              </w:rPr>
              <w:t xml:space="preserve">Frequency</w:t>
            </w:r>
          </w:p>
        </w:tc>
      </w:tr>
      <w:tr>
        <w:tc>
          <w:tcPr>
            <w:tcW w:w="2410" w:type="dxa"/>
          </w:tcPr>
          <w:p>
            <w:pPr>
              <w:pStyle w:val="Celda"/>
            </w:pPr>
            <w:r>
              <w:t xml:space="preserve">Operational dashboard</w:t>
            </w:r>
          </w:p>
        </w:tc>
        <w:tc>
          <w:tcPr>
            <w:tcW w:w="2410" w:type="dxa"/>
          </w:tcPr>
          <w:p>
            <w:pPr>
              <w:pStyle w:val="Celda"/>
            </w:pPr>
            <w:r>
              <w:t xml:space="preserve">Operations owner and on-call</w:t>
            </w:r>
          </w:p>
        </w:tc>
        <w:tc>
          <w:tcPr>
            <w:tcW w:w="2410" w:type="dxa"/>
          </w:tcPr>
          <w:p>
            <w:pPr>
              <w:pStyle w:val="Celda"/>
            </w:pPr>
            <w:r>
              <w:t xml:space="preserve">All block 3 metrics in near real time</w:t>
            </w:r>
          </w:p>
        </w:tc>
        <w:tc>
          <w:tcPr>
            <w:tcW w:w="2410" w:type="dxa"/>
          </w:tcPr>
          <w:p>
            <w:pPr>
              <w:pStyle w:val="Celda"/>
            </w:pPr>
            <w:r>
              <w:t xml:space="preserve">Continuous</w:t>
            </w:r>
          </w:p>
        </w:tc>
      </w:tr>
      <w:tr>
        <w:tc>
          <w:tcPr>
            <w:tcW w:w="2410" w:type="dxa"/>
          </w:tcPr>
          <w:p>
            <w:pPr>
              <w:pStyle w:val="Celda"/>
            </w:pPr>
            <w:r>
              <w:t xml:space="preserve">Oversight report</w:t>
            </w:r>
          </w:p>
        </w:tc>
        <w:tc>
          <w:tcPr>
            <w:tcW w:w="2410" w:type="dxa"/>
          </w:tcPr>
          <w:p>
            <w:pPr>
              <w:pStyle w:val="Celda"/>
            </w:pPr>
            <w:r>
              <w:t xml:space="preserve">Product owner and supervisors</w:t>
            </w:r>
          </w:p>
        </w:tc>
        <w:tc>
          <w:tcPr>
            <w:tcW w:w="2410" w:type="dxa"/>
          </w:tcPr>
          <w:p>
            <w:pPr>
              <w:pStyle w:val="Celda"/>
            </w:pPr>
            <w:r>
              <w:t xml:space="preserve">Human oversight indicators and complaints</w:t>
            </w:r>
          </w:p>
        </w:tc>
        <w:tc>
          <w:tcPr>
            <w:tcW w:w="2410" w:type="dxa"/>
          </w:tcPr>
          <w:p>
            <w:pPr>
              <w:pStyle w:val="Celda"/>
            </w:pPr>
            <w:r>
              <w:t xml:space="preserve">Weekly</w:t>
            </w:r>
          </w:p>
        </w:tc>
      </w:tr>
      <w:tr>
        <w:tc>
          <w:tcPr>
            <w:tcW w:w="2410" w:type="dxa"/>
          </w:tcPr>
          <w:p>
            <w:pPr>
              <w:pStyle w:val="Celda"/>
            </w:pPr>
            <w:r>
              <w:t xml:space="preserve">Report for R6</w:t>
            </w:r>
          </w:p>
        </w:tc>
        <w:tc>
          <w:tcPr>
            <w:tcW w:w="2410" w:type="dxa"/>
          </w:tcPr>
          <w:p>
            <w:pPr>
              <w:pStyle w:val="Celda"/>
            </w:pPr>
            <w:r>
              <w:t xml:space="preserve">R6 decision-maker</w:t>
            </w:r>
          </w:p>
        </w:tc>
        <w:tc>
          <w:tcPr>
            <w:tcW w:w="2410" w:type="dxa"/>
          </w:tcPr>
          <w:p>
            <w:pPr>
              <w:pStyle w:val="Celda"/>
            </w:pPr>
            <w:r>
              <w:t xml:space="preserve">Trends, alerts, incidents and value</w:t>
            </w:r>
          </w:p>
        </w:tc>
        <w:tc>
          <w:tcPr>
            <w:tcW w:w="2410" w:type="dxa"/>
          </w:tcPr>
          <w:p>
            <w:pPr>
              <w:pStyle w:val="Celda"/>
            </w:pPr>
            <w:r>
              <w:t xml:space="preserve">According to intensity</w:t>
            </w:r>
          </w:p>
        </w:tc>
      </w:tr>
      <w:tr>
        <w:tc>
          <w:tcPr>
            <w:tcW w:w="2410" w:type="dxa"/>
          </w:tcPr>
          <w:p>
            <w:pPr>
              <w:pStyle w:val="Celda"/>
            </w:pPr>
            <w:r>
              <w:t xml:space="preserve">Data for the board dashboard </w:t>
            </w:r>
            <w:r>
              <w:rPr>
                <w:b/>
              </w:rPr>
              <w:t xml:space="preserve">(Enterprise)</w:t>
            </w:r>
          </w:p>
        </w:tc>
        <w:tc>
          <w:tcPr>
            <w:tcW w:w="2410" w:type="dxa"/>
          </w:tcPr>
          <w:p>
            <w:pPr>
              <w:pStyle w:val="Celda"/>
            </w:pPr>
            <w:r>
              <w:t xml:space="preserve">AI Office</w:t>
            </w:r>
          </w:p>
        </w:tc>
        <w:tc>
          <w:tcPr>
            <w:tcW w:w="2410" w:type="dxa"/>
          </w:tcPr>
          <w:p>
            <w:pPr>
              <w:pStyle w:val="Celda"/>
            </w:pPr>
            <w:r>
              <w:t xml:space="preserve">Aggregated indicators in the dashboard format (T17)</w:t>
            </w:r>
          </w:p>
        </w:tc>
        <w:tc>
          <w:tcPr>
            <w:tcW w:w="2410" w:type="dxa"/>
          </w:tcPr>
          <w:p>
            <w:pPr>
              <w:pStyle w:val="Celda"/>
            </w:pPr>
            <w:r>
              <w:t xml:space="preserve">Quarterly</w:t>
            </w:r>
          </w:p>
        </w:tc>
      </w:tr>
    </w:tbl>
    <w:p>
      <w:pPr>
        <w:pStyle w:val="Espacio"/>
      </w:pPr>
    </w:p>
    <w:p>
      <w:pPr>
        <w:pStyle w:val="Separador"/>
      </w:pPr>
    </w:p>
    <w:p>
      <w:pPr>
        <w:pStyle w:val="Heading1"/>
      </w:pPr>
      <w:r>
        <w:t xml:space="preserve">7. Configuration testing</w:t>
      </w:r>
    </w:p>
    <w:p>
      <w:r>
        <w:t xml:space="preserve">Each alert with a rollback, kill switch or incident action is tested before G5.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Alert ID</w:t>
            </w:r>
          </w:p>
        </w:tc>
        <w:tc>
          <w:tcPr>
            <w:tcW w:w="1606" w:type="dxa"/>
            <w:shd w:val="clear" w:color="auto" w:fill="F2DFCE"/>
          </w:tcPr>
          <w:p>
            <w:pPr>
              <w:pStyle w:val="Celda"/>
            </w:pPr>
            <w:r>
              <w:rPr>
                <w:b/>
              </w:rPr>
              <w:t xml:space="preserve">Test date</w:t>
            </w:r>
          </w:p>
        </w:tc>
        <w:tc>
          <w:tcPr>
            <w:tcW w:w="1606" w:type="dxa"/>
            <w:shd w:val="clear" w:color="auto" w:fill="F2DFCE"/>
          </w:tcPr>
          <w:p>
            <w:pPr>
              <w:pStyle w:val="Celda"/>
            </w:pPr>
            <w:r>
              <w:rPr>
                <w:b/>
              </w:rPr>
              <w:t xml:space="preserve">Method (Simulation of the condition · Injection of test data · Other)</w:t>
            </w:r>
          </w:p>
        </w:tc>
        <w:tc>
          <w:tcPr>
            <w:tcW w:w="1606" w:type="dxa"/>
            <w:shd w:val="clear" w:color="auto" w:fill="F2DFCE"/>
          </w:tcPr>
          <w:p>
            <w:pPr>
              <w:pStyle w:val="Celda"/>
            </w:pPr>
            <w:r>
              <w:rPr>
                <w:b/>
              </w:rPr>
              <w:t xml:space="preserve">Did it reach the recipient on time? (Yes · No)</w:t>
            </w:r>
          </w:p>
        </w:tc>
        <w:tc>
          <w:tcPr>
            <w:tcW w:w="1606" w:type="dxa"/>
            <w:shd w:val="clear" w:color="auto" w:fill="F2DFCE"/>
          </w:tcPr>
          <w:p>
            <w:pPr>
              <w:pStyle w:val="Celda"/>
            </w:pPr>
            <w:r>
              <w:rPr>
                <w:b/>
              </w:rPr>
              <w:t xml:space="preserve">Result (Passed · Not passed)</w:t>
            </w:r>
          </w:p>
        </w:tc>
        <w:tc>
          <w:tcPr>
            <w:tcW w:w="1606" w:type="dxa"/>
            <w:shd w:val="clear" w:color="auto" w:fill="F2DFCE"/>
          </w:tcPr>
          <w:p>
            <w:pPr>
              <w:pStyle w:val="Celda"/>
            </w:pPr>
            <w:r>
              <w:rPr>
                <w:b/>
              </w:rPr>
              <w:t xml:space="preserve">Observations</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8. Threshold review</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Review frequency</w:t>
            </w:r>
          </w:p>
        </w:tc>
        <w:tc>
          <w:tcPr>
            <w:tcW w:w="3213" w:type="dxa"/>
          </w:tcPr>
          <w:p>
            <w:pPr>
              <w:pStyle w:val="Celda"/>
            </w:pPr>
          </w:p>
        </w:tc>
        <w:tc>
          <w:tcPr>
            <w:tcW w:w="3213" w:type="dxa"/>
          </w:tcPr>
          <w:p>
            <w:pPr>
              <w:pStyle w:val="Celda"/>
            </w:pPr>
            <w:r>
              <w:t xml:space="preserve">At least at each R6.</w:t>
            </w:r>
          </w:p>
        </w:tc>
      </w:tr>
      <w:tr>
        <w:tc>
          <w:tcPr>
            <w:tcW w:w="3213" w:type="dxa"/>
          </w:tcPr>
          <w:p>
            <w:pPr>
              <w:pStyle w:val="Celda"/>
            </w:pPr>
            <w:r>
              <w:t xml:space="preserve">Who proposes changes</w:t>
            </w:r>
          </w:p>
        </w:tc>
        <w:tc>
          <w:tcPr>
            <w:tcW w:w="3213" w:type="dxa"/>
          </w:tcPr>
          <w:p>
            <w:pPr>
              <w:pStyle w:val="Celda"/>
            </w:pPr>
          </w:p>
        </w:tc>
        <w:tc>
          <w:tcPr>
            <w:tcW w:w="3213" w:type="dxa"/>
          </w:tcPr>
          <w:p>
            <w:pPr>
              <w:pStyle w:val="Celda"/>
            </w:pPr>
            <w:r>
              <w:t xml:space="preserve">AI Operations Owner.</w:t>
            </w:r>
          </w:p>
        </w:tc>
      </w:tr>
      <w:tr>
        <w:tc>
          <w:tcPr>
            <w:tcW w:w="3213" w:type="dxa"/>
          </w:tcPr>
          <w:p>
            <w:pPr>
              <w:pStyle w:val="Celda"/>
            </w:pPr>
            <w:r>
              <w:t xml:space="preserve">Who approves changes</w:t>
            </w:r>
          </w:p>
        </w:tc>
        <w:tc>
          <w:tcPr>
            <w:tcW w:w="3213" w:type="dxa"/>
          </w:tcPr>
          <w:p>
            <w:pPr>
              <w:pStyle w:val="Celda"/>
            </w:pPr>
          </w:p>
        </w:tc>
        <w:tc>
          <w:tcPr>
            <w:tcW w:w="3213" w:type="dxa"/>
          </w:tcPr>
          <w:p>
            <w:pPr>
              <w:pStyle w:val="Celda"/>
            </w:pPr>
            <w:r>
              <w:t xml:space="preserve">Technical owner with risk clearance for critical thresholds.</w:t>
            </w:r>
          </w:p>
        </w:tc>
      </w:tr>
      <w:tr>
        <w:tc>
          <w:tcPr>
            <w:tcW w:w="3213" w:type="dxa"/>
          </w:tcPr>
          <w:p>
            <w:pPr>
              <w:pStyle w:val="Celda"/>
            </w:pPr>
            <w:r>
              <w:t xml:space="preserve">Threshold change log</w:t>
            </w:r>
          </w:p>
        </w:tc>
        <w:tc>
          <w:tcPr>
            <w:tcW w:w="3213" w:type="dxa"/>
          </w:tcPr>
          <w:p>
            <w:pPr>
              <w:pStyle w:val="Celda"/>
            </w:pPr>
          </w:p>
        </w:tc>
        <w:tc>
          <w:tcPr>
            <w:tcW w:w="3213" w:type="dxa"/>
          </w:tcPr>
          <w:p>
            <w:pPr>
              <w:pStyle w:val="Celda"/>
            </w:pPr>
            <w:r>
              <w:t xml:space="preserve">P27, with reason and previous value.</w:t>
            </w:r>
          </w:p>
        </w:tc>
      </w:tr>
      <w:tr>
        <w:tc>
          <w:tcPr>
            <w:tcW w:w="3213" w:type="dxa"/>
          </w:tcPr>
          <w:p>
            <w:pPr>
              <w:pStyle w:val="Celda"/>
            </w:pPr>
            <w:r>
              <w:t xml:space="preserve">Recalibration after relevant changes </w:t>
            </w:r>
            <w:r>
              <w:rPr>
                <w:b/>
              </w:rPr>
              <w:t xml:space="preserve">(Enterprise)</w:t>
            </w:r>
          </w:p>
        </w:tc>
        <w:tc>
          <w:tcPr>
            <w:tcW w:w="3213" w:type="dxa"/>
          </w:tcPr>
          <w:p>
            <w:pPr>
              <w:pStyle w:val="Celda"/>
            </w:pPr>
          </w:p>
        </w:tc>
        <w:tc>
          <w:tcPr>
            <w:tcW w:w="3213" w:type="dxa"/>
          </w:tcPr>
          <w:p>
            <w:pPr>
              <w:pStyle w:val="Celda"/>
            </w:pPr>
            <w:r>
              <w:t xml:space="preserve">A new model version or population entails reviewing reference values.</w:t>
            </w:r>
          </w:p>
        </w:tc>
      </w:tr>
    </w:tbl>
    <w:p>
      <w:pPr>
        <w:pStyle w:val="Espacio"/>
      </w:pPr>
    </w:p>
    <w:p>
      <w:pPr>
        <w:pStyle w:val="Separador"/>
      </w:pPr>
    </w:p>
    <w:p>
      <w:pPr>
        <w:pStyle w:val="Heading1"/>
      </w:pPr>
      <w:r>
        <w:t xml:space="preserve">9. Quality criteria</w:t>
      </w:r>
    </w:p>
    <w:p>
      <w:r>
        <w:t xml:space="preserve">Formal G4, G5 and R6 criteria in document 21.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Each metric has a definition, source, reference, thresholds and owner.</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The minimum metrics for the type of system are covered.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Every P19 trigger and every P17 oversight indicator has an alert.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absence of data generates an alert.</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Critical alerts have been tested and reach the recipient on time.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Threshold changes are recorded with their reason.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For generative AI and agents, the usage reference, the counterfactual pairs where applicable and the minimum quality in degraded mode are set.</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Co-author</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Clearance of critical thresholds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As per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is not part of the team that builds or operates the system.</w:t>
      </w:r>
    </w:p>
    <w:p>
      <w:pPr>
        <w:pStyle w:val="Separador"/>
      </w:pPr>
    </w:p>
    <w:p>
      <w:pPr>
        <w:pStyle w:val="Heading1"/>
      </w:pPr>
      <w:r>
        <w:t xml:space="preserve">11.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r>
        <w:tc>
          <w:tcPr>
            <w:tcW w:w="3213" w:type="dxa"/>
          </w:tcPr>
          <w:p>
            <w:pPr>
              <w:pStyle w:val="Celda"/>
            </w:pPr>
            <w:r>
              <w:t xml:space="preserve">0.1</w:t>
            </w:r>
          </w:p>
        </w:tc>
        <w:tc>
          <w:tcPr>
            <w:tcW w:w="3213" w:type="dxa"/>
          </w:tcPr>
          <w:p>
            <w:pPr>
              <w:pStyle w:val="Celda"/>
            </w:pPr>
            <w:r>
              <w:t xml:space="preserve">18-09-2026</w:t>
            </w:r>
          </w:p>
        </w:tc>
        <w:tc>
          <w:tcPr>
            <w:tcW w:w="3213" w:type="dxa"/>
          </w:tcPr>
          <w:p>
            <w:pPr>
              <w:pStyle w:val="Celda"/>
            </w:pPr>
            <w:r>
              <w:t xml:space="preserve">Usage drift, unequal responses in counterfactual pairs and days in cost-driven degraded mode in the minimum metrics; references for generative AI and agents; example alert AL-04; quality criterion 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P25 · Monitoring and alerting configuration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P25 · Monitoring and alerting configuration</dc:title>
  <dc:creator>Fernando García Varela</dc:creator>
  <dc:language>en</dc:language>
  <dc:description>sha256:231e1164263e8604f34c843f292559c0765d65ca653fad323db6093bae379e2d</dc:description>
  <cp:keywords>SEVEN-G</cp:keywords>
</cp:coreProperties>
</file>