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Incident reports and communications</w:t>
      </w:r>
    </w:p>
    <w:p>
      <w:r>
        <w:rPr>
          <w:b/>
        </w:rPr>
        <w:t xml:space="preserve">Documents the decision whether to report under each regime applicable to an AI incident, prepares the common content of reports and the communications to affected persons, employees and customers, and tracks their time limits.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P51 · Incident reports and communications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single AI incident can trigger the AI Act, the GDPR, DORA and NIS2 at the same time, each with its own clock, which starts upon awareness and not when the analysis is finished. Omitting or delaying a mandatory report is a critical nonconformity (01 §12), and not reporting without recording why is indefensible before a supervisor. This template requires all regimes to be assessed in parallel, the decision not to report to be reasoned in writing, and the messages to affected persons, employees and customers to be ready before they are needed.</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The models in sections 5 to 9 are adapted to the system in phase 5, together with the incident response plan (P26), before G5. For each incident, section 3 is opened at triage and the register in section 10 is kept until the final report under each regime.</w:t>
            </w:r>
          </w:p>
        </w:tc>
      </w:tr>
      <w:tr>
        <w:tc>
          <w:tcPr>
            <w:tcW w:w="4819" w:type="dxa"/>
          </w:tcPr>
          <w:p>
            <w:pPr>
              <w:pStyle w:val="Celda"/>
            </w:pPr>
            <w:r>
              <w:rPr>
                <w:b/>
              </w:rPr>
              <w:t xml:space="preserve">Who completes it</w:t>
            </w:r>
          </w:p>
        </w:tc>
        <w:tc>
          <w:tcPr>
            <w:tcW w:w="4819" w:type="dxa"/>
          </w:tcPr>
          <w:p>
            <w:pPr>
              <w:pStyle w:val="Celda"/>
            </w:pPr>
            <w:r>
              <w:t xml:space="preserve">The AI Risk Owner and compliance assess the regimes; the data protection officer, personal data breaches; the incident coordinator provides the facts; corporate communications drafts the messages.</w:t>
            </w:r>
          </w:p>
        </w:tc>
      </w:tr>
      <w:tr>
        <w:tc>
          <w:tcPr>
            <w:tcW w:w="4819" w:type="dxa"/>
          </w:tcPr>
          <w:p>
            <w:pPr>
              <w:pStyle w:val="Celda"/>
            </w:pPr>
            <w:r>
              <w:rPr>
                <w:b/>
              </w:rPr>
              <w:t xml:space="preserve">Who verifies it</w:t>
            </w:r>
          </w:p>
        </w:tc>
        <w:tc>
          <w:tcPr>
            <w:tcW w:w="4819" w:type="dxa"/>
          </w:tcPr>
          <w:p>
            <w:pPr>
              <w:pStyle w:val="Celda"/>
            </w:pPr>
            <w:r>
              <w:t xml:space="preserve">Legal counsel validates every report, every external communication and every reasoned decision not to report. Under Enterprise, the AI Auditor reviews the register at R6.</w:t>
            </w:r>
          </w:p>
        </w:tc>
      </w:tr>
      <w:tr>
        <w:tc>
          <w:tcPr>
            <w:tcW w:w="4819" w:type="dxa"/>
          </w:tcPr>
          <w:p>
            <w:pPr>
              <w:pStyle w:val="Celda"/>
            </w:pPr>
            <w:r>
              <w:rPr>
                <w:b/>
              </w:rPr>
              <w:t xml:space="preserve">Who decides or approves</w:t>
            </w:r>
          </w:p>
        </w:tc>
        <w:tc>
          <w:tcPr>
            <w:tcW w:w="4819" w:type="dxa"/>
          </w:tcPr>
          <w:p>
            <w:pPr>
              <w:pStyle w:val="Celda"/>
            </w:pPr>
            <w:r>
              <w:t xml:space="preserve">The report is submitted by whoever the rule designates (provider, controller, financial entity, essential or important entity). Internally, it is signed by the person designated in plan P26; for S1, with the knowledge of the AI Sponsor and the board committee (37 §4.3).</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Preparation before G5 (G5.17). Use in phase 6 during each incident. Review at R6 (R6.06), in the annual S1 drill (37 §5) and in C4.</w:t>
            </w:r>
          </w:p>
        </w:tc>
      </w:tr>
      <w:tr>
        <w:tc>
          <w:tcPr>
            <w:tcW w:w="4819" w:type="dxa"/>
          </w:tcPr>
          <w:p>
            <w:pPr>
              <w:pStyle w:val="Celda"/>
            </w:pPr>
            <w:r>
              <w:rPr>
                <w:b/>
              </w:rPr>
              <w:t xml:space="preserve">Tool</w:t>
            </w:r>
          </w:p>
        </w:tc>
        <w:tc>
          <w:tcPr>
            <w:tcW w:w="4819" w:type="dxa"/>
          </w:tcPr>
          <w:p>
            <w:pPr>
              <w:pStyle w:val="Celda"/>
            </w:pPr>
            <w:r>
              <w:t xml:space="preserve">T08 · Nonconformity and incident register: reporting clocks and alerts. This template holds the content that T08 does not draft.</w:t>
            </w:r>
          </w:p>
        </w:tc>
      </w:tr>
      <w:tr>
        <w:tc>
          <w:tcPr>
            <w:tcW w:w="4819" w:type="dxa"/>
          </w:tcPr>
          <w:p>
            <w:pPr>
              <w:pStyle w:val="Celda"/>
            </w:pPr>
            <w:r>
              <w:rPr>
                <w:b/>
              </w:rPr>
              <w:t xml:space="preserve">Reference document</w:t>
            </w:r>
          </w:p>
        </w:tc>
        <w:tc>
          <w:tcPr>
            <w:tcW w:w="4819" w:type="dxa"/>
          </w:tcPr>
          <w:p>
            <w:pPr>
              <w:pStyle w:val="Celda"/>
            </w:pPr>
            <w:r>
              <w:t xml:space="preserve">Document 37 §4.5 (phases 5 and 6) and §5 (regimes, time limits and rules); document 34 (regime applicable to each system); document 36 (reporting by suppliers).</w:t>
            </w:r>
          </w:p>
        </w:tc>
      </w:tr>
      <w:tr>
        <w:tc>
          <w:tcPr>
            <w:tcW w:w="4819" w:type="dxa"/>
          </w:tcPr>
          <w:p>
            <w:pPr>
              <w:pStyle w:val="Celda"/>
            </w:pPr>
            <w:r>
              <w:rPr>
                <w:b/>
              </w:rPr>
              <w:t xml:space="preserve">Lite versus Enterprise</w:t>
            </w:r>
          </w:p>
        </w:tc>
        <w:tc>
          <w:tcPr>
            <w:tcW w:w="4819" w:type="dxa"/>
          </w:tcPr>
          <w:p>
            <w:pPr>
              <w:pStyle w:val="Celda"/>
            </w:pPr>
            <w:r>
              <w:t xml:space="preserve">The assessment of all regimes and the reasoned decision not to report are mandatory in both. Lite may omit the fields marked </w:t>
            </w:r>
            <w:r>
              <w:rPr>
                <w:b/>
              </w:rPr>
              <w:t xml:space="preserve">(Enterprise)</w:t>
            </w:r>
            <w:r>
              <w:t xml:space="preserve">.</w:t>
            </w:r>
          </w:p>
        </w:tc>
      </w:tr>
    </w:tbl>
    <w:p>
      <w:pPr>
        <w:pStyle w:val="Espacio"/>
      </w:pPr>
    </w:p>
    <w:p>
      <w:r>
        <w:t xml:space="preserve">Completion rules:</w:t>
      </w:r>
    </w:p>
    <w:p>
      <w:pPr>
        <w:pStyle w:val="Lista"/>
      </w:pPr>
      <w:r>
        <w:t xml:space="preserve">• </w:t>
      </w:r>
      <w:r>
        <w:rPr>
          <w:b/>
        </w:rPr>
        <w:t xml:space="preserve">Official forms prevail.</w:t>
      </w:r>
      <w:r>
        <w:t xml:space="preserve"> Where an authority publishes its own form, template or channel, that one is used and this template only serves to prepare the content. For Art. 73 of the AI Act there is the Commission's Draft guidance and template on serious incident reporting (34 §3.3); DORA has forms in its implementing measures, and supervisory authorities and CSIRTs have their own channels. This template neither reproduces nor replaces any of them.</w:t>
      </w:r>
    </w:p>
    <w:p>
      <w:pPr>
        <w:pStyle w:val="Lista"/>
      </w:pPr>
      <w:r>
        <w:t xml:space="preserve">• Time limits are taken from document 37 §5 and confirmed with legal counsel at the time of the incident; this template does not set time limits of its own.</w:t>
      </w:r>
    </w:p>
    <w:p>
      <w:pPr>
        <w:pStyle w:val="Lista"/>
      </w:pPr>
      <w:r>
        <w:t xml:space="preserve">• The clock for each regime starts at the date and time of detection recorded in T08 or at the moment the rule specifies; never at the end of the analysis.</w:t>
      </w:r>
    </w:p>
    <w:p>
      <w:pPr>
        <w:pStyle w:val="Lista"/>
      </w:pPr>
      <w:r>
        <w:t xml:space="preserve">• Where the rule provides for it, an incomplete initial report submitted on time is preferable to a complete report submitted late.</w:t>
      </w:r>
    </w:p>
    <w:p>
      <w:pPr>
        <w:pStyle w:val="Lista"/>
      </w:pPr>
      <w:r>
        <w:t xml:space="preserve">• Every external communication distinguishes confirmed facts from ongoing assessments and does not speculate about causes.</w:t>
      </w:r>
    </w:p>
    <w:p>
      <w:pPr>
        <w:pStyle w:val="Lista"/>
      </w:pPr>
      <w:r>
        <w:t xml:space="preserve">• An AI incident that is also a breach or a security incident is managed </w:t>
      </w:r>
      <w:r>
        <w:rPr>
          <w:b/>
        </w:rPr>
        <w:t xml:space="preserve">only once</w:t>
      </w:r>
      <w:r>
        <w:t xml:space="preserve">, with a single coordinator (37 §1).</w:t>
      </w:r>
    </w:p>
    <w:p>
      <w:r>
        <w:t xml:space="preserve">This template does not constitute legal advice (reference consultation date of the framework: September 2026).</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Incident</w:t>
            </w:r>
          </w:p>
        </w:tc>
        <w:tc>
          <w:tcPr>
            <w:tcW w:w="3213" w:type="dxa"/>
          </w:tcPr>
          <w:p>
            <w:pPr>
              <w:pStyle w:val="Celda"/>
            </w:pPr>
          </w:p>
        </w:tc>
        <w:tc>
          <w:tcPr>
            <w:tcW w:w="3213" w:type="dxa"/>
          </w:tcPr>
          <w:p>
            <w:pPr>
              <w:pStyle w:val="Celda"/>
            </w:pPr>
            <w:r>
              <w:t xml:space="preserve">INC-AAAA-NNN (P27, T08).</w:t>
            </w:r>
          </w:p>
        </w:tc>
      </w:tr>
      <w:tr>
        <w:tc>
          <w:tcPr>
            <w:tcW w:w="3213" w:type="dxa"/>
          </w:tcPr>
          <w:p>
            <w:pPr>
              <w:pStyle w:val="Celda"/>
            </w:pPr>
            <w:r>
              <w:t xml:space="preserve">System and initiative</w:t>
            </w:r>
          </w:p>
        </w:tc>
        <w:tc>
          <w:tcPr>
            <w:tcW w:w="3213" w:type="dxa"/>
          </w:tcPr>
          <w:p>
            <w:pPr>
              <w:pStyle w:val="Celda"/>
            </w:pPr>
          </w:p>
        </w:tc>
        <w:tc>
          <w:tcPr>
            <w:tcW w:w="3213" w:type="dxa"/>
          </w:tcPr>
          <w:p>
            <w:pPr>
              <w:pStyle w:val="Celda"/>
            </w:pPr>
            <w:r>
              <w:t xml:space="preserve">SIA-AAAA-NNN · IA-AAAA-NNN.</w:t>
            </w:r>
          </w:p>
        </w:tc>
      </w:tr>
      <w:tr>
        <w:tc>
          <w:tcPr>
            <w:tcW w:w="3213" w:type="dxa"/>
          </w:tcPr>
          <w:p>
            <w:pPr>
              <w:pStyle w:val="Celda"/>
            </w:pPr>
            <w:r>
              <w:t xml:space="preserve">Current severity</w:t>
            </w:r>
          </w:p>
        </w:tc>
        <w:tc>
          <w:tcPr>
            <w:tcW w:w="3213" w:type="dxa"/>
          </w:tcPr>
          <w:p>
            <w:pPr>
              <w:pStyle w:val="Celda"/>
            </w:pPr>
          </w:p>
        </w:tc>
        <w:tc>
          <w:tcPr>
            <w:tcW w:w="3213" w:type="dxa"/>
          </w:tcPr>
          <w:p>
            <w:pPr>
              <w:pStyle w:val="Celda"/>
            </w:pPr>
            <w:r>
              <w:t xml:space="preserve">S1 · S2 · S3 · S4 (37 §4.2).</w:t>
            </w:r>
          </w:p>
        </w:tc>
      </w:tr>
      <w:tr>
        <w:tc>
          <w:tcPr>
            <w:tcW w:w="3213" w:type="dxa"/>
          </w:tcPr>
          <w:p>
            <w:pPr>
              <w:pStyle w:val="Celda"/>
            </w:pPr>
            <w:r>
              <w:t xml:space="preserve">Date and time of detection</w:t>
            </w:r>
          </w:p>
        </w:tc>
        <w:tc>
          <w:tcPr>
            <w:tcW w:w="3213" w:type="dxa"/>
          </w:tcPr>
          <w:p>
            <w:pPr>
              <w:pStyle w:val="Celda"/>
            </w:pPr>
          </w:p>
        </w:tc>
        <w:tc>
          <w:tcPr>
            <w:tcW w:w="3213" w:type="dxa"/>
          </w:tcPr>
          <w:p>
            <w:pPr>
              <w:pStyle w:val="Celda"/>
            </w:pPr>
            <w:r>
              <w:t xml:space="preserve">Start of the clocks.</w:t>
            </w:r>
          </w:p>
        </w:tc>
      </w:tr>
      <w:tr>
        <w:tc>
          <w:tcPr>
            <w:tcW w:w="3213" w:type="dxa"/>
          </w:tcPr>
          <w:p>
            <w:pPr>
              <w:pStyle w:val="Celda"/>
            </w:pPr>
            <w:r>
              <w:t xml:space="preserve">Company's role in relation to the system</w:t>
            </w:r>
          </w:p>
        </w:tc>
        <w:tc>
          <w:tcPr>
            <w:tcW w:w="3213" w:type="dxa"/>
          </w:tcPr>
          <w:p>
            <w:pPr>
              <w:pStyle w:val="Celda"/>
            </w:pPr>
          </w:p>
        </w:tc>
        <w:tc>
          <w:tcPr>
            <w:tcW w:w="3213" w:type="dxa"/>
          </w:tcPr>
          <w:p>
            <w:pPr>
              <w:pStyle w:val="Celda"/>
            </w:pPr>
            <w:r>
              <w:t xml:space="preserve">Provider · Deployer · Both (P11, document 34).</w:t>
            </w:r>
          </w:p>
        </w:tc>
      </w:tr>
      <w:tr>
        <w:tc>
          <w:tcPr>
            <w:tcW w:w="3213" w:type="dxa"/>
          </w:tcPr>
          <w:p>
            <w:pPr>
              <w:pStyle w:val="Celda"/>
            </w:pPr>
            <w:r>
              <w:t xml:space="preserve">Role in relation to personal data</w:t>
            </w:r>
          </w:p>
        </w:tc>
        <w:tc>
          <w:tcPr>
            <w:tcW w:w="3213" w:type="dxa"/>
          </w:tcPr>
          <w:p>
            <w:pPr>
              <w:pStyle w:val="Celda"/>
            </w:pPr>
          </w:p>
        </w:tc>
        <w:tc>
          <w:tcPr>
            <w:tcW w:w="3213" w:type="dxa"/>
          </w:tcPr>
          <w:p>
            <w:pPr>
              <w:pStyle w:val="Celda"/>
            </w:pPr>
            <w:r>
              <w:t xml:space="preserve">Controller · Processor · Not applicable.</w:t>
            </w:r>
          </w:p>
        </w:tc>
      </w:tr>
      <w:tr>
        <w:tc>
          <w:tcPr>
            <w:tcW w:w="3213" w:type="dxa"/>
          </w:tcPr>
          <w:p>
            <w:pPr>
              <w:pStyle w:val="Celda"/>
            </w:pPr>
            <w:r>
              <w:t xml:space="preserve">Subject to DORA · to NIS2</w:t>
            </w:r>
          </w:p>
        </w:tc>
        <w:tc>
          <w:tcPr>
            <w:tcW w:w="3213" w:type="dxa"/>
          </w:tcPr>
          <w:p>
            <w:pPr>
              <w:pStyle w:val="Celda"/>
            </w:pPr>
          </w:p>
        </w:tc>
        <w:tc>
          <w:tcPr>
            <w:tcW w:w="3213" w:type="dxa"/>
          </w:tcPr>
          <w:p>
            <w:pPr>
              <w:pStyle w:val="Celda"/>
            </w:pPr>
            <w:r>
              <w:t xml:space="preserve">Yes · No · To be determined (P26 §2).</w:t>
            </w:r>
          </w:p>
        </w:tc>
      </w:tr>
      <w:tr>
        <w:tc>
          <w:tcPr>
            <w:tcW w:w="3213" w:type="dxa"/>
          </w:tcPr>
          <w:p>
            <w:pPr>
              <w:pStyle w:val="Celda"/>
            </w:pPr>
            <w:r>
              <w:t xml:space="preserve">Incident coordinator</w:t>
            </w:r>
          </w:p>
        </w:tc>
        <w:tc>
          <w:tcPr>
            <w:tcW w:w="3213" w:type="dxa"/>
          </w:tcPr>
          <w:p>
            <w:pPr>
              <w:pStyle w:val="Celda"/>
            </w:pPr>
          </w:p>
        </w:tc>
        <w:tc>
          <w:tcPr>
            <w:tcW w:w="3213" w:type="dxa"/>
          </w:tcPr>
          <w:p>
            <w:pPr>
              <w:pStyle w:val="Celda"/>
            </w:pPr>
          </w:p>
        </w:tc>
      </w:tr>
      <w:tr>
        <w:tc>
          <w:tcPr>
            <w:tcW w:w="3213" w:type="dxa"/>
          </w:tcPr>
          <w:p>
            <w:pPr>
              <w:pStyle w:val="Celda"/>
            </w:pPr>
            <w:r>
              <w:t xml:space="preserve">Person responsible for the regulatory assessment</w:t>
            </w:r>
          </w:p>
        </w:tc>
        <w:tc>
          <w:tcPr>
            <w:tcW w:w="3213" w:type="dxa"/>
          </w:tcPr>
          <w:p>
            <w:pPr>
              <w:pStyle w:val="Celda"/>
            </w:pPr>
          </w:p>
        </w:tc>
        <w:tc>
          <w:tcPr>
            <w:tcW w:w="3213" w:type="dxa"/>
          </w:tcPr>
          <w:p>
            <w:pPr>
              <w:pStyle w:val="Celda"/>
            </w:pPr>
            <w:r>
              <w:t xml:space="preserve">AI Risk Owner and compliance.</w:t>
            </w:r>
          </w:p>
        </w:tc>
      </w:tr>
    </w:tbl>
    <w:p>
      <w:pPr>
        <w:pStyle w:val="Espacio"/>
      </w:pPr>
    </w:p>
    <w:p>
      <w:pPr>
        <w:pStyle w:val="Separador"/>
      </w:pPr>
    </w:p>
    <w:p>
      <w:pPr>
        <w:pStyle w:val="Heading1"/>
      </w:pPr>
      <w:r>
        <w:t xml:space="preserve">3. Decision whether to report</w:t>
      </w:r>
    </w:p>
    <w:p>
      <w:r>
        <w:t xml:space="preserve">One row per regime. It is assessed </w:t>
      </w:r>
      <w:r>
        <w:rPr>
          <w:b/>
        </w:rPr>
        <w:t xml:space="preserve">in parallel with containment</w:t>
      </w:r>
      <w:r>
        <w:t xml:space="preserve">. Where the answer is No, the reasoning is mandatory.</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Regime</w:t>
            </w:r>
          </w:p>
        </w:tc>
        <w:tc>
          <w:tcPr>
            <w:tcW w:w="1205" w:type="dxa"/>
            <w:shd w:val="clear" w:color="auto" w:fill="F2DFCE"/>
          </w:tcPr>
          <w:p>
            <w:pPr>
              <w:pStyle w:val="Celda"/>
            </w:pPr>
            <w:r>
              <w:rPr>
                <w:b/>
              </w:rPr>
              <w:t xml:space="preserve">Applies? (Yes · No · To be determined)</w:t>
            </w:r>
          </w:p>
        </w:tc>
        <w:tc>
          <w:tcPr>
            <w:tcW w:w="1205" w:type="dxa"/>
            <w:shd w:val="clear" w:color="auto" w:fill="F2DFCE"/>
          </w:tcPr>
          <w:p>
            <w:pPr>
              <w:pStyle w:val="Celda"/>
            </w:pPr>
            <w:r>
              <w:rPr>
                <w:b/>
              </w:rPr>
              <w:t xml:space="preserve">Criterion assessed</w:t>
            </w:r>
          </w:p>
        </w:tc>
        <w:tc>
          <w:tcPr>
            <w:tcW w:w="1205" w:type="dxa"/>
            <w:shd w:val="clear" w:color="auto" w:fill="F2DFCE"/>
          </w:tcPr>
          <w:p>
            <w:pPr>
              <w:pStyle w:val="Celda"/>
            </w:pPr>
            <w:r>
              <w:rPr>
                <w:b/>
              </w:rPr>
              <w:t xml:space="preserve">Decision (Report · Do not report · Pending)</w:t>
            </w:r>
          </w:p>
        </w:tc>
        <w:tc>
          <w:tcPr>
            <w:tcW w:w="1205" w:type="dxa"/>
            <w:shd w:val="clear" w:color="auto" w:fill="F2DFCE"/>
          </w:tcPr>
          <w:p>
            <w:pPr>
              <w:pStyle w:val="Celda"/>
            </w:pPr>
            <w:r>
              <w:rPr>
                <w:b/>
              </w:rPr>
              <w:t xml:space="preserve">Reasoning</w:t>
            </w:r>
          </w:p>
        </w:tc>
        <w:tc>
          <w:tcPr>
            <w:tcW w:w="1205" w:type="dxa"/>
            <w:shd w:val="clear" w:color="auto" w:fill="F2DFCE"/>
          </w:tcPr>
          <w:p>
            <w:pPr>
              <w:pStyle w:val="Celda"/>
            </w:pPr>
            <w:r>
              <w:rPr>
                <w:b/>
              </w:rPr>
              <w:t xml:space="preserve">Decided by</w:t>
            </w:r>
          </w:p>
        </w:tc>
        <w:tc>
          <w:tcPr>
            <w:tcW w:w="1205" w:type="dxa"/>
            <w:shd w:val="clear" w:color="auto" w:fill="F2DFCE"/>
          </w:tcPr>
          <w:p>
            <w:pPr>
              <w:pStyle w:val="Celda"/>
            </w:pPr>
            <w:r>
              <w:rPr>
                <w:b/>
              </w:rPr>
              <w:t xml:space="preserve">Validated by Legal</w:t>
            </w:r>
          </w:p>
        </w:tc>
        <w:tc>
          <w:tcPr>
            <w:tcW w:w="1205" w:type="dxa"/>
            <w:shd w:val="clear" w:color="auto" w:fill="F2DFCE"/>
          </w:tcPr>
          <w:p>
            <w:pPr>
              <w:pStyle w:val="Celda"/>
            </w:pPr>
            <w:r>
              <w:rPr>
                <w:b/>
              </w:rPr>
              <w:t xml:space="preserve">Date and time</w:t>
            </w:r>
          </w:p>
        </w:tc>
      </w:tr>
      <w:tr>
        <w:tc>
          <w:tcPr>
            <w:tcW w:w="1205" w:type="dxa"/>
          </w:tcPr>
          <w:p>
            <w:pPr>
              <w:pStyle w:val="Celda"/>
            </w:pPr>
            <w:r>
              <w:t xml:space="preserve">AI Act, Art. 73 (serious incident in a high-risk system)</w:t>
            </w:r>
          </w:p>
        </w:tc>
        <w:tc>
          <w:tcPr>
            <w:tcW w:w="1205" w:type="dxa"/>
          </w:tcPr>
          <w:p>
            <w:pPr>
              <w:pStyle w:val="Celda"/>
            </w:pPr>
          </w:p>
        </w:tc>
        <w:tc>
          <w:tcPr>
            <w:tcW w:w="1205" w:type="dxa"/>
          </w:tcPr>
          <w:p>
            <w:pPr>
              <w:pStyle w:val="Celda"/>
            </w:pPr>
            <w:r>
              <w:t xml:space="preserve">Serious incident under Art. 3(49)? High-risk system? Company's role?</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AI Act, Art. 26(5) (deployer informing the provider)</w:t>
            </w:r>
          </w:p>
        </w:tc>
        <w:tc>
          <w:tcPr>
            <w:tcW w:w="1205" w:type="dxa"/>
          </w:tcPr>
          <w:p>
            <w:pPr>
              <w:pStyle w:val="Celda"/>
            </w:pPr>
          </w:p>
        </w:tc>
        <w:tc>
          <w:tcPr>
            <w:tcW w:w="1205" w:type="dxa"/>
          </w:tcPr>
          <w:p>
            <w:pPr>
              <w:pStyle w:val="Celda"/>
            </w:pPr>
            <w:r>
              <w:t xml:space="preserve">Does the company deploy a third party's high-risk system?</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GDPR, Art. 33 (supervisory authority)</w:t>
            </w:r>
          </w:p>
        </w:tc>
        <w:tc>
          <w:tcPr>
            <w:tcW w:w="1205" w:type="dxa"/>
          </w:tcPr>
          <w:p>
            <w:pPr>
              <w:pStyle w:val="Celda"/>
            </w:pPr>
          </w:p>
        </w:tc>
        <w:tc>
          <w:tcPr>
            <w:tcW w:w="1205" w:type="dxa"/>
          </w:tcPr>
          <w:p>
            <w:pPr>
              <w:pStyle w:val="Celda"/>
            </w:pPr>
            <w:r>
              <w:t xml:space="preserve">Personal data breach? Is it unlikely to result in a risk to rights and freedoms?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GDPR, Art. 34 (data subjects)</w:t>
            </w:r>
          </w:p>
        </w:tc>
        <w:tc>
          <w:tcPr>
            <w:tcW w:w="1205" w:type="dxa"/>
          </w:tcPr>
          <w:p>
            <w:pPr>
              <w:pStyle w:val="Celda"/>
            </w:pPr>
          </w:p>
        </w:tc>
        <w:tc>
          <w:tcPr>
            <w:tcW w:w="1205" w:type="dxa"/>
          </w:tcPr>
          <w:p>
            <w:pPr>
              <w:pStyle w:val="Celda"/>
            </w:pPr>
            <w:r>
              <w:t xml:space="preserve">Is a high risk to individuals likely?</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DORA, Art. 19</w:t>
            </w:r>
          </w:p>
        </w:tc>
        <w:tc>
          <w:tcPr>
            <w:tcW w:w="1205" w:type="dxa"/>
          </w:tcPr>
          <w:p>
            <w:pPr>
              <w:pStyle w:val="Celda"/>
            </w:pPr>
          </w:p>
        </w:tc>
        <w:tc>
          <w:tcPr>
            <w:tcW w:w="1205" w:type="dxa"/>
          </w:tcPr>
          <w:p>
            <w:pPr>
              <w:pStyle w:val="Celda"/>
            </w:pPr>
            <w:r>
              <w:t xml:space="preserve">Major ICT-related incident under its classification criteria?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NIS2, Art. 23</w:t>
            </w:r>
          </w:p>
        </w:tc>
        <w:tc>
          <w:tcPr>
            <w:tcW w:w="1205" w:type="dxa"/>
          </w:tcPr>
          <w:p>
            <w:pPr>
              <w:pStyle w:val="Celda"/>
            </w:pPr>
          </w:p>
        </w:tc>
        <w:tc>
          <w:tcPr>
            <w:tcW w:w="1205" w:type="dxa"/>
          </w:tcPr>
          <w:p>
            <w:pPr>
              <w:pStyle w:val="Celda"/>
            </w:pPr>
            <w:r>
              <w:t xml:space="preserve">Significant incident under the national transposition?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Sector-specific regulation</w:t>
            </w:r>
          </w:p>
        </w:tc>
        <w:tc>
          <w:tcPr>
            <w:tcW w:w="1205" w:type="dxa"/>
          </w:tcPr>
          <w:p>
            <w:pPr>
              <w:pStyle w:val="Celda"/>
            </w:pPr>
          </w:p>
        </w:tc>
        <w:tc>
          <w:tcPr>
            <w:tcW w:w="1205" w:type="dxa"/>
          </w:tcPr>
          <w:p>
            <w:pPr>
              <w:pStyle w:val="Celda"/>
            </w:pPr>
            <w:r>
              <w:t xml:space="preserve">Sector supervisor or public sector security scheme (P02).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Contractual obligations</w:t>
            </w:r>
          </w:p>
        </w:tc>
        <w:tc>
          <w:tcPr>
            <w:tcW w:w="1205" w:type="dxa"/>
          </w:tcPr>
          <w:p>
            <w:pPr>
              <w:pStyle w:val="Celda"/>
            </w:pPr>
          </w:p>
        </w:tc>
        <w:tc>
          <w:tcPr>
            <w:tcW w:w="1205" w:type="dxa"/>
          </w:tcPr>
          <w:p>
            <w:pPr>
              <w:pStyle w:val="Celda"/>
            </w:pPr>
            <w:r>
              <w:t xml:space="preserve">Contracts with customers or suppliers.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GDPR, Art. 33</w:t>
            </w:r>
          </w:p>
        </w:tc>
        <w:tc>
          <w:tcPr>
            <w:tcW w:w="1205" w:type="dxa"/>
          </w:tcPr>
          <w:p>
            <w:pPr>
              <w:pStyle w:val="Celda"/>
            </w:pPr>
            <w:r>
              <w:t xml:space="preserve">Yes</w:t>
            </w:r>
          </w:p>
        </w:tc>
        <w:tc>
          <w:tcPr>
            <w:tcW w:w="1205" w:type="dxa"/>
          </w:tcPr>
          <w:p>
            <w:pPr>
              <w:pStyle w:val="Celda"/>
            </w:pPr>
            <w:r>
              <w:t xml:space="preserve">Contact details of 40 customers visible to another customer for 20 minutes</w:t>
            </w:r>
          </w:p>
        </w:tc>
        <w:tc>
          <w:tcPr>
            <w:tcW w:w="1205" w:type="dxa"/>
          </w:tcPr>
          <w:p>
            <w:pPr>
              <w:pStyle w:val="Celda"/>
            </w:pPr>
            <w:r>
              <w:t xml:space="preserve">Report</w:t>
            </w:r>
          </w:p>
        </w:tc>
        <w:tc>
          <w:tcPr>
            <w:tcW w:w="1205" w:type="dxa"/>
          </w:tcPr>
          <w:p>
            <w:pPr>
              <w:pStyle w:val="Celda"/>
            </w:pPr>
            <w:r>
              <w:t xml:space="preserve">Risk not unlikely: identifying data exposed to an unauthorised third party</w:t>
            </w:r>
          </w:p>
        </w:tc>
        <w:tc>
          <w:tcPr>
            <w:tcW w:w="1205" w:type="dxa"/>
          </w:tcPr>
          <w:p>
            <w:pPr>
              <w:pStyle w:val="Celda"/>
            </w:pPr>
            <w:r>
              <w:t xml:space="preserve">Data protection officer</w:t>
            </w:r>
          </w:p>
        </w:tc>
        <w:tc>
          <w:tcPr>
            <w:tcW w:w="1205" w:type="dxa"/>
          </w:tcPr>
          <w:p>
            <w:pPr>
              <w:pStyle w:val="Celda"/>
            </w:pPr>
            <w:r>
              <w:t xml:space="preserve">Yes</w:t>
            </w:r>
          </w:p>
        </w:tc>
        <w:tc>
          <w:tcPr>
            <w:tcW w:w="1205" w:type="dxa"/>
          </w:tcPr>
          <w:p>
            <w:pPr>
              <w:pStyle w:val="Celda"/>
            </w:pPr>
            <w:r>
              <w:t xml:space="preserve">12-11-2026 18:30</w:t>
            </w:r>
          </w:p>
        </w:tc>
      </w:tr>
    </w:tbl>
    <w:p>
      <w:pPr>
        <w:pStyle w:val="Espacio"/>
      </w:pPr>
    </w:p>
    <w:p>
      <w:pPr>
        <w:pStyle w:val="Heading2"/>
      </w:pPr>
      <w:r>
        <w:t xml:space="preserve">3.1 Reasoned decision not to report</w:t>
      </w:r>
    </w:p>
    <w:p>
      <w:r>
        <w:t xml:space="preserve">One for each regime assessed as Do not report. It is kept even if the incident is closed without consequences.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Regime</w:t>
            </w:r>
          </w:p>
        </w:tc>
        <w:tc>
          <w:tcPr>
            <w:tcW w:w="3213" w:type="dxa"/>
          </w:tcPr>
          <w:p>
            <w:pPr>
              <w:pStyle w:val="Celda"/>
            </w:pPr>
          </w:p>
        </w:tc>
        <w:tc>
          <w:tcPr>
            <w:tcW w:w="3213" w:type="dxa"/>
          </w:tcPr>
          <w:p>
            <w:pPr>
              <w:pStyle w:val="Celda"/>
            </w:pPr>
          </w:p>
        </w:tc>
      </w:tr>
      <w:tr>
        <w:tc>
          <w:tcPr>
            <w:tcW w:w="3213" w:type="dxa"/>
          </w:tcPr>
          <w:p>
            <w:pPr>
              <w:pStyle w:val="Celda"/>
            </w:pPr>
            <w:r>
              <w:t xml:space="preserve">Facts considered</w:t>
            </w:r>
          </w:p>
        </w:tc>
        <w:tc>
          <w:tcPr>
            <w:tcW w:w="3213" w:type="dxa"/>
          </w:tcPr>
          <w:p>
            <w:pPr>
              <w:pStyle w:val="Celda"/>
            </w:pPr>
          </w:p>
        </w:tc>
        <w:tc>
          <w:tcPr>
            <w:tcW w:w="3213" w:type="dxa"/>
          </w:tcPr>
          <w:p>
            <w:pPr>
              <w:pStyle w:val="Celda"/>
            </w:pPr>
            <w:r>
              <w:t xml:space="preserve">What was known at the time of the decision, with date and time.</w:t>
            </w:r>
          </w:p>
        </w:tc>
      </w:tr>
      <w:tr>
        <w:tc>
          <w:tcPr>
            <w:tcW w:w="3213" w:type="dxa"/>
          </w:tcPr>
          <w:p>
            <w:pPr>
              <w:pStyle w:val="Celda"/>
            </w:pPr>
            <w:r>
              <w:t xml:space="preserve">Regulatory criterion applied</w:t>
            </w:r>
          </w:p>
        </w:tc>
        <w:tc>
          <w:tcPr>
            <w:tcW w:w="3213" w:type="dxa"/>
          </w:tcPr>
          <w:p>
            <w:pPr>
              <w:pStyle w:val="Celda"/>
            </w:pPr>
          </w:p>
        </w:tc>
        <w:tc>
          <w:tcPr>
            <w:tcW w:w="3213" w:type="dxa"/>
          </w:tcPr>
          <w:p>
            <w:pPr>
              <w:pStyle w:val="Celda"/>
            </w:pPr>
            <w:r>
              <w:t xml:space="preserve">Why the threshold is not met (for example, it is not a high-risk system; the breach is unlikely to result in a risk; the classification criteria are not reached).</w:t>
            </w:r>
          </w:p>
        </w:tc>
      </w:tr>
      <w:tr>
        <w:tc>
          <w:tcPr>
            <w:tcW w:w="3213" w:type="dxa"/>
          </w:tcPr>
          <w:p>
            <w:pPr>
              <w:pStyle w:val="Celda"/>
            </w:pPr>
            <w:r>
              <w:t xml:space="preserve">Uncertainties</w:t>
            </w:r>
          </w:p>
        </w:tc>
        <w:tc>
          <w:tcPr>
            <w:tcW w:w="3213" w:type="dxa"/>
          </w:tcPr>
          <w:p>
            <w:pPr>
              <w:pStyle w:val="Celda"/>
            </w:pPr>
          </w:p>
        </w:tc>
        <w:tc>
          <w:tcPr>
            <w:tcW w:w="3213" w:type="dxa"/>
          </w:tcPr>
          <w:p>
            <w:pPr>
              <w:pStyle w:val="Celda"/>
            </w:pPr>
            <w:r>
              <w:t xml:space="preserve">What is not yet known and what would change the decision.</w:t>
            </w:r>
          </w:p>
        </w:tc>
      </w:tr>
      <w:tr>
        <w:tc>
          <w:tcPr>
            <w:tcW w:w="3213" w:type="dxa"/>
          </w:tcPr>
          <w:p>
            <w:pPr>
              <w:pStyle w:val="Celda"/>
            </w:pPr>
            <w:r>
              <w:t xml:space="preserve">Planned review</w:t>
            </w:r>
          </w:p>
        </w:tc>
        <w:tc>
          <w:tcPr>
            <w:tcW w:w="3213" w:type="dxa"/>
          </w:tcPr>
          <w:p>
            <w:pPr>
              <w:pStyle w:val="Celda"/>
            </w:pPr>
          </w:p>
        </w:tc>
        <w:tc>
          <w:tcPr>
            <w:tcW w:w="3213" w:type="dxa"/>
          </w:tcPr>
          <w:p>
            <w:pPr>
              <w:pStyle w:val="Celda"/>
            </w:pPr>
            <w:r>
              <w:t xml:space="preserve">When the decision is reviewed if new facts emerge.</w:t>
            </w:r>
          </w:p>
        </w:tc>
      </w:tr>
      <w:tr>
        <w:tc>
          <w:tcPr>
            <w:tcW w:w="3213" w:type="dxa"/>
          </w:tcPr>
          <w:p>
            <w:pPr>
              <w:pStyle w:val="Celda"/>
            </w:pPr>
            <w:r>
              <w:t xml:space="preserve">Decided by · validated by</w:t>
            </w:r>
          </w:p>
        </w:tc>
        <w:tc>
          <w:tcPr>
            <w:tcW w:w="3213" w:type="dxa"/>
          </w:tcPr>
          <w:p>
            <w:pPr>
              <w:pStyle w:val="Celda"/>
            </w:pPr>
          </w:p>
        </w:tc>
        <w:tc>
          <w:tcPr>
            <w:tcW w:w="3213" w:type="dxa"/>
          </w:tcPr>
          <w:p>
            <w:pPr>
              <w:pStyle w:val="Celda"/>
            </w:pPr>
            <w:r>
              <w:t xml:space="preserve">Role, name, date; validation by legal counsel and, for breaches, by the data protection officer.</w:t>
            </w:r>
          </w:p>
        </w:tc>
      </w:tr>
    </w:tbl>
    <w:p>
      <w:pPr>
        <w:pStyle w:val="Espacio"/>
      </w:pPr>
    </w:p>
    <w:p>
      <w:pPr>
        <w:pStyle w:val="Separador"/>
      </w:pPr>
    </w:p>
    <w:p>
      <w:pPr>
        <w:pStyle w:val="Heading1"/>
      </w:pPr>
      <w:r>
        <w:t xml:space="preserve">4. Common content of reports</w:t>
      </w:r>
    </w:p>
    <w:p>
      <w:r>
        <w:t xml:space="preserve">Basis for completing any official form. Each regime asks for a subset and uses its own format.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Reporting entity and contact</w:t>
            </w:r>
          </w:p>
        </w:tc>
        <w:tc>
          <w:tcPr>
            <w:tcW w:w="3213" w:type="dxa"/>
          </w:tcPr>
          <w:p>
            <w:pPr>
              <w:pStyle w:val="Celda"/>
            </w:pPr>
          </w:p>
        </w:tc>
        <w:tc>
          <w:tcPr>
            <w:tcW w:w="3213" w:type="dxa"/>
          </w:tcPr>
          <w:p>
            <w:pPr>
              <w:pStyle w:val="Celda"/>
            </w:pPr>
            <w:r>
              <w:t xml:space="preserve">Company name, contact person, data protection officer where applicable.</w:t>
            </w:r>
          </w:p>
        </w:tc>
      </w:tr>
      <w:tr>
        <w:tc>
          <w:tcPr>
            <w:tcW w:w="3213" w:type="dxa"/>
          </w:tcPr>
          <w:p>
            <w:pPr>
              <w:pStyle w:val="Celda"/>
            </w:pPr>
            <w:r>
              <w:t xml:space="preserve">Internal reference</w:t>
            </w:r>
          </w:p>
        </w:tc>
        <w:tc>
          <w:tcPr>
            <w:tcW w:w="3213" w:type="dxa"/>
          </w:tcPr>
          <w:p>
            <w:pPr>
              <w:pStyle w:val="Celda"/>
            </w:pPr>
          </w:p>
        </w:tc>
        <w:tc>
          <w:tcPr>
            <w:tcW w:w="3213" w:type="dxa"/>
          </w:tcPr>
          <w:p>
            <w:pPr>
              <w:pStyle w:val="Celda"/>
            </w:pPr>
            <w:r>
              <w:t xml:space="preserve">INC-AAAA-NNN.</w:t>
            </w:r>
          </w:p>
        </w:tc>
      </w:tr>
      <w:tr>
        <w:tc>
          <w:tcPr>
            <w:tcW w:w="3213" w:type="dxa"/>
          </w:tcPr>
          <w:p>
            <w:pPr>
              <w:pStyle w:val="Celda"/>
            </w:pPr>
            <w:r>
              <w:t xml:space="preserve">Dates and times</w:t>
            </w:r>
          </w:p>
        </w:tc>
        <w:tc>
          <w:tcPr>
            <w:tcW w:w="3213" w:type="dxa"/>
          </w:tcPr>
          <w:p>
            <w:pPr>
              <w:pStyle w:val="Celda"/>
            </w:pPr>
          </w:p>
        </w:tc>
        <w:tc>
          <w:tcPr>
            <w:tcW w:w="3213" w:type="dxa"/>
          </w:tcPr>
          <w:p>
            <w:pPr>
              <w:pStyle w:val="Celda"/>
            </w:pPr>
            <w:r>
              <w:t xml:space="preserve">Estimated start, detection, classification, containment.</w:t>
            </w:r>
          </w:p>
        </w:tc>
      </w:tr>
      <w:tr>
        <w:tc>
          <w:tcPr>
            <w:tcW w:w="3213" w:type="dxa"/>
          </w:tcPr>
          <w:p>
            <w:pPr>
              <w:pStyle w:val="Celda"/>
            </w:pPr>
            <w:r>
              <w:t xml:space="preserve">System affected</w:t>
            </w:r>
          </w:p>
        </w:tc>
        <w:tc>
          <w:tcPr>
            <w:tcW w:w="3213" w:type="dxa"/>
          </w:tcPr>
          <w:p>
            <w:pPr>
              <w:pStyle w:val="Celda"/>
            </w:pPr>
          </w:p>
        </w:tc>
        <w:tc>
          <w:tcPr>
            <w:tcW w:w="3213" w:type="dxa"/>
          </w:tcPr>
          <w:p>
            <w:pPr>
              <w:pStyle w:val="Celda"/>
            </w:pPr>
            <w:r>
              <w:t xml:space="preserve">Name, version, supplier, purpose, company's role.</w:t>
            </w:r>
          </w:p>
        </w:tc>
      </w:tr>
      <w:tr>
        <w:tc>
          <w:tcPr>
            <w:tcW w:w="3213" w:type="dxa"/>
          </w:tcPr>
          <w:p>
            <w:pPr>
              <w:pStyle w:val="Celda"/>
            </w:pPr>
            <w:r>
              <w:t xml:space="preserve">Description of the incident</w:t>
            </w:r>
          </w:p>
        </w:tc>
        <w:tc>
          <w:tcPr>
            <w:tcW w:w="3213" w:type="dxa"/>
          </w:tcPr>
          <w:p>
            <w:pPr>
              <w:pStyle w:val="Celda"/>
            </w:pPr>
          </w:p>
        </w:tc>
        <w:tc>
          <w:tcPr>
            <w:tcW w:w="3213" w:type="dxa"/>
          </w:tcPr>
          <w:p>
            <w:pPr>
              <w:pStyle w:val="Celda"/>
            </w:pPr>
            <w:r>
              <w:t xml:space="preserve">What happened, in plain language.</w:t>
            </w:r>
          </w:p>
        </w:tc>
      </w:tr>
      <w:tr>
        <w:tc>
          <w:tcPr>
            <w:tcW w:w="3213" w:type="dxa"/>
          </w:tcPr>
          <w:p>
            <w:pPr>
              <w:pStyle w:val="Celda"/>
            </w:pPr>
            <w:r>
              <w:t xml:space="preserve">People and data affected</w:t>
            </w:r>
          </w:p>
        </w:tc>
        <w:tc>
          <w:tcPr>
            <w:tcW w:w="3213" w:type="dxa"/>
          </w:tcPr>
          <w:p>
            <w:pPr>
              <w:pStyle w:val="Celda"/>
            </w:pPr>
          </w:p>
        </w:tc>
        <w:tc>
          <w:tcPr>
            <w:tcW w:w="3213" w:type="dxa"/>
          </w:tcPr>
          <w:p>
            <w:pPr>
              <w:pStyle w:val="Celda"/>
            </w:pPr>
            <w:r>
              <w:t xml:space="preserve">Number and categories, approximate if not known exactly. </w:t>
            </w:r>
            <w:r>
              <w:rPr>
                <w:i/>
              </w:rPr>
              <w:t xml:space="preserve">No data</w:t>
            </w:r>
            <w:r>
              <w:t xml:space="preserve"> if unknown.</w:t>
            </w:r>
          </w:p>
        </w:tc>
      </w:tr>
      <w:tr>
        <w:tc>
          <w:tcPr>
            <w:tcW w:w="3213" w:type="dxa"/>
          </w:tcPr>
          <w:p>
            <w:pPr>
              <w:pStyle w:val="Celda"/>
            </w:pPr>
            <w:r>
              <w:t xml:space="preserve">Likely consequences</w:t>
            </w:r>
          </w:p>
        </w:tc>
        <w:tc>
          <w:tcPr>
            <w:tcW w:w="3213" w:type="dxa"/>
          </w:tcPr>
          <w:p>
            <w:pPr>
              <w:pStyle w:val="Celda"/>
            </w:pPr>
          </w:p>
        </w:tc>
        <w:tc>
          <w:tcPr>
            <w:tcW w:w="3213" w:type="dxa"/>
          </w:tcPr>
          <w:p>
            <w:pPr>
              <w:pStyle w:val="Celda"/>
            </w:pPr>
            <w:r>
              <w:t xml:space="preserve">By impact axis (33 §4.2).</w:t>
            </w:r>
          </w:p>
        </w:tc>
      </w:tr>
      <w:tr>
        <w:tc>
          <w:tcPr>
            <w:tcW w:w="3213" w:type="dxa"/>
          </w:tcPr>
          <w:p>
            <w:pPr>
              <w:pStyle w:val="Celda"/>
            </w:pPr>
            <w:r>
              <w:t xml:space="preserve">Causal link with the system</w:t>
            </w:r>
          </w:p>
        </w:tc>
        <w:tc>
          <w:tcPr>
            <w:tcW w:w="3213" w:type="dxa"/>
          </w:tcPr>
          <w:p>
            <w:pPr>
              <w:pStyle w:val="Celda"/>
            </w:pPr>
          </w:p>
        </w:tc>
        <w:tc>
          <w:tcPr>
            <w:tcW w:w="3213" w:type="dxa"/>
          </w:tcPr>
          <w:p>
            <w:pPr>
              <w:pStyle w:val="Celda"/>
            </w:pPr>
            <w:r>
              <w:t xml:space="preserve">Established · Reasonable likelihood · Under analysis (relevant to Art. 73).</w:t>
            </w:r>
          </w:p>
        </w:tc>
      </w:tr>
      <w:tr>
        <w:tc>
          <w:tcPr>
            <w:tcW w:w="3213" w:type="dxa"/>
          </w:tcPr>
          <w:p>
            <w:pPr>
              <w:pStyle w:val="Celda"/>
            </w:pPr>
            <w:r>
              <w:t xml:space="preserve">Measures taken and planned</w:t>
            </w:r>
          </w:p>
        </w:tc>
        <w:tc>
          <w:tcPr>
            <w:tcW w:w="3213" w:type="dxa"/>
          </w:tcPr>
          <w:p>
            <w:pPr>
              <w:pStyle w:val="Celda"/>
            </w:pPr>
          </w:p>
        </w:tc>
        <w:tc>
          <w:tcPr>
            <w:tcW w:w="3213" w:type="dxa"/>
          </w:tcPr>
          <w:p>
            <w:pPr>
              <w:pStyle w:val="Celda"/>
            </w:pPr>
            <w:r>
              <w:t xml:space="preserve">Containment, mitigation for the people affected, correction.</w:t>
            </w:r>
          </w:p>
        </w:tc>
      </w:tr>
      <w:tr>
        <w:tc>
          <w:tcPr>
            <w:tcW w:w="3213" w:type="dxa"/>
          </w:tcPr>
          <w:p>
            <w:pPr>
              <w:pStyle w:val="Celda"/>
            </w:pPr>
            <w:r>
              <w:t xml:space="preserve">Cross-border effect</w:t>
            </w:r>
          </w:p>
        </w:tc>
        <w:tc>
          <w:tcPr>
            <w:tcW w:w="3213" w:type="dxa"/>
          </w:tcPr>
          <w:p>
            <w:pPr>
              <w:pStyle w:val="Celda"/>
            </w:pPr>
          </w:p>
        </w:tc>
        <w:tc>
          <w:tcPr>
            <w:tcW w:w="3213" w:type="dxa"/>
          </w:tcPr>
          <w:p>
            <w:pPr>
              <w:pStyle w:val="Celda"/>
            </w:pPr>
            <w:r>
              <w:t xml:space="preserve">Member States affected.</w:t>
            </w:r>
          </w:p>
        </w:tc>
      </w:tr>
      <w:tr>
        <w:tc>
          <w:tcPr>
            <w:tcW w:w="3213" w:type="dxa"/>
          </w:tcPr>
          <w:p>
            <w:pPr>
              <w:pStyle w:val="Celda"/>
            </w:pPr>
            <w:r>
              <w:t xml:space="preserve">Evidence preserved</w:t>
            </w:r>
          </w:p>
        </w:tc>
        <w:tc>
          <w:tcPr>
            <w:tcW w:w="3213" w:type="dxa"/>
          </w:tcPr>
          <w:p>
            <w:pPr>
              <w:pStyle w:val="Celda"/>
            </w:pPr>
          </w:p>
        </w:tc>
        <w:tc>
          <w:tcPr>
            <w:tcW w:w="3213" w:type="dxa"/>
          </w:tcPr>
          <w:p>
            <w:pPr>
              <w:pStyle w:val="Celda"/>
            </w:pPr>
            <w:r>
              <w:t xml:space="preserve">Logs, versions and configurations preserved before the system is modified (37 §4.5; Art. 73(6) for high-risk providers).</w:t>
            </w:r>
          </w:p>
        </w:tc>
      </w:tr>
      <w:tr>
        <w:tc>
          <w:tcPr>
            <w:tcW w:w="3213" w:type="dxa"/>
          </w:tcPr>
          <w:p>
            <w:pPr>
              <w:pStyle w:val="Celda"/>
            </w:pPr>
            <w:r>
              <w:t xml:space="preserve">Nature of the report</w:t>
            </w:r>
          </w:p>
        </w:tc>
        <w:tc>
          <w:tcPr>
            <w:tcW w:w="3213" w:type="dxa"/>
          </w:tcPr>
          <w:p>
            <w:pPr>
              <w:pStyle w:val="Celda"/>
            </w:pPr>
          </w:p>
        </w:tc>
        <w:tc>
          <w:tcPr>
            <w:tcW w:w="3213" w:type="dxa"/>
          </w:tcPr>
          <w:p>
            <w:pPr>
              <w:pStyle w:val="Celda"/>
            </w:pPr>
            <w:r>
              <w:t xml:space="preserve">Initial · Intermediate · Final · Supplement to an incomplete report.</w:t>
            </w:r>
          </w:p>
        </w:tc>
      </w:tr>
    </w:tbl>
    <w:p>
      <w:pPr>
        <w:pStyle w:val="Espacio"/>
      </w:pPr>
    </w:p>
    <w:p>
      <w:pPr>
        <w:pStyle w:val="Separador"/>
      </w:pPr>
    </w:p>
    <w:p>
      <w:pPr>
        <w:pStyle w:val="Heading1"/>
      </w:pPr>
      <w:r>
        <w:t xml:space="preserve">5. Serious incident report (AI Act)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Who reports?</w:t>
            </w:r>
          </w:p>
        </w:tc>
        <w:tc>
          <w:tcPr>
            <w:tcW w:w="3213" w:type="dxa"/>
          </w:tcPr>
          <w:p>
            <w:pPr>
              <w:pStyle w:val="Celda"/>
            </w:pPr>
          </w:p>
        </w:tc>
        <w:tc>
          <w:tcPr>
            <w:tcW w:w="3213" w:type="dxa"/>
          </w:tcPr>
          <w:p>
            <w:pPr>
              <w:pStyle w:val="Celda"/>
            </w:pPr>
            <w:r>
              <w:t xml:space="preserve">Provider of the high-risk system. If the company is a deployer, it </w:t>
            </w:r>
            <w:r>
              <w:rPr>
                <w:b/>
              </w:rPr>
              <w:t xml:space="preserve">immediately</w:t>
            </w:r>
            <w:r>
              <w:t xml:space="preserve"> informs first the provider and then the importer or distributor and the market surveillance authorities (Art. 26(5)).</w:t>
            </w:r>
          </w:p>
        </w:tc>
      </w:tr>
      <w:tr>
        <w:tc>
          <w:tcPr>
            <w:tcW w:w="3213" w:type="dxa"/>
          </w:tcPr>
          <w:p>
            <w:pPr>
              <w:pStyle w:val="Celda"/>
            </w:pPr>
            <w:r>
              <w:t xml:space="preserve">Recipient</w:t>
            </w:r>
          </w:p>
        </w:tc>
        <w:tc>
          <w:tcPr>
            <w:tcW w:w="3213" w:type="dxa"/>
          </w:tcPr>
          <w:p>
            <w:pPr>
              <w:pStyle w:val="Celda"/>
            </w:pPr>
          </w:p>
        </w:tc>
        <w:tc>
          <w:tcPr>
            <w:tcW w:w="3213" w:type="dxa"/>
          </w:tcPr>
          <w:p>
            <w:pPr>
              <w:pStyle w:val="Celda"/>
            </w:pPr>
            <w:r>
              <w:t xml:space="preserve">Market surveillance authority of the Member State where the incident occurred; the EU AI Office for systems within its competence (37 §5).</w:t>
            </w:r>
          </w:p>
        </w:tc>
      </w:tr>
      <w:tr>
        <w:tc>
          <w:tcPr>
            <w:tcW w:w="3213" w:type="dxa"/>
          </w:tcPr>
          <w:p>
            <w:pPr>
              <w:pStyle w:val="Celda"/>
            </w:pPr>
            <w:r>
              <w:t xml:space="preserve">Time limit case</w:t>
            </w:r>
          </w:p>
        </w:tc>
        <w:tc>
          <w:tcPr>
            <w:tcW w:w="3213" w:type="dxa"/>
          </w:tcPr>
          <w:p>
            <w:pPr>
              <w:pStyle w:val="Celda"/>
            </w:pPr>
          </w:p>
        </w:tc>
        <w:tc>
          <w:tcPr>
            <w:tcW w:w="3213" w:type="dxa"/>
          </w:tcPr>
          <w:p>
            <w:pPr>
              <w:pStyle w:val="Celda"/>
            </w:pPr>
            <w:r>
              <w:t xml:space="preserve">General: not later than 15 days · Widespread infringement or serious and irreversible disruption of critical infrastructure: 2 days · Death: 10 days. From becoming aware.</w:t>
            </w:r>
          </w:p>
        </w:tc>
      </w:tr>
      <w:tr>
        <w:tc>
          <w:tcPr>
            <w:tcW w:w="3213" w:type="dxa"/>
          </w:tcPr>
          <w:p>
            <w:pPr>
              <w:pStyle w:val="Celda"/>
            </w:pPr>
            <w:r>
              <w:t xml:space="preserve">Date and time of becoming aware</w:t>
            </w:r>
          </w:p>
        </w:tc>
        <w:tc>
          <w:tcPr>
            <w:tcW w:w="3213" w:type="dxa"/>
          </w:tcPr>
          <w:p>
            <w:pPr>
              <w:pStyle w:val="Celda"/>
            </w:pPr>
          </w:p>
        </w:tc>
        <w:tc>
          <w:tcPr>
            <w:tcW w:w="3213" w:type="dxa"/>
          </w:tcPr>
          <w:p>
            <w:pPr>
              <w:pStyle w:val="Celda"/>
            </w:pPr>
          </w:p>
        </w:tc>
      </w:tr>
      <w:tr>
        <w:tc>
          <w:tcPr>
            <w:tcW w:w="3213" w:type="dxa"/>
          </w:tcPr>
          <w:p>
            <w:pPr>
              <w:pStyle w:val="Celda"/>
            </w:pPr>
            <w:r>
              <w:t xml:space="preserve">Calculated deadline</w:t>
            </w:r>
          </w:p>
        </w:tc>
        <w:tc>
          <w:tcPr>
            <w:tcW w:w="3213" w:type="dxa"/>
          </w:tcPr>
          <w:p>
            <w:pPr>
              <w:pStyle w:val="Celda"/>
            </w:pPr>
          </w:p>
        </w:tc>
        <w:tc>
          <w:tcPr>
            <w:tcW w:w="3213" w:type="dxa"/>
          </w:tcPr>
          <w:p>
            <w:pPr>
              <w:pStyle w:val="Celda"/>
            </w:pPr>
            <w:r>
              <w:t xml:space="preserve">Confirmed by legal counsel.</w:t>
            </w:r>
          </w:p>
        </w:tc>
      </w:tr>
      <w:tr>
        <w:tc>
          <w:tcPr>
            <w:tcW w:w="3213" w:type="dxa"/>
          </w:tcPr>
          <w:p>
            <w:pPr>
              <w:pStyle w:val="Celda"/>
            </w:pPr>
            <w:r>
              <w:t xml:space="preserve">Incomplete initial report</w:t>
            </w:r>
          </w:p>
        </w:tc>
        <w:tc>
          <w:tcPr>
            <w:tcW w:w="3213" w:type="dxa"/>
          </w:tcPr>
          <w:p>
            <w:pPr>
              <w:pStyle w:val="Celda"/>
            </w:pPr>
          </w:p>
        </w:tc>
        <w:tc>
          <w:tcPr>
            <w:tcW w:w="3213" w:type="dxa"/>
          </w:tcPr>
          <w:p>
            <w:pPr>
              <w:pStyle w:val="Celda"/>
            </w:pPr>
            <w:r>
              <w:t xml:space="preserve">Yes · No. What is missing and when it will be completed.</w:t>
            </w:r>
          </w:p>
        </w:tc>
      </w:tr>
      <w:tr>
        <w:tc>
          <w:tcPr>
            <w:tcW w:w="3213" w:type="dxa"/>
          </w:tcPr>
          <w:p>
            <w:pPr>
              <w:pStyle w:val="Celda"/>
            </w:pPr>
            <w:r>
              <w:t xml:space="preserve">Limited regime due to equivalent sector-specific reporting</w:t>
            </w:r>
          </w:p>
        </w:tc>
        <w:tc>
          <w:tcPr>
            <w:tcW w:w="3213" w:type="dxa"/>
          </w:tcPr>
          <w:p>
            <w:pPr>
              <w:pStyle w:val="Celda"/>
            </w:pPr>
          </w:p>
        </w:tc>
        <w:tc>
          <w:tcPr>
            <w:tcW w:w="3213" w:type="dxa"/>
          </w:tcPr>
          <w:p>
            <w:pPr>
              <w:pStyle w:val="Celda"/>
            </w:pPr>
            <w:r>
              <w:t xml:space="preserve">Yes · No, with justification (Art. 73(9) and 73(10)).</w:t>
            </w:r>
          </w:p>
        </w:tc>
      </w:tr>
      <w:tr>
        <w:tc>
          <w:tcPr>
            <w:tcW w:w="3213" w:type="dxa"/>
          </w:tcPr>
          <w:p>
            <w:pPr>
              <w:pStyle w:val="Celda"/>
            </w:pPr>
            <w:r>
              <w:t xml:space="preserve">Form used</w:t>
            </w:r>
          </w:p>
        </w:tc>
        <w:tc>
          <w:tcPr>
            <w:tcW w:w="3213" w:type="dxa"/>
          </w:tcPr>
          <w:p>
            <w:pPr>
              <w:pStyle w:val="Celda"/>
            </w:pPr>
          </w:p>
        </w:tc>
        <w:tc>
          <w:tcPr>
            <w:tcW w:w="3213" w:type="dxa"/>
          </w:tcPr>
          <w:p>
            <w:pPr>
              <w:pStyle w:val="Celda"/>
            </w:pPr>
            <w:r>
              <w:t xml:space="preserve">Official template in force or the authority's channel; version and date.</w:t>
            </w:r>
          </w:p>
        </w:tc>
      </w:tr>
      <w:tr>
        <w:tc>
          <w:tcPr>
            <w:tcW w:w="3213" w:type="dxa"/>
          </w:tcPr>
          <w:p>
            <w:pPr>
              <w:pStyle w:val="Celda"/>
            </w:pPr>
            <w:r>
              <w:t xml:space="preserve">Temporal applicability</w:t>
            </w:r>
          </w:p>
        </w:tc>
        <w:tc>
          <w:tcPr>
            <w:tcW w:w="3213" w:type="dxa"/>
          </w:tcPr>
          <w:p>
            <w:pPr>
              <w:pStyle w:val="Celda"/>
            </w:pPr>
          </w:p>
        </w:tc>
        <w:tc>
          <w:tcPr>
            <w:tcW w:w="3213" w:type="dxa"/>
          </w:tcPr>
          <w:p>
            <w:pPr>
              <w:pStyle w:val="Celda"/>
            </w:pPr>
            <w:r>
              <w:t xml:space="preserve">The obligations for the high-risk systems listed in Annex III apply from 2 December 2027; until then, the serious incident criterion is the internal S1 threshold and the assessment is documented (37 §5).</w:t>
            </w:r>
          </w:p>
        </w:tc>
      </w:tr>
    </w:tbl>
    <w:p>
      <w:pPr>
        <w:pStyle w:val="Espacio"/>
      </w:pPr>
    </w:p>
    <w:p>
      <w:pPr>
        <w:pStyle w:val="Separador"/>
      </w:pPr>
    </w:p>
    <w:p>
      <w:pPr>
        <w:pStyle w:val="Heading1"/>
      </w:pPr>
      <w:r>
        <w:t xml:space="preserve">6. Personal data breach notification (GDPR)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Competent supervisory authority</w:t>
            </w:r>
          </w:p>
        </w:tc>
        <w:tc>
          <w:tcPr>
            <w:tcW w:w="3213" w:type="dxa"/>
          </w:tcPr>
          <w:p>
            <w:pPr>
              <w:pStyle w:val="Celda"/>
            </w:pPr>
          </w:p>
        </w:tc>
        <w:tc>
          <w:tcPr>
            <w:tcW w:w="3213" w:type="dxa"/>
          </w:tcPr>
          <w:p>
            <w:pPr>
              <w:pStyle w:val="Celda"/>
            </w:pPr>
            <w:r>
              <w:t xml:space="preserve">In Spain, the Spanish Data Protection Agency, except for cross-border processing with another lead authority.</w:t>
            </w:r>
          </w:p>
        </w:tc>
      </w:tr>
      <w:tr>
        <w:tc>
          <w:tcPr>
            <w:tcW w:w="3213" w:type="dxa"/>
          </w:tcPr>
          <w:p>
            <w:pPr>
              <w:pStyle w:val="Celda"/>
            </w:pPr>
            <w:r>
              <w:t xml:space="preserve">Date and time of becoming aware</w:t>
            </w:r>
          </w:p>
        </w:tc>
        <w:tc>
          <w:tcPr>
            <w:tcW w:w="3213" w:type="dxa"/>
          </w:tcPr>
          <w:p>
            <w:pPr>
              <w:pStyle w:val="Celda"/>
            </w:pPr>
          </w:p>
        </w:tc>
        <w:tc>
          <w:tcPr>
            <w:tcW w:w="3213" w:type="dxa"/>
          </w:tcPr>
          <w:p>
            <w:pPr>
              <w:pStyle w:val="Celda"/>
            </w:pPr>
          </w:p>
        </w:tc>
      </w:tr>
      <w:tr>
        <w:tc>
          <w:tcPr>
            <w:tcW w:w="3213" w:type="dxa"/>
          </w:tcPr>
          <w:p>
            <w:pPr>
              <w:pStyle w:val="Celda"/>
            </w:pPr>
            <w:r>
              <w:t xml:space="preserve">72-hour deadline</w:t>
            </w:r>
          </w:p>
        </w:tc>
        <w:tc>
          <w:tcPr>
            <w:tcW w:w="3213" w:type="dxa"/>
          </w:tcPr>
          <w:p>
            <w:pPr>
              <w:pStyle w:val="Celda"/>
            </w:pPr>
          </w:p>
        </w:tc>
        <w:tc>
          <w:tcPr>
            <w:tcW w:w="3213" w:type="dxa"/>
          </w:tcPr>
          <w:p>
            <w:pPr>
              <w:pStyle w:val="Celda"/>
            </w:pPr>
            <w:r>
              <w:t xml:space="preserve">If notified later, reasons for the delay.</w:t>
            </w:r>
          </w:p>
        </w:tc>
      </w:tr>
      <w:tr>
        <w:tc>
          <w:tcPr>
            <w:tcW w:w="3213" w:type="dxa"/>
          </w:tcPr>
          <w:p>
            <w:pPr>
              <w:pStyle w:val="Celda"/>
            </w:pPr>
            <w:r>
              <w:t xml:space="preserve">Content</w:t>
            </w:r>
          </w:p>
        </w:tc>
        <w:tc>
          <w:tcPr>
            <w:tcW w:w="3213" w:type="dxa"/>
          </w:tcPr>
          <w:p>
            <w:pPr>
              <w:pStyle w:val="Celda"/>
            </w:pPr>
          </w:p>
        </w:tc>
        <w:tc>
          <w:tcPr>
            <w:tcW w:w="3213" w:type="dxa"/>
          </w:tcPr>
          <w:p>
            <w:pPr>
              <w:pStyle w:val="Celda"/>
            </w:pPr>
            <w:r>
              <w:t xml:space="preserve">Nature of the breach; categories and approximate number of data subjects and records; contact details of the data protection officer; likely consequences; measures taken or proposed, including mitigation measures. If not all the information is available, it is provided in phases.</w:t>
            </w:r>
          </w:p>
        </w:tc>
      </w:tr>
      <w:tr>
        <w:tc>
          <w:tcPr>
            <w:tcW w:w="3213" w:type="dxa"/>
          </w:tcPr>
          <w:p>
            <w:pPr>
              <w:pStyle w:val="Celda"/>
            </w:pPr>
            <w:r>
              <w:t xml:space="preserve">Processor involved</w:t>
            </w:r>
          </w:p>
        </w:tc>
        <w:tc>
          <w:tcPr>
            <w:tcW w:w="3213" w:type="dxa"/>
          </w:tcPr>
          <w:p>
            <w:pPr>
              <w:pStyle w:val="Celda"/>
            </w:pPr>
          </w:p>
        </w:tc>
        <w:tc>
          <w:tcPr>
            <w:tcW w:w="3213" w:type="dxa"/>
          </w:tcPr>
          <w:p>
            <w:pPr>
              <w:pStyle w:val="Celda"/>
            </w:pPr>
            <w:r>
              <w:t xml:space="preserve">Date on which it notified the company.</w:t>
            </w:r>
          </w:p>
        </w:tc>
      </w:tr>
      <w:tr>
        <w:tc>
          <w:tcPr>
            <w:tcW w:w="3213" w:type="dxa"/>
          </w:tcPr>
          <w:p>
            <w:pPr>
              <w:pStyle w:val="Celda"/>
            </w:pPr>
            <w:r>
              <w:t xml:space="preserve">Internal documentation of the breach</w:t>
            </w:r>
          </w:p>
        </w:tc>
        <w:tc>
          <w:tcPr>
            <w:tcW w:w="3213" w:type="dxa"/>
          </w:tcPr>
          <w:p>
            <w:pPr>
              <w:pStyle w:val="Celda"/>
            </w:pPr>
          </w:p>
        </w:tc>
        <w:tc>
          <w:tcPr>
            <w:tcW w:w="3213" w:type="dxa"/>
          </w:tcPr>
          <w:p>
            <w:pPr>
              <w:pStyle w:val="Celda"/>
            </w:pPr>
            <w:r>
              <w:t xml:space="preserve">All breaches are documented, whether or not they are notified.</w:t>
            </w:r>
          </w:p>
        </w:tc>
      </w:tr>
    </w:tbl>
    <w:p>
      <w:pPr>
        <w:pStyle w:val="Espacio"/>
      </w:pPr>
    </w:p>
    <w:p>
      <w:pPr>
        <w:pStyle w:val="Separador"/>
      </w:pPr>
    </w:p>
    <w:p>
      <w:pPr>
        <w:pStyle w:val="Heading1"/>
      </w:pPr>
      <w:r>
        <w:t xml:space="preserve">7. DORA and NIS2 reports</w:t>
      </w:r>
    </w:p>
    <w:p>
      <w:r>
        <w:t xml:space="preserve">By reference only: the official forms and channels are used. This table follows the phases and time limits of 37 §5.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Regime</w:t>
            </w:r>
          </w:p>
        </w:tc>
        <w:tc>
          <w:tcPr>
            <w:tcW w:w="1606" w:type="dxa"/>
            <w:shd w:val="clear" w:color="auto" w:fill="F2DFCE"/>
          </w:tcPr>
          <w:p>
            <w:pPr>
              <w:pStyle w:val="Celda"/>
            </w:pPr>
            <w:r>
              <w:rPr>
                <w:b/>
              </w:rPr>
              <w:t xml:space="preserve">Phase</w:t>
            </w:r>
          </w:p>
        </w:tc>
        <w:tc>
          <w:tcPr>
            <w:tcW w:w="1606" w:type="dxa"/>
            <w:shd w:val="clear" w:color="auto" w:fill="F2DFCE"/>
          </w:tcPr>
          <w:p>
            <w:pPr>
              <w:pStyle w:val="Celda"/>
            </w:pPr>
            <w:r>
              <w:rPr>
                <w:b/>
              </w:rPr>
              <w:t xml:space="preserve">Reference time limit (37 §5)</w:t>
            </w:r>
          </w:p>
        </w:tc>
        <w:tc>
          <w:tcPr>
            <w:tcW w:w="1606" w:type="dxa"/>
            <w:shd w:val="clear" w:color="auto" w:fill="F2DFCE"/>
          </w:tcPr>
          <w:p>
            <w:pPr>
              <w:pStyle w:val="Celda"/>
            </w:pPr>
            <w:r>
              <w:rPr>
                <w:b/>
              </w:rPr>
              <w:t xml:space="preserve">Deadline</w:t>
            </w:r>
          </w:p>
        </w:tc>
        <w:tc>
          <w:tcPr>
            <w:tcW w:w="1606" w:type="dxa"/>
            <w:shd w:val="clear" w:color="auto" w:fill="F2DFCE"/>
          </w:tcPr>
          <w:p>
            <w:pPr>
              <w:pStyle w:val="Celda"/>
            </w:pPr>
            <w:r>
              <w:rPr>
                <w:b/>
              </w:rPr>
              <w:t xml:space="preserve">Sent (date and time)</w:t>
            </w:r>
          </w:p>
        </w:tc>
        <w:tc>
          <w:tcPr>
            <w:tcW w:w="1606" w:type="dxa"/>
            <w:shd w:val="clear" w:color="auto" w:fill="F2DFCE"/>
          </w:tcPr>
          <w:p>
            <w:pPr>
              <w:pStyle w:val="Celda"/>
            </w:pPr>
            <w:r>
              <w:rPr>
                <w:b/>
              </w:rPr>
              <w:t xml:space="preserve">Authority reference</w:t>
            </w:r>
          </w:p>
        </w:tc>
      </w:tr>
      <w:tr>
        <w:tc>
          <w:tcPr>
            <w:tcW w:w="1606" w:type="dxa"/>
          </w:tcPr>
          <w:p>
            <w:pPr>
              <w:pStyle w:val="Celda"/>
            </w:pPr>
            <w:r>
              <w:t xml:space="preserve">DORA</w:t>
            </w:r>
          </w:p>
        </w:tc>
        <w:tc>
          <w:tcPr>
            <w:tcW w:w="1606" w:type="dxa"/>
          </w:tcPr>
          <w:p>
            <w:pPr>
              <w:pStyle w:val="Celda"/>
            </w:pPr>
            <w:r>
              <w:t xml:space="preserve">Initial notification</w:t>
            </w:r>
          </w:p>
        </w:tc>
        <w:tc>
          <w:tcPr>
            <w:tcW w:w="1606" w:type="dxa"/>
          </w:tcPr>
          <w:p>
            <w:pPr>
              <w:pStyle w:val="Celda"/>
            </w:pPr>
            <w:r>
              <w:t xml:space="preserve">4 hours from classification as major and not later than 24 hours after becoming aware</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Intermediate report</w:t>
            </w:r>
          </w:p>
        </w:tc>
        <w:tc>
          <w:tcPr>
            <w:tcW w:w="1606" w:type="dxa"/>
          </w:tcPr>
          <w:p>
            <w:pPr>
              <w:pStyle w:val="Celda"/>
            </w:pPr>
            <w:r>
              <w:t xml:space="preserve">72 hours from the initial notification</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Final report</w:t>
            </w:r>
          </w:p>
        </w:tc>
        <w:tc>
          <w:tcPr>
            <w:tcW w:w="1606" w:type="dxa"/>
          </w:tcPr>
          <w:p>
            <w:pPr>
              <w:pStyle w:val="Celda"/>
            </w:pPr>
            <w:r>
              <w:t xml:space="preserve">One month after the latest intermediate report</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Information to clients</w:t>
            </w:r>
          </w:p>
        </w:tc>
        <w:tc>
          <w:tcPr>
            <w:tcW w:w="1606" w:type="dxa"/>
          </w:tcPr>
          <w:p>
            <w:pPr>
              <w:pStyle w:val="Celda"/>
            </w:pPr>
            <w:r>
              <w:t xml:space="preserve">When the incident affects their financial interests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Early warning</w:t>
            </w:r>
          </w:p>
        </w:tc>
        <w:tc>
          <w:tcPr>
            <w:tcW w:w="1606" w:type="dxa"/>
          </w:tcPr>
          <w:p>
            <w:pPr>
              <w:pStyle w:val="Celda"/>
            </w:pPr>
            <w:r>
              <w:t xml:space="preserve">24 hours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Incident notification</w:t>
            </w:r>
          </w:p>
        </w:tc>
        <w:tc>
          <w:tcPr>
            <w:tcW w:w="1606" w:type="dxa"/>
          </w:tcPr>
          <w:p>
            <w:pPr>
              <w:pStyle w:val="Celda"/>
            </w:pPr>
            <w:r>
              <w:t xml:space="preserve">72 hours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Final report</w:t>
            </w:r>
          </w:p>
        </w:tc>
        <w:tc>
          <w:tcPr>
            <w:tcW w:w="1606" w:type="dxa"/>
          </w:tcPr>
          <w:p>
            <w:pPr>
              <w:pStyle w:val="Celda"/>
            </w:pPr>
            <w:r>
              <w:t xml:space="preserve">One month after the notification</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For financial entities, DORA acts as sector-specific legislation with respect to NIS2 for incident reporting; the regime is confirmed in document 34.</w:t>
      </w:r>
    </w:p>
    <w:p>
      <w:pPr>
        <w:pStyle w:val="Separador"/>
      </w:pPr>
    </w:p>
    <w:p>
      <w:pPr>
        <w:pStyle w:val="Heading1"/>
      </w:pPr>
      <w:r>
        <w:t xml:space="preserve">8. Communication to affected persons</w:t>
      </w:r>
    </w:p>
    <w:p>
      <w:r>
        <w:t xml:space="preserve">Mandatory where the GDPR requires it (likely high risk to individuals) and advisable where the incident affects their decisions or interests even if no rule requires it </w:t>
      </w:r>
      <w:r>
        <w:rPr>
          <w:b/>
        </w:rPr>
        <w:t xml:space="preserve">(Enterprise)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Element of the message</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What happened</w:t>
            </w:r>
          </w:p>
        </w:tc>
        <w:tc>
          <w:tcPr>
            <w:tcW w:w="3213" w:type="dxa"/>
          </w:tcPr>
          <w:p>
            <w:pPr>
              <w:pStyle w:val="Celda"/>
            </w:pPr>
          </w:p>
        </w:tc>
        <w:tc>
          <w:tcPr>
            <w:tcW w:w="3213" w:type="dxa"/>
          </w:tcPr>
          <w:p>
            <w:pPr>
              <w:pStyle w:val="Celda"/>
            </w:pPr>
            <w:r>
              <w:t xml:space="preserve">Clear and plain language, without jargon.</w:t>
            </w:r>
          </w:p>
        </w:tc>
      </w:tr>
      <w:tr>
        <w:tc>
          <w:tcPr>
            <w:tcW w:w="3213" w:type="dxa"/>
          </w:tcPr>
          <w:p>
            <w:pPr>
              <w:pStyle w:val="Celda"/>
            </w:pPr>
            <w:r>
              <w:t xml:space="preserve">Which data or decisions affect them</w:t>
            </w:r>
          </w:p>
        </w:tc>
        <w:tc>
          <w:tcPr>
            <w:tcW w:w="3213" w:type="dxa"/>
          </w:tcPr>
          <w:p>
            <w:pPr>
              <w:pStyle w:val="Celda"/>
            </w:pPr>
          </w:p>
        </w:tc>
        <w:tc>
          <w:tcPr>
            <w:tcW w:w="3213" w:type="dxa"/>
          </w:tcPr>
          <w:p>
            <w:pPr>
              <w:pStyle w:val="Celda"/>
            </w:pPr>
          </w:p>
        </w:tc>
      </w:tr>
      <w:tr>
        <w:tc>
          <w:tcPr>
            <w:tcW w:w="3213" w:type="dxa"/>
          </w:tcPr>
          <w:p>
            <w:pPr>
              <w:pStyle w:val="Celda"/>
            </w:pPr>
            <w:r>
              <w:t xml:space="preserve">Possible consequences</w:t>
            </w:r>
          </w:p>
        </w:tc>
        <w:tc>
          <w:tcPr>
            <w:tcW w:w="3213" w:type="dxa"/>
          </w:tcPr>
          <w:p>
            <w:pPr>
              <w:pStyle w:val="Celda"/>
            </w:pPr>
          </w:p>
        </w:tc>
        <w:tc>
          <w:tcPr>
            <w:tcW w:w="3213" w:type="dxa"/>
          </w:tcPr>
          <w:p>
            <w:pPr>
              <w:pStyle w:val="Celda"/>
            </w:pPr>
            <w:r>
              <w:t xml:space="preserve">Without minimising or causing alarm.</w:t>
            </w:r>
          </w:p>
        </w:tc>
      </w:tr>
      <w:tr>
        <w:tc>
          <w:tcPr>
            <w:tcW w:w="3213" w:type="dxa"/>
          </w:tcPr>
          <w:p>
            <w:pPr>
              <w:pStyle w:val="Celda"/>
            </w:pPr>
            <w:r>
              <w:t xml:space="preserve">What the company has done</w:t>
            </w:r>
          </w:p>
        </w:tc>
        <w:tc>
          <w:tcPr>
            <w:tcW w:w="3213" w:type="dxa"/>
          </w:tcPr>
          <w:p>
            <w:pPr>
              <w:pStyle w:val="Celda"/>
            </w:pPr>
          </w:p>
        </w:tc>
        <w:tc>
          <w:tcPr>
            <w:tcW w:w="3213" w:type="dxa"/>
          </w:tcPr>
          <w:p>
            <w:pPr>
              <w:pStyle w:val="Celda"/>
            </w:pPr>
            <w:r>
              <w:t xml:space="preserve">Containment and correction.</w:t>
            </w:r>
          </w:p>
        </w:tc>
      </w:tr>
      <w:tr>
        <w:tc>
          <w:tcPr>
            <w:tcW w:w="3213" w:type="dxa"/>
          </w:tcPr>
          <w:p>
            <w:pPr>
              <w:pStyle w:val="Celda"/>
            </w:pPr>
            <w:r>
              <w:t xml:space="preserve">What they can do</w:t>
            </w:r>
          </w:p>
        </w:tc>
        <w:tc>
          <w:tcPr>
            <w:tcW w:w="3213" w:type="dxa"/>
          </w:tcPr>
          <w:p>
            <w:pPr>
              <w:pStyle w:val="Celda"/>
            </w:pPr>
          </w:p>
        </w:tc>
        <w:tc>
          <w:tcPr>
            <w:tcW w:w="3213" w:type="dxa"/>
          </w:tcPr>
          <w:p>
            <w:pPr>
              <w:pStyle w:val="Celda"/>
            </w:pPr>
            <w:r>
              <w:t xml:space="preserve">Recommended protective measures; human review of affected decisions.</w:t>
            </w:r>
          </w:p>
        </w:tc>
      </w:tr>
      <w:tr>
        <w:tc>
          <w:tcPr>
            <w:tcW w:w="3213" w:type="dxa"/>
          </w:tcPr>
          <w:p>
            <w:pPr>
              <w:pStyle w:val="Celda"/>
            </w:pPr>
            <w:r>
              <w:t xml:space="preserve">Contact</w:t>
            </w:r>
          </w:p>
        </w:tc>
        <w:tc>
          <w:tcPr>
            <w:tcW w:w="3213" w:type="dxa"/>
          </w:tcPr>
          <w:p>
            <w:pPr>
              <w:pStyle w:val="Celda"/>
            </w:pPr>
          </w:p>
        </w:tc>
        <w:tc>
          <w:tcPr>
            <w:tcW w:w="3213" w:type="dxa"/>
          </w:tcPr>
          <w:p>
            <w:pPr>
              <w:pStyle w:val="Celda"/>
            </w:pPr>
            <w:r>
              <w:t xml:space="preserve">Data protection officer or a specific point of contact.</w:t>
            </w:r>
          </w:p>
        </w:tc>
      </w:tr>
      <w:tr>
        <w:tc>
          <w:tcPr>
            <w:tcW w:w="3213" w:type="dxa"/>
          </w:tcPr>
          <w:p>
            <w:pPr>
              <w:pStyle w:val="Celda"/>
            </w:pPr>
            <w:r>
              <w:t xml:space="preserve">Channel and date sent</w:t>
            </w:r>
          </w:p>
        </w:tc>
        <w:tc>
          <w:tcPr>
            <w:tcW w:w="3213" w:type="dxa"/>
          </w:tcPr>
          <w:p>
            <w:pPr>
              <w:pStyle w:val="Celda"/>
            </w:pPr>
          </w:p>
        </w:tc>
        <w:tc>
          <w:tcPr>
            <w:tcW w:w="3213" w:type="dxa"/>
          </w:tcPr>
          <w:p>
            <w:pPr>
              <w:pStyle w:val="Celda"/>
            </w:pPr>
          </w:p>
        </w:tc>
      </w:tr>
    </w:tbl>
    <w:p>
      <w:pPr>
        <w:pStyle w:val="Espacio"/>
      </w:pPr>
    </w:p>
    <w:p>
      <w:r>
        <w:rPr>
          <w:i/>
        </w:rPr>
        <w:t xml:space="preserve">(illustrative example)</w:t>
      </w:r>
      <w:r>
        <w:t xml:space="preserve"> "On 12 November, for about 20 minutes, an error in our enquiries assistant displayed your name and telephone number to another customer. We have corrected the fault and the assistant now operates with additional controls. No bank details or passwords were visible. If you receive unexpected calls on behalf of the company, do not provide any data and contact our data protection officer through the usual channel."</w:t>
      </w:r>
    </w:p>
    <w:p>
      <w:pPr>
        <w:pStyle w:val="Separador"/>
      </w:pPr>
    </w:p>
    <w:p>
      <w:pPr>
        <w:pStyle w:val="Heading1"/>
      </w:pPr>
      <w:r>
        <w:t xml:space="preserve">9. Internal and customer communication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Recipient</w:t>
            </w:r>
          </w:p>
        </w:tc>
        <w:tc>
          <w:tcPr>
            <w:tcW w:w="1606" w:type="dxa"/>
            <w:shd w:val="clear" w:color="auto" w:fill="F2DFCE"/>
          </w:tcPr>
          <w:p>
            <w:pPr>
              <w:pStyle w:val="Celda"/>
            </w:pPr>
            <w:r>
              <w:rPr>
                <w:b/>
              </w:rPr>
              <w:t xml:space="preserve">Timing</w:t>
            </w:r>
          </w:p>
        </w:tc>
        <w:tc>
          <w:tcPr>
            <w:tcW w:w="1606" w:type="dxa"/>
            <w:shd w:val="clear" w:color="auto" w:fill="F2DFCE"/>
          </w:tcPr>
          <w:p>
            <w:pPr>
              <w:pStyle w:val="Celda"/>
            </w:pPr>
            <w:r>
              <w:rPr>
                <w:b/>
              </w:rPr>
              <w:t xml:space="preserve">Minimum content</w:t>
            </w:r>
          </w:p>
        </w:tc>
        <w:tc>
          <w:tcPr>
            <w:tcW w:w="1606" w:type="dxa"/>
            <w:shd w:val="clear" w:color="auto" w:fill="F2DFCE"/>
          </w:tcPr>
          <w:p>
            <w:pPr>
              <w:pStyle w:val="Celda"/>
            </w:pPr>
            <w:r>
              <w:rPr>
                <w:b/>
              </w:rPr>
              <w:t xml:space="preserve">Author</w:t>
            </w:r>
          </w:p>
        </w:tc>
        <w:tc>
          <w:tcPr>
            <w:tcW w:w="1606" w:type="dxa"/>
            <w:shd w:val="clear" w:color="auto" w:fill="F2DFCE"/>
          </w:tcPr>
          <w:p>
            <w:pPr>
              <w:pStyle w:val="Celda"/>
            </w:pPr>
            <w:r>
              <w:rPr>
                <w:b/>
              </w:rPr>
              <w:t xml:space="preserve">Validated by</w:t>
            </w:r>
          </w:p>
        </w:tc>
        <w:tc>
          <w:tcPr>
            <w:tcW w:w="1606" w:type="dxa"/>
            <w:shd w:val="clear" w:color="auto" w:fill="F2DFCE"/>
          </w:tcPr>
          <w:p>
            <w:pPr>
              <w:pStyle w:val="Celda"/>
            </w:pPr>
            <w:r>
              <w:rPr>
                <w:b/>
              </w:rPr>
              <w:t xml:space="preserve">Sent</w:t>
            </w:r>
          </w:p>
        </w:tc>
      </w:tr>
      <w:tr>
        <w:tc>
          <w:tcPr>
            <w:tcW w:w="1606" w:type="dxa"/>
          </w:tcPr>
          <w:p>
            <w:pPr>
              <w:pStyle w:val="Celda"/>
            </w:pPr>
            <w:r>
              <w:t xml:space="preserve">AI Committee</w:t>
            </w:r>
          </w:p>
        </w:tc>
        <w:tc>
          <w:tcPr>
            <w:tcW w:w="1606" w:type="dxa"/>
          </w:tcPr>
          <w:p>
            <w:pPr>
              <w:pStyle w:val="Celda"/>
            </w:pPr>
            <w:r>
              <w:t xml:space="preserve">S1: 4 hours · S2: 24 hours (37 §4.3)</w:t>
            </w:r>
          </w:p>
        </w:tc>
        <w:tc>
          <w:tcPr>
            <w:tcW w:w="1606" w:type="dxa"/>
          </w:tcPr>
          <w:p>
            <w:pPr>
              <w:pStyle w:val="Celda"/>
            </w:pPr>
            <w:r>
              <w:t xml:space="preserve">What happened, who is affected, what has been contained, reports made or within time limits, decisions that may be required</w:t>
            </w:r>
          </w:p>
        </w:tc>
        <w:tc>
          <w:tcPr>
            <w:tcW w:w="1606" w:type="dxa"/>
          </w:tcPr>
          <w:p>
            <w:pPr>
              <w:pStyle w:val="Celda"/>
            </w:pPr>
            <w:r>
              <w:t xml:space="preserve">Coordinator</w:t>
            </w:r>
          </w:p>
        </w:tc>
        <w:tc>
          <w:tcPr>
            <w:tcW w:w="1606" w:type="dxa"/>
          </w:tcPr>
          <w:p>
            <w:pPr>
              <w:pStyle w:val="Celda"/>
            </w:pPr>
            <w:r>
              <w:t xml:space="preserve">AI Risk Owner</w:t>
            </w:r>
          </w:p>
        </w:tc>
        <w:tc>
          <w:tcPr>
            <w:tcW w:w="1606" w:type="dxa"/>
          </w:tcPr>
          <w:p>
            <w:pPr>
              <w:pStyle w:val="Celda"/>
            </w:pPr>
          </w:p>
        </w:tc>
      </w:tr>
      <w:tr>
        <w:tc>
          <w:tcPr>
            <w:tcW w:w="1606" w:type="dxa"/>
          </w:tcPr>
          <w:p>
            <w:pPr>
              <w:pStyle w:val="Celda"/>
            </w:pPr>
            <w:r>
              <w:t xml:space="preserve">Board committee</w:t>
            </w:r>
          </w:p>
        </w:tc>
        <w:tc>
          <w:tcPr>
            <w:tcW w:w="1606" w:type="dxa"/>
          </w:tcPr>
          <w:p>
            <w:pPr>
              <w:pStyle w:val="Celda"/>
            </w:pPr>
            <w:r>
              <w:t xml:space="preserve">S1: 24 hours</w:t>
            </w:r>
          </w:p>
        </w:tc>
        <w:tc>
          <w:tcPr>
            <w:tcW w:w="1606" w:type="dxa"/>
          </w:tcPr>
          <w:p>
            <w:pPr>
              <w:pStyle w:val="Celda"/>
            </w:pPr>
            <w:r>
              <w:t xml:space="preserve">As above, with confirmed facts separated from assessments (37 §9)</w:t>
            </w:r>
          </w:p>
        </w:tc>
        <w:tc>
          <w:tcPr>
            <w:tcW w:w="1606" w:type="dxa"/>
          </w:tcPr>
          <w:p>
            <w:pPr>
              <w:pStyle w:val="Celda"/>
            </w:pPr>
            <w:r>
              <w:t xml:space="preserve">AI Sponsor</w:t>
            </w:r>
          </w:p>
        </w:tc>
        <w:tc>
          <w:tcPr>
            <w:tcW w:w="1606" w:type="dxa"/>
          </w:tcPr>
          <w:p>
            <w:pPr>
              <w:pStyle w:val="Celda"/>
            </w:pPr>
            <w:r>
              <w:t xml:space="preserve">AI Committee</w:t>
            </w:r>
          </w:p>
        </w:tc>
        <w:tc>
          <w:tcPr>
            <w:tcW w:w="1606" w:type="dxa"/>
          </w:tcPr>
          <w:p>
            <w:pPr>
              <w:pStyle w:val="Celda"/>
            </w:pPr>
          </w:p>
        </w:tc>
      </w:tr>
      <w:tr>
        <w:tc>
          <w:tcPr>
            <w:tcW w:w="1606" w:type="dxa"/>
          </w:tcPr>
          <w:p>
            <w:pPr>
              <w:pStyle w:val="Celda"/>
            </w:pPr>
            <w:r>
              <w:t xml:space="preserve">Employees who use or oversee the system</w:t>
            </w:r>
          </w:p>
        </w:tc>
        <w:tc>
          <w:tcPr>
            <w:tcW w:w="1606" w:type="dxa"/>
          </w:tcPr>
          <w:p>
            <w:pPr>
              <w:pStyle w:val="Celda"/>
            </w:pPr>
            <w:r>
              <w:t xml:space="preserve">Upon containment</w:t>
            </w:r>
          </w:p>
        </w:tc>
        <w:tc>
          <w:tcPr>
            <w:tcW w:w="1606" w:type="dxa"/>
          </w:tcPr>
          <w:p>
            <w:pPr>
              <w:pStyle w:val="Celda"/>
            </w:pPr>
            <w:r>
              <w:t xml:space="preserve">What changes in their work, fallback process, whom to consult</w:t>
            </w:r>
          </w:p>
        </w:tc>
        <w:tc>
          <w:tcPr>
            <w:tcW w:w="1606" w:type="dxa"/>
          </w:tcPr>
          <w:p>
            <w:pPr>
              <w:pStyle w:val="Celda"/>
            </w:pPr>
            <w:r>
              <w:t xml:space="preserve">AI Product Owner</w:t>
            </w:r>
          </w:p>
        </w:tc>
        <w:tc>
          <w:tcPr>
            <w:tcW w:w="1606" w:type="dxa"/>
          </w:tcPr>
          <w:p>
            <w:pPr>
              <w:pStyle w:val="Celda"/>
            </w:pPr>
            <w:r>
              <w:t xml:space="preserve">Communications</w:t>
            </w:r>
          </w:p>
        </w:tc>
        <w:tc>
          <w:tcPr>
            <w:tcW w:w="1606" w:type="dxa"/>
          </w:tcPr>
          <w:p>
            <w:pPr>
              <w:pStyle w:val="Celda"/>
            </w:pPr>
          </w:p>
        </w:tc>
      </w:tr>
      <w:tr>
        <w:tc>
          <w:tcPr>
            <w:tcW w:w="1606" w:type="dxa"/>
          </w:tcPr>
          <w:p>
            <w:pPr>
              <w:pStyle w:val="Celda"/>
            </w:pPr>
            <w:r>
              <w:t xml:space="preserve">Affected customers (other than natural persons) </w:t>
            </w:r>
            <w:r>
              <w:rPr>
                <w:b/>
              </w:rPr>
              <w:t xml:space="preserve">(Enterprise)</w:t>
            </w:r>
          </w:p>
        </w:tc>
        <w:tc>
          <w:tcPr>
            <w:tcW w:w="1606" w:type="dxa"/>
          </w:tcPr>
          <w:p>
            <w:pPr>
              <w:pStyle w:val="Celda"/>
            </w:pPr>
            <w:r>
              <w:t xml:space="preserve">As per contract or where appropriate</w:t>
            </w:r>
          </w:p>
        </w:tc>
        <w:tc>
          <w:tcPr>
            <w:tcW w:w="1606" w:type="dxa"/>
          </w:tcPr>
          <w:p>
            <w:pPr>
              <w:pStyle w:val="Celda"/>
            </w:pPr>
            <w:r>
              <w:t xml:space="preserve">Facts, effect on the service, measures, contact</w:t>
            </w:r>
          </w:p>
        </w:tc>
        <w:tc>
          <w:tcPr>
            <w:tcW w:w="1606" w:type="dxa"/>
          </w:tcPr>
          <w:p>
            <w:pPr>
              <w:pStyle w:val="Celda"/>
            </w:pPr>
            <w:r>
              <w:t xml:space="preserve">Communications</w:t>
            </w:r>
          </w:p>
        </w:tc>
        <w:tc>
          <w:tcPr>
            <w:tcW w:w="1606" w:type="dxa"/>
          </w:tcPr>
          <w:p>
            <w:pPr>
              <w:pStyle w:val="Celda"/>
            </w:pPr>
            <w:r>
              <w:t xml:space="preserve">Legal</w:t>
            </w:r>
          </w:p>
        </w:tc>
        <w:tc>
          <w:tcPr>
            <w:tcW w:w="1606" w:type="dxa"/>
          </w:tcPr>
          <w:p>
            <w:pPr>
              <w:pStyle w:val="Celda"/>
            </w:pPr>
          </w:p>
        </w:tc>
      </w:tr>
      <w:tr>
        <w:tc>
          <w:tcPr>
            <w:tcW w:w="1606" w:type="dxa"/>
          </w:tcPr>
          <w:p>
            <w:pPr>
              <w:pStyle w:val="Celda"/>
            </w:pPr>
            <w:r>
              <w:t xml:space="preserve">Suppliers involved</w:t>
            </w:r>
          </w:p>
        </w:tc>
        <w:tc>
          <w:tcPr>
            <w:tcW w:w="1606" w:type="dxa"/>
          </w:tcPr>
          <w:p>
            <w:pPr>
              <w:pStyle w:val="Celda"/>
            </w:pPr>
            <w:r>
              <w:t xml:space="preserve">At triage</w:t>
            </w:r>
          </w:p>
        </w:tc>
        <w:tc>
          <w:tcPr>
            <w:tcW w:w="1606" w:type="dxa"/>
          </w:tcPr>
          <w:p>
            <w:pPr>
              <w:pStyle w:val="Celda"/>
            </w:pPr>
            <w:r>
              <w:t xml:space="preserve">Facts, request for information and for preservation of evidence (36 §6)</w:t>
            </w:r>
          </w:p>
        </w:tc>
        <w:tc>
          <w:tcPr>
            <w:tcW w:w="1606" w:type="dxa"/>
          </w:tcPr>
          <w:p>
            <w:pPr>
              <w:pStyle w:val="Celda"/>
            </w:pPr>
            <w:r>
              <w:t xml:space="preserve">AI Technical Owner</w:t>
            </w:r>
          </w:p>
        </w:tc>
        <w:tc>
          <w:tcPr>
            <w:tcW w:w="1606" w:type="dxa"/>
          </w:tcPr>
          <w:p>
            <w:pPr>
              <w:pStyle w:val="Celda"/>
            </w:pPr>
            <w:r>
              <w:t xml:space="preserve">Legal</w:t>
            </w:r>
          </w:p>
        </w:tc>
        <w:tc>
          <w:tcPr>
            <w:tcW w:w="1606" w:type="dxa"/>
          </w:tcPr>
          <w:p>
            <w:pPr>
              <w:pStyle w:val="Celda"/>
            </w:pPr>
          </w:p>
        </w:tc>
      </w:tr>
      <w:tr>
        <w:tc>
          <w:tcPr>
            <w:tcW w:w="1606" w:type="dxa"/>
          </w:tcPr>
          <w:p>
            <w:pPr>
              <w:pStyle w:val="Celda"/>
            </w:pPr>
            <w:r>
              <w:t xml:space="preserve">Public communication </w:t>
            </w:r>
            <w:r>
              <w:rPr>
                <w:b/>
              </w:rPr>
              <w:t xml:space="preserve">(Enterprise)</w:t>
            </w:r>
          </w:p>
        </w:tc>
        <w:tc>
          <w:tcPr>
            <w:tcW w:w="1606" w:type="dxa"/>
          </w:tcPr>
          <w:p>
            <w:pPr>
              <w:pStyle w:val="Celda"/>
            </w:pPr>
            <w:r>
              <w:t xml:space="preserve">Only where appropriate</w:t>
            </w:r>
          </w:p>
        </w:tc>
        <w:tc>
          <w:tcPr>
            <w:tcW w:w="1606" w:type="dxa"/>
          </w:tcPr>
          <w:p>
            <w:pPr>
              <w:pStyle w:val="Celda"/>
            </w:pPr>
            <w:r>
              <w:t xml:space="preserve">Single coordinated message</w:t>
            </w:r>
          </w:p>
        </w:tc>
        <w:tc>
          <w:tcPr>
            <w:tcW w:w="1606" w:type="dxa"/>
          </w:tcPr>
          <w:p>
            <w:pPr>
              <w:pStyle w:val="Celda"/>
            </w:pPr>
            <w:r>
              <w:t xml:space="preserve">Communications</w:t>
            </w:r>
          </w:p>
        </w:tc>
        <w:tc>
          <w:tcPr>
            <w:tcW w:w="1606" w:type="dxa"/>
          </w:tcPr>
          <w:p>
            <w:pPr>
              <w:pStyle w:val="Celda"/>
            </w:pPr>
            <w:r>
              <w:t xml:space="preserve">Legal and AI Sponsor</w:t>
            </w:r>
          </w:p>
        </w:tc>
        <w:tc>
          <w:tcPr>
            <w:tcW w:w="1606" w:type="dxa"/>
          </w:tcPr>
          <w:p>
            <w:pPr>
              <w:pStyle w:val="Celda"/>
            </w:pPr>
          </w:p>
        </w:tc>
      </w:tr>
    </w:tbl>
    <w:p>
      <w:pPr>
        <w:pStyle w:val="Espacio"/>
      </w:pPr>
    </w:p>
    <w:p>
      <w:pPr>
        <w:pStyle w:val="Separador"/>
      </w:pPr>
    </w:p>
    <w:p>
      <w:pPr>
        <w:pStyle w:val="Heading1"/>
      </w:pPr>
      <w:r>
        <w:t xml:space="preserve">10. Register of reports and communications</w:t>
      </w:r>
    </w:p>
    <w:p>
      <w:r>
        <w:t xml:space="preserve">One row per submission. Rows are identified by the incident code and a sequence number (INC-AAAA-NNN · N*nn*).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No.</w:t>
            </w:r>
          </w:p>
        </w:tc>
        <w:tc>
          <w:tcPr>
            <w:tcW w:w="1071" w:type="dxa"/>
            <w:shd w:val="clear" w:color="auto" w:fill="F2DFCE"/>
          </w:tcPr>
          <w:p>
            <w:pPr>
              <w:pStyle w:val="Celda"/>
            </w:pPr>
            <w:r>
              <w:rPr>
                <w:b/>
              </w:rPr>
              <w:t xml:space="preserve">Regime or recipient</w:t>
            </w:r>
          </w:p>
        </w:tc>
        <w:tc>
          <w:tcPr>
            <w:tcW w:w="1071" w:type="dxa"/>
            <w:shd w:val="clear" w:color="auto" w:fill="F2DFCE"/>
          </w:tcPr>
          <w:p>
            <w:pPr>
              <w:pStyle w:val="Celda"/>
            </w:pPr>
            <w:r>
              <w:rPr>
                <w:b/>
              </w:rPr>
              <w:t xml:space="preserve">Type (initial · intermediate · final · communication)</w:t>
            </w:r>
          </w:p>
        </w:tc>
        <w:tc>
          <w:tcPr>
            <w:tcW w:w="1071" w:type="dxa"/>
            <w:shd w:val="clear" w:color="auto" w:fill="F2DFCE"/>
          </w:tcPr>
          <w:p>
            <w:pPr>
              <w:pStyle w:val="Celda"/>
            </w:pPr>
            <w:r>
              <w:rPr>
                <w:b/>
              </w:rPr>
              <w:t xml:space="preserve">Clock from (date and time)</w:t>
            </w:r>
          </w:p>
        </w:tc>
        <w:tc>
          <w:tcPr>
            <w:tcW w:w="1071" w:type="dxa"/>
            <w:shd w:val="clear" w:color="auto" w:fill="F2DFCE"/>
          </w:tcPr>
          <w:p>
            <w:pPr>
              <w:pStyle w:val="Celda"/>
            </w:pPr>
            <w:r>
              <w:rPr>
                <w:b/>
              </w:rPr>
              <w:t xml:space="preserve">Deadline</w:t>
            </w:r>
          </w:p>
        </w:tc>
        <w:tc>
          <w:tcPr>
            <w:tcW w:w="1071" w:type="dxa"/>
            <w:shd w:val="clear" w:color="auto" w:fill="F2DFCE"/>
          </w:tcPr>
          <w:p>
            <w:pPr>
              <w:pStyle w:val="Celda"/>
            </w:pPr>
            <w:r>
              <w:rPr>
                <w:b/>
              </w:rPr>
              <w:t xml:space="preserve">Sent (date and time)</w:t>
            </w:r>
          </w:p>
        </w:tc>
        <w:tc>
          <w:tcPr>
            <w:tcW w:w="1071" w:type="dxa"/>
            <w:shd w:val="clear" w:color="auto" w:fill="F2DFCE"/>
          </w:tcPr>
          <w:p>
            <w:pPr>
              <w:pStyle w:val="Celda"/>
            </w:pPr>
            <w:r>
              <w:rPr>
                <w:b/>
              </w:rPr>
              <w:t xml:space="preserve">On time?</w:t>
            </w:r>
          </w:p>
        </w:tc>
        <w:tc>
          <w:tcPr>
            <w:tcW w:w="1071" w:type="dxa"/>
            <w:shd w:val="clear" w:color="auto" w:fill="F2DFCE"/>
          </w:tcPr>
          <w:p>
            <w:pPr>
              <w:pStyle w:val="Celda"/>
            </w:pPr>
            <w:r>
              <w:rPr>
                <w:b/>
              </w:rPr>
              <w:t xml:space="preserve">Acknowledgement reference</w:t>
            </w:r>
          </w:p>
        </w:tc>
        <w:tc>
          <w:tcPr>
            <w:tcW w:w="1071" w:type="dxa"/>
            <w:shd w:val="clear" w:color="auto" w:fill="F2DFCE"/>
          </w:tcPr>
          <w:p>
            <w:pPr>
              <w:pStyle w:val="Celda"/>
            </w:pPr>
            <w:r>
              <w:rPr>
                <w:b/>
              </w:rPr>
              <w:t xml:space="preserve">Owner</w:t>
            </w:r>
          </w:p>
        </w:tc>
      </w:tr>
      <w:tr>
        <w:tc>
          <w:tcPr>
            <w:tcW w:w="1071" w:type="dxa"/>
          </w:tcPr>
          <w:p>
            <w:pPr>
              <w:pStyle w:val="Celda"/>
            </w:pPr>
            <w:r>
              <w:t xml:space="preserve">N01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N02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(illustrative example)</w:t>
            </w:r>
            <w:r>
              <w:t xml:space="preserve"> INC-2026-021 · N01</w:t>
            </w:r>
          </w:p>
        </w:tc>
        <w:tc>
          <w:tcPr>
            <w:tcW w:w="1071" w:type="dxa"/>
          </w:tcPr>
          <w:p>
            <w:pPr>
              <w:pStyle w:val="Celda"/>
            </w:pPr>
            <w:r>
              <w:t xml:space="preserve">GDPR · supervisory authority</w:t>
            </w:r>
          </w:p>
        </w:tc>
        <w:tc>
          <w:tcPr>
            <w:tcW w:w="1071" w:type="dxa"/>
          </w:tcPr>
          <w:p>
            <w:pPr>
              <w:pStyle w:val="Celda"/>
            </w:pPr>
            <w:r>
              <w:t xml:space="preserve">Initial</w:t>
            </w:r>
          </w:p>
        </w:tc>
        <w:tc>
          <w:tcPr>
            <w:tcW w:w="1071" w:type="dxa"/>
          </w:tcPr>
          <w:p>
            <w:pPr>
              <w:pStyle w:val="Celda"/>
            </w:pPr>
            <w:r>
              <w:t xml:space="preserve">12-11-2026 17:10</w:t>
            </w:r>
          </w:p>
        </w:tc>
        <w:tc>
          <w:tcPr>
            <w:tcW w:w="1071" w:type="dxa"/>
          </w:tcPr>
          <w:p>
            <w:pPr>
              <w:pStyle w:val="Celda"/>
            </w:pPr>
            <w:r>
              <w:t xml:space="preserve">15-11-2026 17:10</w:t>
            </w:r>
          </w:p>
        </w:tc>
        <w:tc>
          <w:tcPr>
            <w:tcW w:w="1071" w:type="dxa"/>
          </w:tcPr>
          <w:p>
            <w:pPr>
              <w:pStyle w:val="Celda"/>
            </w:pPr>
            <w:r>
              <w:t xml:space="preserve">13-11-2026 11:40</w:t>
            </w:r>
          </w:p>
        </w:tc>
        <w:tc>
          <w:tcPr>
            <w:tcW w:w="1071" w:type="dxa"/>
          </w:tcPr>
          <w:p>
            <w:pPr>
              <w:pStyle w:val="Celda"/>
            </w:pPr>
            <w:r>
              <w:t xml:space="preserve">Yes</w:t>
            </w:r>
          </w:p>
        </w:tc>
        <w:tc>
          <w:tcPr>
            <w:tcW w:w="1071" w:type="dxa"/>
          </w:tcPr>
          <w:p>
            <w:pPr>
              <w:pStyle w:val="Celda"/>
            </w:pPr>
            <w:r>
              <w:t xml:space="preserve">Electronic office acknowledgement</w:t>
            </w:r>
          </w:p>
        </w:tc>
        <w:tc>
          <w:tcPr>
            <w:tcW w:w="1071" w:type="dxa"/>
          </w:tcPr>
          <w:p>
            <w:pPr>
              <w:pStyle w:val="Celda"/>
            </w:pPr>
            <w:r>
              <w:t xml:space="preserve">Data protection officer</w:t>
            </w:r>
          </w:p>
        </w:tc>
      </w:tr>
    </w:tbl>
    <w:p>
      <w:pPr>
        <w:pStyle w:val="Espacio"/>
      </w:pPr>
    </w:p>
    <w:p>
      <w:r>
        <w:t xml:space="preserve">A late or omitted report opens a critical nonconformity in P50, in addition to any revealed by the incident (37 §6).</w:t>
      </w:r>
    </w:p>
    <w:p>
      <w:pPr>
        <w:pStyle w:val="Separador"/>
      </w:pPr>
    </w:p>
    <w:p>
      <w:pPr>
        <w:pStyle w:val="Heading1"/>
      </w:pPr>
      <w:r>
        <w:t xml:space="preserve">11. Quality criteria</w:t>
      </w:r>
    </w:p>
    <w:p>
      <w:r>
        <w:t xml:space="preserve">Formal criteria in document 21 (G5.17 and R6.06) and process in document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All regimes have been assessed in parallel with containment, with date and time.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decision not to report is reasoned, dated and validated by legal counsel.</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Time limits are calculated from the moment of awareness and confirmed by legal counsel.</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official forms or channels in force have been used where they exist.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Communications distinguish confirmed facts from ongoing assessments and have been validated.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register makes it possible to demonstrate for each submission that it was made on time.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Missed time limits have an open nonconformity in P50.</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Assesses the regimes</w:t>
            </w:r>
          </w:p>
        </w:tc>
        <w:tc>
          <w:tcPr>
            <w:tcW w:w="1928" w:type="dxa"/>
          </w:tcPr>
          <w:p>
            <w:pPr>
              <w:pStyle w:val="Celda"/>
            </w:pPr>
            <w:r>
              <w:t xml:space="preserve">AI Risk Owner and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breaches and communicates with data subjects</w:t>
            </w:r>
          </w:p>
        </w:tc>
        <w:tc>
          <w:tcPr>
            <w:tcW w:w="1928" w:type="dxa"/>
          </w:tcPr>
          <w:p>
            <w:pPr>
              <w:pStyle w:val="Celda"/>
            </w:pPr>
            <w:r>
              <w:t xml:space="preserve">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the facts</w:t>
            </w:r>
          </w:p>
        </w:tc>
        <w:tc>
          <w:tcPr>
            <w:tcW w:w="1928" w:type="dxa"/>
          </w:tcPr>
          <w:p>
            <w:pPr>
              <w:pStyle w:val="Celda"/>
            </w:pPr>
            <w:r>
              <w:t xml:space="preserve">Incident coordinator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Drafts the communications</w:t>
            </w:r>
          </w:p>
        </w:tc>
        <w:tc>
          <w:tcPr>
            <w:tcW w:w="1928" w:type="dxa"/>
          </w:tcPr>
          <w:p>
            <w:pPr>
              <w:pStyle w:val="Celda"/>
            </w:pPr>
            <w:r>
              <w:t xml:space="preserve">Corporate communications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w:t>
            </w:r>
          </w:p>
        </w:tc>
        <w:tc>
          <w:tcPr>
            <w:tcW w:w="1928" w:type="dxa"/>
          </w:tcPr>
          <w:p>
            <w:pPr>
              <w:pStyle w:val="Celda"/>
            </w:pPr>
            <w:r>
              <w:t xml:space="preserve">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register at R6</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decides not to report does not validate their own decision; validation is carried out by legal counsel.</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Decision whether to report with a reasoned decision not to report, common content, AI Act and GDPR reports, reference to DORA and NIS2, communications to affected persons, internal and customer communications, and a register of time limits in accordance with 37 §5.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P51 · Incident reports and communications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P51 · Incident reports and communications</dc:title>
  <dc:creator>Fernando García Varela</dc:creator>
  <dc:language>en</dc:language>
  <dc:description>sha256:feb42165b910d888ca1aa4e786c6c41424b3aa8daa718a6b08366e167f0003ec</dc:description>
  <cp:keywords>SEVEN-G</cp:keywords>
</cp:coreProperties>
</file>