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Evaluación de proveedor de IA</w:t>
      </w:r>
    </w:p>
    <w:p>
      <w:r>
        <w:rPr>
          <w:b/>
        </w:rPr>
        <w:t xml:space="preserve">Determina el nivel de exigencia de un proveedor de IA, resume su evaluación de diligencia debida, la dependencia que genera y su plan de salida, y comprueba que el contrato incluye las cláusulas clave.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P14 · Evaluación de proveedor de IA</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3, antes de G3, para cada proveedor que aporte modelos, plataformas, datos o servicios de IA a la iniciativa. Se revisa antes de firmar o renovar el contrato, ante cualquier disparador de reevaluación (36 §5) y con la periodicidad del nivel de exigencia.</w:t>
            </w:r>
          </w:p>
        </w:tc>
      </w:tr>
      <w:tr>
        <w:tc>
          <w:tcPr>
            <w:tcW w:w="4819" w:type="dxa"/>
          </w:tcPr>
          <w:p>
            <w:pPr>
              <w:pStyle w:val="Celda"/>
            </w:pPr>
            <w:r>
              <w:rPr>
                <w:b/>
              </w:rPr>
              <w:t xml:space="preserve">Quién la rellena</w:t>
            </w:r>
          </w:p>
        </w:tc>
        <w:tc>
          <w:tcPr>
            <w:tcW w:w="4819" w:type="dxa"/>
          </w:tcPr>
          <w:p>
            <w:pPr>
              <w:pStyle w:val="Celda"/>
            </w:pPr>
            <w:r>
              <w:t xml:space="preserve">El responsable técnico de IA, con compras y el responsable de riesgos de IA. Consulta a seguridad de la información, protección de datos y asesoría jurídica.</w:t>
            </w:r>
          </w:p>
        </w:tc>
      </w:tr>
      <w:tr>
        <w:tc>
          <w:tcPr>
            <w:tcW w:w="4819" w:type="dxa"/>
          </w:tcPr>
          <w:p>
            <w:pPr>
              <w:pStyle w:val="Celda"/>
            </w:pPr>
            <w:r>
              <w:rPr>
                <w:b/>
              </w:rPr>
              <w:t xml:space="preserve">Quién la verifica</w:t>
            </w:r>
          </w:p>
        </w:tc>
        <w:tc>
          <w:tcPr>
            <w:tcW w:w="4819" w:type="dxa"/>
          </w:tcPr>
          <w:p>
            <w:pPr>
              <w:pStyle w:val="Celda"/>
            </w:pPr>
            <w:r>
              <w:t xml:space="preserve">Lite: responsable de riesgos de IA; si ha elaborado la evaluación, verifica la oficina de IA o el auditor de IA. Enterprise: auditor de IA.</w:t>
            </w:r>
          </w:p>
        </w:tc>
      </w:tr>
      <w:tr>
        <w:tc>
          <w:tcPr>
            <w:tcW w:w="4819" w:type="dxa"/>
          </w:tcPr>
          <w:p>
            <w:pPr>
              <w:pStyle w:val="Celda"/>
            </w:pPr>
            <w:r>
              <w:rPr>
                <w:b/>
              </w:rPr>
              <w:t xml:space="preserve">Quién decide</w:t>
            </w:r>
          </w:p>
        </w:tc>
        <w:tc>
          <w:tcPr>
            <w:tcW w:w="4819" w:type="dxa"/>
          </w:tcPr>
          <w:p>
            <w:pPr>
              <w:pStyle w:val="Celda"/>
            </w:pPr>
            <w:r>
              <w:t xml:space="preserve">Se aprueba con G3, según el nivel de exigencia (36 §4.2): N1, responsable de producto con conformidad de compras · N2, patrocinador con conformidad de riesgos y de protección de datos · N3, comité de IA con conformidad de riesgos, seguridad de la información, protección de datos y jurídico.</w:t>
            </w:r>
          </w:p>
        </w:tc>
      </w:tr>
      <w:tr>
        <w:tc>
          <w:tcPr>
            <w:tcW w:w="4819" w:type="dxa"/>
          </w:tcPr>
          <w:p>
            <w:pPr>
              <w:pStyle w:val="Celda"/>
            </w:pPr>
            <w:r>
              <w:rPr>
                <w:b/>
              </w:rPr>
              <w:t xml:space="preserve">Gate en que se revisa</w:t>
            </w:r>
          </w:p>
        </w:tc>
        <w:tc>
          <w:tcPr>
            <w:tcW w:w="4819" w:type="dxa"/>
          </w:tcPr>
          <w:p>
            <w:pPr>
              <w:pStyle w:val="Celda"/>
            </w:pPr>
            <w:r>
              <w:t xml:space="preserve">G3 · Viabilidad; comprobación de cláusulas firmadas en G5.</w:t>
            </w:r>
          </w:p>
        </w:tc>
      </w:tr>
      <w:tr>
        <w:tc>
          <w:tcPr>
            <w:tcW w:w="4819" w:type="dxa"/>
          </w:tcPr>
          <w:p>
            <w:pPr>
              <w:pStyle w:val="Celda"/>
            </w:pPr>
            <w:r>
              <w:rPr>
                <w:b/>
              </w:rPr>
              <w:t xml:space="preserve">Herramienta</w:t>
            </w:r>
          </w:p>
        </w:tc>
        <w:tc>
          <w:tcPr>
            <w:tcW w:w="4819" w:type="dxa"/>
          </w:tcPr>
          <w:p>
            <w:pPr>
              <w:pStyle w:val="Celda"/>
            </w:pPr>
            <w:r>
              <w:t xml:space="preserve">T09 · Registro de proveedores de IA (formato de trabajo en P57).</w:t>
            </w:r>
          </w:p>
        </w:tc>
      </w:tr>
      <w:tr>
        <w:tc>
          <w:tcPr>
            <w:tcW w:w="4819" w:type="dxa"/>
          </w:tcPr>
          <w:p>
            <w:pPr>
              <w:pStyle w:val="Celda"/>
            </w:pPr>
            <w:r>
              <w:rPr>
                <w:b/>
              </w:rPr>
              <w:t xml:space="preserve">Documentos de apoyo</w:t>
            </w:r>
          </w:p>
        </w:tc>
        <w:tc>
          <w:tcPr>
            <w:tcW w:w="4819" w:type="dxa"/>
          </w:tcPr>
          <w:p>
            <w:pPr>
              <w:pStyle w:val="Celda"/>
            </w:pPr>
            <w:r>
              <w:t xml:space="preserve">P55 · Cuestionario de diligencia debida (detalle de los doce bloques que se resumen en la sección 4) · P56 · Cláusulas contractuales tipo (texto modelo de las cláusulas de la sección 5) · P57 · Registro de proveedores y plan de salida.</w:t>
            </w:r>
          </w:p>
        </w:tc>
      </w:tr>
      <w:tr>
        <w:tc>
          <w:tcPr>
            <w:tcW w:w="4819" w:type="dxa"/>
          </w:tcPr>
          <w:p>
            <w:pPr>
              <w:pStyle w:val="Celda"/>
            </w:pPr>
            <w:r>
              <w:rPr>
                <w:b/>
              </w:rPr>
              <w:t xml:space="preserve">Lite frente a Enterprise</w:t>
            </w:r>
          </w:p>
        </w:tc>
        <w:tc>
          <w:tcPr>
            <w:tcW w:w="4819" w:type="dxa"/>
          </w:tcPr>
          <w:p>
            <w:pPr>
              <w:pStyle w:val="Celda"/>
            </w:pPr>
            <w:r>
              <w:t xml:space="preserve">La profundidad depende del nivel de exigencia (N1, N2, N3), no de la intensidad (36 §2, principio 2). Un proveedor N3 implica normalmente intensidad Enterprise (01 §9.2).</w:t>
            </w:r>
          </w:p>
        </w:tc>
      </w:tr>
    </w:tbl>
    <w:p>
      <w:pPr>
        <w:pStyle w:val="Espacio"/>
      </w:pPr>
    </w:p>
    <w:p>
      <w:r>
        <w:t xml:space="preserve">Reglas de cumplimentación:</w:t>
      </w:r>
    </w:p>
    <w:p>
      <w:pPr>
        <w:pStyle w:val="Lista"/>
      </w:pPr>
      <w:r>
        <w:t xml:space="preserve">• El nivel de exigencia se determina por el </w:t>
      </w:r>
      <w:r>
        <w:rPr>
          <w:b/>
        </w:rPr>
        <w:t xml:space="preserve">factor más exigente</w:t>
      </w:r>
      <w:r>
        <w:t xml:space="preserve"> (36 §4.1).</w:t>
      </w:r>
    </w:p>
    <w:p>
      <w:pPr>
        <w:pStyle w:val="Lista"/>
      </w:pPr>
      <w:r>
        <w:t xml:space="preserve">• Los requisitos por nivel son los del documento 36 §4.2: diligencia debida, seguridad, contrato, aprobación, auditoría, seguimiento, salida, incidentes y registro.</w:t>
      </w:r>
    </w:p>
    <w:p>
      <w:pPr>
        <w:pStyle w:val="Lista"/>
      </w:pPr>
      <w:r>
        <w:t xml:space="preserve">• Esta plantilla </w:t>
      </w:r>
      <w:r>
        <w:rPr>
          <w:b/>
        </w:rPr>
        <w:t xml:space="preserve">resume</w:t>
      </w:r>
      <w:r>
        <w:t xml:space="preserve"> la evaluación: el detalle de las preguntas, las respuestas y las evidencias está en P55.</w:t>
      </w:r>
    </w:p>
    <w:p>
      <w:pPr>
        <w:pStyle w:val="Lista"/>
      </w:pPr>
      <w:r>
        <w:t xml:space="preserve">• </w:t>
      </w:r>
      <w:r>
        <w:rPr>
          <w:i/>
        </w:rPr>
        <w:t xml:space="preserve">Este documento no constituye asesoramiento jurídico.</w:t>
      </w:r>
      <w:r>
        <w:t xml:space="preserve"> Referencias consultadas en septiembre de 2026; debe verificarse su vigencia.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Sistemas de IA afectados</w:t>
            </w:r>
          </w:p>
        </w:tc>
        <w:tc>
          <w:tcPr>
            <w:tcW w:w="3213" w:type="dxa"/>
          </w:tcPr>
          <w:p>
            <w:pPr>
              <w:pStyle w:val="Celda"/>
            </w:pPr>
          </w:p>
        </w:tc>
        <w:tc>
          <w:tcPr>
            <w:tcW w:w="3213" w:type="dxa"/>
          </w:tcPr>
          <w:p>
            <w:pPr>
              <w:pStyle w:val="Celda"/>
            </w:pPr>
            <w:r>
              <w:t xml:space="preserve">Códigos de P05.</w:t>
            </w:r>
          </w:p>
        </w:tc>
      </w:tr>
      <w:tr>
        <w:tc>
          <w:tcPr>
            <w:tcW w:w="3213" w:type="dxa"/>
          </w:tcPr>
          <w:p>
            <w:pPr>
              <w:pStyle w:val="Celda"/>
            </w:pPr>
            <w:r>
              <w:t xml:space="preserve">Código de la relación proveedor–servicio</w:t>
            </w:r>
          </w:p>
        </w:tc>
        <w:tc>
          <w:tcPr>
            <w:tcW w:w="3213" w:type="dxa"/>
          </w:tcPr>
          <w:p>
            <w:pPr>
              <w:pStyle w:val="Celda"/>
            </w:pPr>
          </w:p>
        </w:tc>
        <w:tc>
          <w:tcPr>
            <w:tcW w:w="3213" w:type="dxa"/>
          </w:tcPr>
          <w:p>
            <w:pPr>
              <w:pStyle w:val="Celda"/>
            </w:pPr>
            <w:r>
              <w:t xml:space="preserve">PRV-AAAA-NNN del registro T09 (P57).</w:t>
            </w:r>
          </w:p>
        </w:tc>
      </w:tr>
      <w:tr>
        <w:tc>
          <w:tcPr>
            <w:tcW w:w="3213" w:type="dxa"/>
          </w:tcPr>
          <w:p>
            <w:pPr>
              <w:pStyle w:val="Celda"/>
            </w:pPr>
            <w:r>
              <w:t xml:space="preserve">Proveedor</w:t>
            </w:r>
          </w:p>
        </w:tc>
        <w:tc>
          <w:tcPr>
            <w:tcW w:w="3213" w:type="dxa"/>
          </w:tcPr>
          <w:p>
            <w:pPr>
              <w:pStyle w:val="Celda"/>
            </w:pPr>
          </w:p>
        </w:tc>
        <w:tc>
          <w:tcPr>
            <w:tcW w:w="3213" w:type="dxa"/>
          </w:tcPr>
          <w:p>
            <w:pPr>
              <w:pStyle w:val="Celda"/>
            </w:pPr>
            <w:r>
              <w:t xml:space="preserve">Razón social y país de establecimiento.</w:t>
            </w:r>
          </w:p>
        </w:tc>
      </w:tr>
      <w:tr>
        <w:tc>
          <w:tcPr>
            <w:tcW w:w="3213" w:type="dxa"/>
          </w:tcPr>
          <w:p>
            <w:pPr>
              <w:pStyle w:val="Celda"/>
            </w:pPr>
            <w:r>
              <w:t xml:space="preserve">Servicio o componente evaluado</w:t>
            </w:r>
          </w:p>
        </w:tc>
        <w:tc>
          <w:tcPr>
            <w:tcW w:w="3213" w:type="dxa"/>
          </w:tcPr>
          <w:p>
            <w:pPr>
              <w:pStyle w:val="Celda"/>
            </w:pPr>
          </w:p>
        </w:tc>
        <w:tc>
          <w:tcPr>
            <w:tcW w:w="3213" w:type="dxa"/>
          </w:tcPr>
          <w:p>
            <w:pPr>
              <w:pStyle w:val="Celda"/>
            </w:pPr>
            <w:r>
              <w:t xml:space="preserve">Modelo por API, plataforma, software con IA embebida, datos, servicios profesionales.</w:t>
            </w:r>
          </w:p>
        </w:tc>
      </w:tr>
      <w:tr>
        <w:tc>
          <w:tcPr>
            <w:tcW w:w="3213" w:type="dxa"/>
          </w:tcPr>
          <w:p>
            <w:pPr>
              <w:pStyle w:val="Celda"/>
            </w:pPr>
            <w:r>
              <w:t xml:space="preserve">Opción de abastecimiento</w:t>
            </w:r>
          </w:p>
        </w:tc>
        <w:tc>
          <w:tcPr>
            <w:tcW w:w="3213" w:type="dxa"/>
          </w:tcPr>
          <w:p>
            <w:pPr>
              <w:pStyle w:val="Celda"/>
            </w:pPr>
          </w:p>
        </w:tc>
        <w:tc>
          <w:tcPr>
            <w:tcW w:w="3213" w:type="dxa"/>
          </w:tcPr>
          <w:p>
            <w:pPr>
              <w:pStyle w:val="Celda"/>
            </w:pPr>
            <w:r>
              <w:t xml:space="preserve">Construir · Comprar · Adaptar · Aliarse (36 §3.1).</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bl>
    <w:p>
      <w:pPr>
        <w:pStyle w:val="Espacio"/>
      </w:pPr>
    </w:p>
    <w:p>
      <w:pPr>
        <w:pStyle w:val="Separador"/>
      </w:pPr>
    </w:p>
    <w:p>
      <w:pPr>
        <w:pStyle w:val="Heading1"/>
      </w:pPr>
      <w:r>
        <w:t xml:space="preserve">3. Nivel de exigencia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Factor</w:t>
            </w:r>
          </w:p>
        </w:tc>
        <w:tc>
          <w:tcPr>
            <w:tcW w:w="1928" w:type="dxa"/>
            <w:shd w:val="clear" w:color="auto" w:fill="F2DFCE"/>
          </w:tcPr>
          <w:p>
            <w:pPr>
              <w:pStyle w:val="Celda"/>
            </w:pPr>
            <w:r>
              <w:rPr>
                <w:b/>
              </w:rPr>
              <w:t xml:space="preserve">N1 · Estándar</w:t>
            </w:r>
          </w:p>
        </w:tc>
        <w:tc>
          <w:tcPr>
            <w:tcW w:w="1928" w:type="dxa"/>
            <w:shd w:val="clear" w:color="auto" w:fill="F2DFCE"/>
          </w:tcPr>
          <w:p>
            <w:pPr>
              <w:pStyle w:val="Celda"/>
            </w:pPr>
            <w:r>
              <w:rPr>
                <w:b/>
              </w:rPr>
              <w:t xml:space="preserve">N2 · Reforzado</w:t>
            </w:r>
          </w:p>
        </w:tc>
        <w:tc>
          <w:tcPr>
            <w:tcW w:w="1928" w:type="dxa"/>
            <w:shd w:val="clear" w:color="auto" w:fill="F2DFCE"/>
          </w:tcPr>
          <w:p>
            <w:pPr>
              <w:pStyle w:val="Celda"/>
            </w:pPr>
            <w:r>
              <w:rPr>
                <w:b/>
              </w:rPr>
              <w:t xml:space="preserve">N3 · Crítico</w:t>
            </w:r>
          </w:p>
        </w:tc>
        <w:tc>
          <w:tcPr>
            <w:tcW w:w="1928" w:type="dxa"/>
            <w:shd w:val="clear" w:color="auto" w:fill="F2DFCE"/>
          </w:tcPr>
          <w:p>
            <w:pPr>
              <w:pStyle w:val="Celda"/>
            </w:pPr>
            <w:r>
              <w:rPr>
                <w:b/>
              </w:rPr>
              <w:t xml:space="preserve">Valoración</w:t>
            </w:r>
          </w:p>
        </w:tc>
      </w:tr>
      <w:tr>
        <w:tc>
          <w:tcPr>
            <w:tcW w:w="1928" w:type="dxa"/>
          </w:tcPr>
          <w:p>
            <w:pPr>
              <w:pStyle w:val="Celda"/>
            </w:pPr>
            <w:r>
              <w:rPr>
                <w:b/>
              </w:rPr>
              <w:t xml:space="preserve">Criticidad del servicio</w:t>
            </w:r>
          </w:p>
        </w:tc>
        <w:tc>
          <w:tcPr>
            <w:tcW w:w="1928" w:type="dxa"/>
          </w:tcPr>
          <w:p>
            <w:pPr>
              <w:pStyle w:val="Celda"/>
            </w:pPr>
            <w:r>
              <w:t xml:space="preserve">Proceso interno cuya interrupción tendría impacto 1–2 (documento 33).</w:t>
            </w:r>
          </w:p>
        </w:tc>
        <w:tc>
          <w:tcPr>
            <w:tcW w:w="1928" w:type="dxa"/>
          </w:tcPr>
          <w:p>
            <w:pPr>
              <w:pStyle w:val="Celda"/>
            </w:pPr>
            <w:r>
              <w:t xml:space="preserve">Proceso relevante con impacto 3; exposición directa a clientes; decisiones sobre personas.</w:t>
            </w:r>
          </w:p>
        </w:tc>
        <w:tc>
          <w:tcPr>
            <w:tcW w:w="1928" w:type="dxa"/>
          </w:tcPr>
          <w:p>
            <w:pPr>
              <w:pStyle w:val="Celda"/>
            </w:pPr>
            <w:r>
              <w:t xml:space="preserve">Función crítica o importante (incluida la definición de DORA cuando aplique); impacto 4–5; sistema de alto riesgo según el Reglamento de IA.</w:t>
            </w:r>
          </w:p>
        </w:tc>
        <w:tc>
          <w:tcPr>
            <w:tcW w:w="1928" w:type="dxa"/>
          </w:tcPr>
          <w:p>
            <w:pPr>
              <w:pStyle w:val="Celda"/>
            </w:pPr>
            <w:r>
              <w:t xml:space="preserve">N1 · N2 · N3</w:t>
            </w:r>
          </w:p>
        </w:tc>
      </w:tr>
      <w:tr>
        <w:tc>
          <w:tcPr>
            <w:tcW w:w="1928" w:type="dxa"/>
          </w:tcPr>
          <w:p>
            <w:pPr>
              <w:pStyle w:val="Celda"/>
            </w:pPr>
            <w:r>
              <w:rPr>
                <w:b/>
              </w:rPr>
              <w:t xml:space="preserve">Datos tratados</w:t>
            </w:r>
          </w:p>
        </w:tc>
        <w:tc>
          <w:tcPr>
            <w:tcW w:w="1928" w:type="dxa"/>
          </w:tcPr>
          <w:p>
            <w:pPr>
              <w:pStyle w:val="Celda"/>
            </w:pPr>
            <w:r>
              <w:t xml:space="preserve">Públicos o internos no sensibles.</w:t>
            </w:r>
          </w:p>
        </w:tc>
        <w:tc>
          <w:tcPr>
            <w:tcW w:w="1928" w:type="dxa"/>
          </w:tcPr>
          <w:p>
            <w:pPr>
              <w:pStyle w:val="Celda"/>
            </w:pPr>
            <w:r>
              <w:t xml:space="preserve">Datos personales o información confidencial.</w:t>
            </w:r>
          </w:p>
        </w:tc>
        <w:tc>
          <w:tcPr>
            <w:tcW w:w="1928" w:type="dxa"/>
          </w:tcPr>
          <w:p>
            <w:pPr>
              <w:pStyle w:val="Celda"/>
            </w:pPr>
            <w:r>
              <w:t xml:space="preserve">Categorías especiales de datos, datos personales a gran escala, secretos empresariales o información confidencial crítica.</w:t>
            </w:r>
          </w:p>
        </w:tc>
        <w:tc>
          <w:tcPr>
            <w:tcW w:w="1928" w:type="dxa"/>
          </w:tcPr>
          <w:p>
            <w:pPr>
              <w:pStyle w:val="Celda"/>
            </w:pPr>
          </w:p>
        </w:tc>
      </w:tr>
      <w:tr>
        <w:tc>
          <w:tcPr>
            <w:tcW w:w="1928" w:type="dxa"/>
          </w:tcPr>
          <w:p>
            <w:pPr>
              <w:pStyle w:val="Celda"/>
            </w:pPr>
            <w:r>
              <w:rPr>
                <w:b/>
              </w:rPr>
              <w:t xml:space="preserve">Autonomía</w:t>
            </w:r>
          </w:p>
        </w:tc>
        <w:tc>
          <w:tcPr>
            <w:tcW w:w="1928" w:type="dxa"/>
          </w:tcPr>
          <w:p>
            <w:pPr>
              <w:pStyle w:val="Celda"/>
            </w:pPr>
            <w:r>
              <w:t xml:space="preserve">A0: el sistema del proveedor asiste.</w:t>
            </w:r>
          </w:p>
        </w:tc>
        <w:tc>
          <w:tcPr>
            <w:tcW w:w="1928" w:type="dxa"/>
          </w:tcPr>
          <w:p>
            <w:pPr>
              <w:pStyle w:val="Celda"/>
            </w:pPr>
            <w:r>
              <w:t xml:space="preserve">A1, o A2 sin efectos sobre terceros, dinero, datos personales ni producción.</w:t>
            </w:r>
          </w:p>
        </w:tc>
        <w:tc>
          <w:tcPr>
            <w:tcW w:w="1928" w:type="dxa"/>
          </w:tcPr>
          <w:p>
            <w:pPr>
              <w:pStyle w:val="Celda"/>
            </w:pPr>
            <w:r>
              <w:t xml:space="preserve">A2 o A3 con efectos sobre terceros, dinero, datos personales o sistemas de producción.</w:t>
            </w:r>
          </w:p>
        </w:tc>
        <w:tc>
          <w:tcPr>
            <w:tcW w:w="1928" w:type="dxa"/>
          </w:tcPr>
          <w:p>
            <w:pPr>
              <w:pStyle w:val="Celda"/>
            </w:pPr>
          </w:p>
        </w:tc>
      </w:tr>
      <w:tr>
        <w:tc>
          <w:tcPr>
            <w:tcW w:w="1928" w:type="dxa"/>
          </w:tcPr>
          <w:p>
            <w:pPr>
              <w:pStyle w:val="Celda"/>
            </w:pPr>
            <w:r>
              <w:rPr>
                <w:b/>
              </w:rPr>
              <w:t xml:space="preserve">Sustituibilidad</w:t>
            </w:r>
          </w:p>
        </w:tc>
        <w:tc>
          <w:tcPr>
            <w:tcW w:w="1928" w:type="dxa"/>
          </w:tcPr>
          <w:p>
            <w:pPr>
              <w:pStyle w:val="Celda"/>
            </w:pPr>
            <w:r>
              <w:t xml:space="preserve">Sustituible en menos de 3 meses sin coste relevante.</w:t>
            </w:r>
          </w:p>
        </w:tc>
        <w:tc>
          <w:tcPr>
            <w:tcW w:w="1928" w:type="dxa"/>
          </w:tcPr>
          <w:p>
            <w:pPr>
              <w:pStyle w:val="Celda"/>
            </w:pPr>
            <w:r>
              <w:t xml:space="preserve">Sustituible en 3 a 12 meses o con coste relevante.</w:t>
            </w:r>
          </w:p>
        </w:tc>
        <w:tc>
          <w:tcPr>
            <w:tcW w:w="1928" w:type="dxa"/>
          </w:tcPr>
          <w:p>
            <w:pPr>
              <w:pStyle w:val="Celda"/>
            </w:pPr>
            <w:r>
              <w:t xml:space="preserve">Más de 12 meses, coste superior al umbral de materialidad M o sin alternativa.</w:t>
            </w:r>
          </w:p>
        </w:tc>
        <w:tc>
          <w:tcPr>
            <w:tcW w:w="1928" w:type="dxa"/>
          </w:tcPr>
          <w:p>
            <w:pPr>
              <w:pStyle w:val="Celda"/>
            </w:pPr>
          </w:p>
        </w:tc>
      </w:tr>
    </w:tbl>
    <w:p>
      <w:pPr>
        <w:pStyle w:val="Espacio"/>
      </w:pPr>
    </w:p>
    <w:p>
      <w:r>
        <w:t xml:space="preserve">Los plazos de sustituibilidad son orientativos y se aprueban en C2 (documento 13).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rPr>
                <w:b/>
              </w:rPr>
              <w:t xml:space="preserve">Nivel de exigencia</w:t>
            </w:r>
          </w:p>
        </w:tc>
        <w:tc>
          <w:tcPr>
            <w:tcW w:w="3213" w:type="dxa"/>
          </w:tcPr>
          <w:p>
            <w:pPr>
              <w:pStyle w:val="Celda"/>
            </w:pPr>
          </w:p>
        </w:tc>
        <w:tc>
          <w:tcPr>
            <w:tcW w:w="3213" w:type="dxa"/>
          </w:tcPr>
          <w:p>
            <w:pPr>
              <w:pStyle w:val="Celda"/>
            </w:pPr>
            <w:r>
              <w:t xml:space="preserve">N1 Estándar · N2 Reforzado · N3 Crítico. El más alto de los cuatro factores.</w:t>
            </w:r>
          </w:p>
        </w:tc>
      </w:tr>
      <w:tr>
        <w:tc>
          <w:tcPr>
            <w:tcW w:w="3213" w:type="dxa"/>
          </w:tcPr>
          <w:p>
            <w:pPr>
              <w:pStyle w:val="Celda"/>
            </w:pPr>
            <w:r>
              <w:t xml:space="preserve">Justificación</w:t>
            </w:r>
          </w:p>
        </w:tc>
        <w:tc>
          <w:tcPr>
            <w:tcW w:w="3213" w:type="dxa"/>
          </w:tcPr>
          <w:p>
            <w:pPr>
              <w:pStyle w:val="Celda"/>
            </w:pPr>
          </w:p>
        </w:tc>
        <w:tc>
          <w:tcPr>
            <w:tcW w:w="3213" w:type="dxa"/>
          </w:tcPr>
          <w:p>
            <w:pPr>
              <w:pStyle w:val="Celda"/>
            </w:pPr>
          </w:p>
        </w:tc>
      </w:tr>
      <w:tr>
        <w:tc>
          <w:tcPr>
            <w:tcW w:w="3213" w:type="dxa"/>
          </w:tcPr>
          <w:p>
            <w:pPr>
              <w:pStyle w:val="Celda"/>
            </w:pPr>
            <w:r>
              <w:t xml:space="preserve">Tercero TIC que presta servicios en funciones esenciales o importantes (DORA)</w:t>
            </w:r>
          </w:p>
        </w:tc>
        <w:tc>
          <w:tcPr>
            <w:tcW w:w="3213" w:type="dxa"/>
          </w:tcPr>
          <w:p>
            <w:pPr>
              <w:pStyle w:val="Celda"/>
            </w:pPr>
          </w:p>
        </w:tc>
        <w:tc>
          <w:tcPr>
            <w:tcW w:w="3213" w:type="dxa"/>
          </w:tcPr>
          <w:p>
            <w:pPr>
              <w:pStyle w:val="Celda"/>
            </w:pPr>
            <w:r>
              <w:t xml:space="preserve">Sí · No · No aplica. Solo entidades sujetas a DORA.</w:t>
            </w:r>
          </w:p>
        </w:tc>
      </w:tr>
    </w:tbl>
    <w:p>
      <w:pPr>
        <w:pStyle w:val="Espacio"/>
      </w:pPr>
    </w:p>
    <w:p>
      <w:r>
        <w:rPr>
          <w:i/>
        </w:rPr>
        <w:t xml:space="preserve">(ejemplo ilustrativo)</w:t>
      </w:r>
      <w:r>
        <w:t xml:space="preserve"> Proveedor de modelo de lenguaje por API para el asistente de consultas: criticidad N2 (exposición directa a clientes), datos N2 (datos personales de pedidos), autonomía N1 (A0), sustituibilidad N2 (sustituible en unos seis meses). Nivel: </w:t>
      </w:r>
      <w:r>
        <w:rPr>
          <w:b/>
        </w:rPr>
        <w:t xml:space="preserve">N2 Reforzado</w:t>
      </w:r>
      <w:r>
        <w:t xml:space="preserve">.</w:t>
      </w:r>
    </w:p>
    <w:p>
      <w:pPr>
        <w:pStyle w:val="Separador"/>
      </w:pPr>
    </w:p>
    <w:p>
      <w:pPr>
        <w:pStyle w:val="Heading1"/>
      </w:pPr>
      <w:r>
        <w:t xml:space="preserve">4. Evaluación del proveedor</w:t>
      </w:r>
    </w:p>
    <w:p>
      <w:pPr>
        <w:pStyle w:val="Heading2"/>
      </w:pPr>
      <w:r>
        <w:t xml:space="preserve">4.1 Resultado por bloque de diligencia debida</w:t>
      </w:r>
    </w:p>
    <w:p>
      <w:r>
        <w:t xml:space="preserve">Se rellena desde el resumen de P55 §5, con los doce bloques del documento 36 §4.3. Resultado: </w:t>
      </w:r>
      <w:r>
        <w:rPr>
          <w:b/>
        </w:rPr>
        <w:t xml:space="preserve">Conforme · Conforme con observaciones · No conforme · No evaluado</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Bloque</w:t>
            </w:r>
          </w:p>
        </w:tc>
        <w:tc>
          <w:tcPr>
            <w:tcW w:w="3213" w:type="dxa"/>
            <w:shd w:val="clear" w:color="auto" w:fill="F2DFCE"/>
          </w:tcPr>
          <w:p>
            <w:pPr>
              <w:pStyle w:val="Celda"/>
            </w:pPr>
            <w:r>
              <w:rPr>
                <w:b/>
              </w:rPr>
              <w:t xml:space="preserve">Resultado</w:t>
            </w:r>
          </w:p>
        </w:tc>
        <w:tc>
          <w:tcPr>
            <w:tcW w:w="3213" w:type="dxa"/>
            <w:shd w:val="clear" w:color="auto" w:fill="F2DFCE"/>
          </w:tcPr>
          <w:p>
            <w:pPr>
              <w:pStyle w:val="Celda"/>
            </w:pPr>
            <w:r>
              <w:rPr>
                <w:b/>
              </w:rPr>
              <w:t xml:space="preserve">Observaciones</w:t>
            </w:r>
          </w:p>
        </w:tc>
      </w:tr>
      <w:tr>
        <w:tc>
          <w:tcPr>
            <w:tcW w:w="3213" w:type="dxa"/>
          </w:tcPr>
          <w:p>
            <w:pPr>
              <w:pStyle w:val="Celda"/>
            </w:pPr>
            <w:r>
              <w:t xml:space="preserve">1 · Identidad y solvencia</w:t>
            </w:r>
          </w:p>
        </w:tc>
        <w:tc>
          <w:tcPr>
            <w:tcW w:w="3213" w:type="dxa"/>
          </w:tcPr>
          <w:p>
            <w:pPr>
              <w:pStyle w:val="Celda"/>
            </w:pPr>
          </w:p>
        </w:tc>
        <w:tc>
          <w:tcPr>
            <w:tcW w:w="3213" w:type="dxa"/>
          </w:tcPr>
          <w:p>
            <w:pPr>
              <w:pStyle w:val="Celda"/>
            </w:pPr>
          </w:p>
        </w:tc>
      </w:tr>
      <w:tr>
        <w:tc>
          <w:tcPr>
            <w:tcW w:w="3213" w:type="dxa"/>
          </w:tcPr>
          <w:p>
            <w:pPr>
              <w:pStyle w:val="Celda"/>
            </w:pPr>
            <w:r>
              <w:t xml:space="preserve">2 · Servicio y modelo</w:t>
            </w:r>
          </w:p>
        </w:tc>
        <w:tc>
          <w:tcPr>
            <w:tcW w:w="3213" w:type="dxa"/>
          </w:tcPr>
          <w:p>
            <w:pPr>
              <w:pStyle w:val="Celda"/>
            </w:pPr>
          </w:p>
        </w:tc>
        <w:tc>
          <w:tcPr>
            <w:tcW w:w="3213" w:type="dxa"/>
          </w:tcPr>
          <w:p>
            <w:pPr>
              <w:pStyle w:val="Celda"/>
            </w:pPr>
          </w:p>
        </w:tc>
      </w:tr>
      <w:tr>
        <w:tc>
          <w:tcPr>
            <w:tcW w:w="3213" w:type="dxa"/>
          </w:tcPr>
          <w:p>
            <w:pPr>
              <w:pStyle w:val="Celda"/>
            </w:pPr>
            <w:r>
              <w:t xml:space="preserve">3 · Datos</w:t>
            </w:r>
          </w:p>
        </w:tc>
        <w:tc>
          <w:tcPr>
            <w:tcW w:w="3213" w:type="dxa"/>
          </w:tcPr>
          <w:p>
            <w:pPr>
              <w:pStyle w:val="Celda"/>
            </w:pPr>
          </w:p>
        </w:tc>
        <w:tc>
          <w:tcPr>
            <w:tcW w:w="3213" w:type="dxa"/>
          </w:tcPr>
          <w:p>
            <w:pPr>
              <w:pStyle w:val="Celda"/>
            </w:pPr>
          </w:p>
        </w:tc>
      </w:tr>
      <w:tr>
        <w:tc>
          <w:tcPr>
            <w:tcW w:w="3213" w:type="dxa"/>
          </w:tcPr>
          <w:p>
            <w:pPr>
              <w:pStyle w:val="Celda"/>
            </w:pPr>
            <w:r>
              <w:t xml:space="preserve">4 · Subencargados y cadena de suministro</w:t>
            </w:r>
          </w:p>
        </w:tc>
        <w:tc>
          <w:tcPr>
            <w:tcW w:w="3213" w:type="dxa"/>
          </w:tcPr>
          <w:p>
            <w:pPr>
              <w:pStyle w:val="Celda"/>
            </w:pPr>
          </w:p>
        </w:tc>
        <w:tc>
          <w:tcPr>
            <w:tcW w:w="3213" w:type="dxa"/>
          </w:tcPr>
          <w:p>
            <w:pPr>
              <w:pStyle w:val="Celda"/>
            </w:pPr>
          </w:p>
        </w:tc>
      </w:tr>
      <w:tr>
        <w:tc>
          <w:tcPr>
            <w:tcW w:w="3213" w:type="dxa"/>
          </w:tcPr>
          <w:p>
            <w:pPr>
              <w:pStyle w:val="Celda"/>
            </w:pPr>
            <w:r>
              <w:t xml:space="preserve">5 · Seguridad</w:t>
            </w:r>
          </w:p>
        </w:tc>
        <w:tc>
          <w:tcPr>
            <w:tcW w:w="3213" w:type="dxa"/>
          </w:tcPr>
          <w:p>
            <w:pPr>
              <w:pStyle w:val="Celda"/>
            </w:pPr>
          </w:p>
        </w:tc>
        <w:tc>
          <w:tcPr>
            <w:tcW w:w="3213" w:type="dxa"/>
          </w:tcPr>
          <w:p>
            <w:pPr>
              <w:pStyle w:val="Celda"/>
            </w:pPr>
          </w:p>
        </w:tc>
      </w:tr>
      <w:tr>
        <w:tc>
          <w:tcPr>
            <w:tcW w:w="3213" w:type="dxa"/>
          </w:tcPr>
          <w:p>
            <w:pPr>
              <w:pStyle w:val="Celda"/>
            </w:pPr>
            <w:r>
              <w:t xml:space="preserve">6 · Cumplimiento del Reglamento de IA</w:t>
            </w:r>
          </w:p>
        </w:tc>
        <w:tc>
          <w:tcPr>
            <w:tcW w:w="3213" w:type="dxa"/>
          </w:tcPr>
          <w:p>
            <w:pPr>
              <w:pStyle w:val="Celda"/>
            </w:pPr>
          </w:p>
        </w:tc>
        <w:tc>
          <w:tcPr>
            <w:tcW w:w="3213" w:type="dxa"/>
          </w:tcPr>
          <w:p>
            <w:pPr>
              <w:pStyle w:val="Celda"/>
            </w:pPr>
          </w:p>
        </w:tc>
      </w:tr>
      <w:tr>
        <w:tc>
          <w:tcPr>
            <w:tcW w:w="3213" w:type="dxa"/>
          </w:tcPr>
          <w:p>
            <w:pPr>
              <w:pStyle w:val="Celda"/>
            </w:pPr>
            <w:r>
              <w:t xml:space="preserve">7 · Protección de datos</w:t>
            </w:r>
          </w:p>
        </w:tc>
        <w:tc>
          <w:tcPr>
            <w:tcW w:w="3213" w:type="dxa"/>
          </w:tcPr>
          <w:p>
            <w:pPr>
              <w:pStyle w:val="Celda"/>
            </w:pPr>
          </w:p>
        </w:tc>
        <w:tc>
          <w:tcPr>
            <w:tcW w:w="3213" w:type="dxa"/>
          </w:tcPr>
          <w:p>
            <w:pPr>
              <w:pStyle w:val="Celda"/>
            </w:pPr>
          </w:p>
        </w:tc>
      </w:tr>
      <w:tr>
        <w:tc>
          <w:tcPr>
            <w:tcW w:w="3213" w:type="dxa"/>
          </w:tcPr>
          <w:p>
            <w:pPr>
              <w:pStyle w:val="Celda"/>
            </w:pPr>
            <w:r>
              <w:t xml:space="preserve">8 · Propiedad intelectual</w:t>
            </w:r>
          </w:p>
        </w:tc>
        <w:tc>
          <w:tcPr>
            <w:tcW w:w="3213" w:type="dxa"/>
          </w:tcPr>
          <w:p>
            <w:pPr>
              <w:pStyle w:val="Celda"/>
            </w:pPr>
          </w:p>
        </w:tc>
        <w:tc>
          <w:tcPr>
            <w:tcW w:w="3213" w:type="dxa"/>
          </w:tcPr>
          <w:p>
            <w:pPr>
              <w:pStyle w:val="Celda"/>
            </w:pPr>
          </w:p>
        </w:tc>
      </w:tr>
      <w:tr>
        <w:tc>
          <w:tcPr>
            <w:tcW w:w="3213" w:type="dxa"/>
          </w:tcPr>
          <w:p>
            <w:pPr>
              <w:pStyle w:val="Celda"/>
            </w:pPr>
            <w:r>
              <w:t xml:space="preserve">9 · Continuidad</w:t>
            </w:r>
          </w:p>
        </w:tc>
        <w:tc>
          <w:tcPr>
            <w:tcW w:w="3213" w:type="dxa"/>
          </w:tcPr>
          <w:p>
            <w:pPr>
              <w:pStyle w:val="Celda"/>
            </w:pPr>
          </w:p>
        </w:tc>
        <w:tc>
          <w:tcPr>
            <w:tcW w:w="3213" w:type="dxa"/>
          </w:tcPr>
          <w:p>
            <w:pPr>
              <w:pStyle w:val="Celda"/>
            </w:pPr>
          </w:p>
        </w:tc>
      </w:tr>
      <w:tr>
        <w:tc>
          <w:tcPr>
            <w:tcW w:w="3213" w:type="dxa"/>
          </w:tcPr>
          <w:p>
            <w:pPr>
              <w:pStyle w:val="Celda"/>
            </w:pPr>
            <w:r>
              <w:t xml:space="preserve">10 · Incidentes</w:t>
            </w:r>
          </w:p>
        </w:tc>
        <w:tc>
          <w:tcPr>
            <w:tcW w:w="3213" w:type="dxa"/>
          </w:tcPr>
          <w:p>
            <w:pPr>
              <w:pStyle w:val="Celda"/>
            </w:pPr>
          </w:p>
        </w:tc>
        <w:tc>
          <w:tcPr>
            <w:tcW w:w="3213" w:type="dxa"/>
          </w:tcPr>
          <w:p>
            <w:pPr>
              <w:pStyle w:val="Celda"/>
            </w:pPr>
          </w:p>
        </w:tc>
      </w:tr>
      <w:tr>
        <w:tc>
          <w:tcPr>
            <w:tcW w:w="3213" w:type="dxa"/>
          </w:tcPr>
          <w:p>
            <w:pPr>
              <w:pStyle w:val="Celda"/>
            </w:pPr>
            <w:r>
              <w:t xml:space="preserve">11 · Salida</w:t>
            </w:r>
          </w:p>
        </w:tc>
        <w:tc>
          <w:tcPr>
            <w:tcW w:w="3213" w:type="dxa"/>
          </w:tcPr>
          <w:p>
            <w:pPr>
              <w:pStyle w:val="Celda"/>
            </w:pPr>
          </w:p>
        </w:tc>
        <w:tc>
          <w:tcPr>
            <w:tcW w:w="3213" w:type="dxa"/>
          </w:tcPr>
          <w:p>
            <w:pPr>
              <w:pStyle w:val="Celda"/>
            </w:pPr>
          </w:p>
        </w:tc>
      </w:tr>
      <w:tr>
        <w:tc>
          <w:tcPr>
            <w:tcW w:w="3213" w:type="dxa"/>
          </w:tcPr>
          <w:p>
            <w:pPr>
              <w:pStyle w:val="Celda"/>
            </w:pPr>
            <w:r>
              <w:t xml:space="preserve">12 · Ética y uso responsable</w:t>
            </w:r>
          </w:p>
        </w:tc>
        <w:tc>
          <w:tcPr>
            <w:tcW w:w="3213" w:type="dxa"/>
          </w:tcPr>
          <w:p>
            <w:pPr>
              <w:pStyle w:val="Celda"/>
            </w:pPr>
          </w:p>
        </w:tc>
        <w:tc>
          <w:tcPr>
            <w:tcW w:w="3213" w:type="dxa"/>
          </w:tcPr>
          <w:p>
            <w:pPr>
              <w:pStyle w:val="Celda"/>
            </w:pPr>
          </w:p>
        </w:tc>
      </w:tr>
      <w:tr>
        <w:tc>
          <w:tcPr>
            <w:tcW w:w="3213" w:type="dxa"/>
          </w:tcPr>
          <w:p>
            <w:pPr>
              <w:pStyle w:val="Celda"/>
            </w:pPr>
            <w:r>
              <w:t xml:space="preserve">Rendimiento con pruebas propias (P10)</w:t>
            </w:r>
          </w:p>
        </w:tc>
        <w:tc>
          <w:tcPr>
            <w:tcW w:w="3213" w:type="dxa"/>
          </w:tcPr>
          <w:p>
            <w:pPr>
              <w:pStyle w:val="Celda"/>
            </w:pPr>
          </w:p>
        </w:tc>
        <w:tc>
          <w:tcPr>
            <w:tcW w:w="3213" w:type="dxa"/>
          </w:tcPr>
          <w:p>
            <w:pPr>
              <w:pStyle w:val="Celda"/>
            </w:pPr>
            <w:r>
              <w:t xml:space="preserve">Resultados de pruebas propias con datos representativos, no solo cifras del proveedor.</w:t>
            </w:r>
          </w:p>
        </w:tc>
      </w:tr>
    </w:tbl>
    <w:p>
      <w:pPr>
        <w:pStyle w:val="Espacio"/>
      </w:pPr>
    </w:p>
    <w:p>
      <w:pPr>
        <w:pStyle w:val="Heading2"/>
      </w:pPr>
      <w:r>
        <w:t xml:space="preserve">4.2 Dependencia y plan de salida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Concentración</w:t>
            </w:r>
          </w:p>
        </w:tc>
        <w:tc>
          <w:tcPr>
            <w:tcW w:w="3213" w:type="dxa"/>
          </w:tcPr>
          <w:p>
            <w:pPr>
              <w:pStyle w:val="Celda"/>
            </w:pPr>
          </w:p>
        </w:tc>
        <w:tc>
          <w:tcPr>
            <w:tcW w:w="3213" w:type="dxa"/>
          </w:tcPr>
          <w:p>
            <w:pPr>
              <w:pStyle w:val="Celda"/>
            </w:pPr>
            <w:r>
              <w:t xml:space="preserve">Otros sistemas de la compañía que dependen del mismo proveedor (T09; 36 §7.2).</w:t>
            </w:r>
          </w:p>
        </w:tc>
      </w:tr>
      <w:tr>
        <w:tc>
          <w:tcPr>
            <w:tcW w:w="3213" w:type="dxa"/>
          </w:tcPr>
          <w:p>
            <w:pPr>
              <w:pStyle w:val="Celda"/>
            </w:pPr>
            <w:r>
              <w:t xml:space="preserve">Alternativas</w:t>
            </w:r>
          </w:p>
        </w:tc>
        <w:tc>
          <w:tcPr>
            <w:tcW w:w="3213" w:type="dxa"/>
          </w:tcPr>
          <w:p>
            <w:pPr>
              <w:pStyle w:val="Celda"/>
            </w:pPr>
          </w:p>
        </w:tc>
        <w:tc>
          <w:tcPr>
            <w:tcW w:w="3213" w:type="dxa"/>
          </w:tcPr>
          <w:p>
            <w:pPr>
              <w:pStyle w:val="Celda"/>
            </w:pPr>
            <w:r>
              <w:t xml:space="preserve">Proveedores o soluciones alternativos identificados.</w:t>
            </w:r>
          </w:p>
        </w:tc>
      </w:tr>
      <w:tr>
        <w:tc>
          <w:tcPr>
            <w:tcW w:w="3213" w:type="dxa"/>
          </w:tcPr>
          <w:p>
            <w:pPr>
              <w:pStyle w:val="Celda"/>
            </w:pPr>
            <w:r>
              <w:rPr>
                <w:b/>
              </w:rPr>
              <w:t xml:space="preserve">Salida exigida por el nivel</w:t>
            </w:r>
          </w:p>
        </w:tc>
        <w:tc>
          <w:tcPr>
            <w:tcW w:w="3213" w:type="dxa"/>
          </w:tcPr>
          <w:p>
            <w:pPr>
              <w:pStyle w:val="Celda"/>
            </w:pPr>
          </w:p>
        </w:tc>
        <w:tc>
          <w:tcPr>
            <w:tcW w:w="3213" w:type="dxa"/>
          </w:tcPr>
          <w:p>
            <w:pPr>
              <w:pStyle w:val="Celda"/>
            </w:pPr>
            <w:r>
              <w:t xml:space="preserve">N1: exportación de datos garantizada · N2: plan de salida documentado · N3: plan de salida con alternativa identificada y ensayo o prueba documentada (36 §4.2).</w:t>
            </w:r>
          </w:p>
        </w:tc>
      </w:tr>
      <w:tr>
        <w:tc>
          <w:tcPr>
            <w:tcW w:w="3213" w:type="dxa"/>
          </w:tcPr>
          <w:p>
            <w:pPr>
              <w:pStyle w:val="Celda"/>
            </w:pPr>
            <w:r>
              <w:t xml:space="preserve">Plan de salida</w:t>
            </w:r>
          </w:p>
        </w:tc>
        <w:tc>
          <w:tcPr>
            <w:tcW w:w="3213" w:type="dxa"/>
          </w:tcPr>
          <w:p>
            <w:pPr>
              <w:pStyle w:val="Celda"/>
            </w:pPr>
          </w:p>
        </w:tc>
        <w:tc>
          <w:tcPr>
            <w:tcW w:w="3213" w:type="dxa"/>
          </w:tcPr>
          <w:p>
            <w:pPr>
              <w:pStyle w:val="Celda"/>
            </w:pPr>
            <w:r>
              <w:t xml:space="preserve">Referencia al plan de salida y, en N3, a la prueba de portabilidad de P57 §6 y §7.</w:t>
            </w:r>
          </w:p>
        </w:tc>
      </w:tr>
    </w:tbl>
    <w:p>
      <w:pPr>
        <w:pStyle w:val="Espacio"/>
      </w:pPr>
    </w:p>
    <w:p>
      <w:pPr>
        <w:pStyle w:val="Separador"/>
      </w:pPr>
    </w:p>
    <w:p>
      <w:pPr>
        <w:pStyle w:val="Heading1"/>
      </w:pPr>
      <w:r>
        <w:t xml:space="preserve">5. Cláusulas contractuales clave</w:t>
      </w:r>
    </w:p>
    <w:p>
      <w:r>
        <w:t xml:space="preserve">Las dieciséis cláusulas del documento 36 §6. </w:t>
      </w:r>
      <w:r>
        <w:rPr>
          <w:b/>
        </w:rPr>
        <w:t xml:space="preserve">Sí</w:t>
      </w:r>
      <w:r>
        <w:t xml:space="preserve"> = debe figurar · </w:t>
      </w:r>
      <w:r>
        <w:rPr>
          <w:b/>
        </w:rPr>
        <w:t xml:space="preserve">Rec.</w:t>
      </w:r>
      <w:r>
        <w:t xml:space="preserve"> = recomendada · </w:t>
      </w:r>
      <w:r>
        <w:rPr>
          <w:b/>
        </w:rPr>
        <w:t xml:space="preserve">—</w:t>
      </w:r>
      <w:r>
        <w:t xml:space="preserve"> = no requerida. Estado: </w:t>
      </w:r>
      <w:r>
        <w:rPr>
          <w:b/>
        </w:rPr>
        <w:t xml:space="preserve">Presente · Parcial · Ausente · No aplica</w:t>
      </w:r>
      <w:r>
        <w:t xml:space="preserve"> (36 §9). El texto modelo de cada cláusula está en P56.</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Cláusula</w:t>
            </w:r>
          </w:p>
        </w:tc>
        <w:tc>
          <w:tcPr>
            <w:tcW w:w="1606" w:type="dxa"/>
            <w:shd w:val="clear" w:color="auto" w:fill="F2DFCE"/>
          </w:tcPr>
          <w:p>
            <w:pPr>
              <w:pStyle w:val="Celda"/>
            </w:pPr>
            <w:r>
              <w:rPr>
                <w:b/>
              </w:rPr>
              <w:t xml:space="preserve">N1</w:t>
            </w:r>
          </w:p>
        </w:tc>
        <w:tc>
          <w:tcPr>
            <w:tcW w:w="1606" w:type="dxa"/>
            <w:shd w:val="clear" w:color="auto" w:fill="F2DFCE"/>
          </w:tcPr>
          <w:p>
            <w:pPr>
              <w:pStyle w:val="Celda"/>
            </w:pPr>
            <w:r>
              <w:rPr>
                <w:b/>
              </w:rPr>
              <w:t xml:space="preserve">N2</w:t>
            </w:r>
          </w:p>
        </w:tc>
        <w:tc>
          <w:tcPr>
            <w:tcW w:w="1606" w:type="dxa"/>
            <w:shd w:val="clear" w:color="auto" w:fill="F2DFCE"/>
          </w:tcPr>
          <w:p>
            <w:pPr>
              <w:pStyle w:val="Celda"/>
            </w:pPr>
            <w:r>
              <w:rPr>
                <w:b/>
              </w:rPr>
              <w:t xml:space="preserve">N3</w:t>
            </w:r>
          </w:p>
        </w:tc>
        <w:tc>
          <w:tcPr>
            <w:tcW w:w="1606" w:type="dxa"/>
            <w:shd w:val="clear" w:color="auto" w:fill="F2DFCE"/>
          </w:tcPr>
          <w:p>
            <w:pPr>
              <w:pStyle w:val="Celda"/>
            </w:pPr>
            <w:r>
              <w:rPr>
                <w:b/>
              </w:rPr>
              <w:t xml:space="preserve">Estado</w:t>
            </w:r>
          </w:p>
        </w:tc>
      </w:tr>
      <w:tr>
        <w:tc>
          <w:tcPr>
            <w:tcW w:w="1606" w:type="dxa"/>
          </w:tcPr>
          <w:p>
            <w:pPr>
              <w:pStyle w:val="Celda"/>
            </w:pPr>
            <w:r>
              <w:t xml:space="preserve">1</w:t>
            </w:r>
          </w:p>
        </w:tc>
        <w:tc>
          <w:tcPr>
            <w:tcW w:w="1606" w:type="dxa"/>
          </w:tcPr>
          <w:p>
            <w:pPr>
              <w:pStyle w:val="Celda"/>
            </w:pPr>
            <w:r>
              <w:t xml:space="preserve">Uso de datos para entrenamiento</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2</w:t>
            </w:r>
          </w:p>
        </w:tc>
        <w:tc>
          <w:tcPr>
            <w:tcW w:w="1606" w:type="dxa"/>
          </w:tcPr>
          <w:p>
            <w:pPr>
              <w:pStyle w:val="Celda"/>
            </w:pPr>
            <w:r>
              <w:t xml:space="preserve">Confidencialidad y tratamiento de datos</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Ubicación y transferencias</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4</w:t>
            </w:r>
          </w:p>
        </w:tc>
        <w:tc>
          <w:tcPr>
            <w:tcW w:w="1606" w:type="dxa"/>
          </w:tcPr>
          <w:p>
            <w:pPr>
              <w:pStyle w:val="Celda"/>
            </w:pPr>
            <w:r>
              <w:t xml:space="preserve">Seguridad</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5</w:t>
            </w:r>
          </w:p>
        </w:tc>
        <w:tc>
          <w:tcPr>
            <w:tcW w:w="1606" w:type="dxa"/>
          </w:tcPr>
          <w:p>
            <w:pPr>
              <w:pStyle w:val="Celda"/>
            </w:pPr>
            <w:r>
              <w:t xml:space="preserve">Subencargados</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6</w:t>
            </w:r>
          </w:p>
        </w:tc>
        <w:tc>
          <w:tcPr>
            <w:tcW w:w="1606" w:type="dxa"/>
          </w:tcPr>
          <w:p>
            <w:pPr>
              <w:pStyle w:val="Celda"/>
            </w:pPr>
            <w:r>
              <w:t xml:space="preserve">Propiedad intelectual y resultados</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7</w:t>
            </w:r>
          </w:p>
        </w:tc>
        <w:tc>
          <w:tcPr>
            <w:tcW w:w="1606" w:type="dxa"/>
          </w:tcPr>
          <w:p>
            <w:pPr>
              <w:pStyle w:val="Celda"/>
            </w:pPr>
            <w:r>
              <w:t xml:space="preserve">Notificación de incidentes</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8</w:t>
            </w:r>
          </w:p>
        </w:tc>
        <w:tc>
          <w:tcPr>
            <w:tcW w:w="1606" w:type="dxa"/>
          </w:tcPr>
          <w:p>
            <w:pPr>
              <w:pStyle w:val="Celda"/>
            </w:pPr>
            <w:r>
              <w:t xml:space="preserve">Cambios de modelo</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9</w:t>
            </w:r>
          </w:p>
        </w:tc>
        <w:tc>
          <w:tcPr>
            <w:tcW w:w="1606" w:type="dxa"/>
          </w:tcPr>
          <w:p>
            <w:pPr>
              <w:pStyle w:val="Celda"/>
            </w:pPr>
            <w:r>
              <w:t xml:space="preserve">Niveles de servicio</w:t>
            </w:r>
          </w:p>
        </w:tc>
        <w:tc>
          <w:tcPr>
            <w:tcW w:w="1606" w:type="dxa"/>
          </w:tcPr>
          <w:p>
            <w:pPr>
              <w:pStyle w:val="Celda"/>
            </w:pPr>
            <w:r>
              <w:t xml:space="preserve">—</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10</w:t>
            </w:r>
          </w:p>
        </w:tc>
        <w:tc>
          <w:tcPr>
            <w:tcW w:w="1606" w:type="dxa"/>
          </w:tcPr>
          <w:p>
            <w:pPr>
              <w:pStyle w:val="Celda"/>
            </w:pPr>
            <w:r>
              <w:t xml:space="preserve">Registros y trazabilidad</w:t>
            </w:r>
          </w:p>
        </w:tc>
        <w:tc>
          <w:tcPr>
            <w:tcW w:w="1606" w:type="dxa"/>
          </w:tcPr>
          <w:p>
            <w:pPr>
              <w:pStyle w:val="Celda"/>
            </w:pPr>
            <w:r>
              <w:t xml:space="preserve">—</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11</w:t>
            </w:r>
          </w:p>
        </w:tc>
        <w:tc>
          <w:tcPr>
            <w:tcW w:w="1606" w:type="dxa"/>
          </w:tcPr>
          <w:p>
            <w:pPr>
              <w:pStyle w:val="Celda"/>
            </w:pPr>
            <w:r>
              <w:t xml:space="preserve">Auditoría y acceso</w:t>
            </w:r>
          </w:p>
        </w:tc>
        <w:tc>
          <w:tcPr>
            <w:tcW w:w="1606" w:type="dxa"/>
          </w:tcPr>
          <w:p>
            <w:pPr>
              <w:pStyle w:val="Celda"/>
            </w:pPr>
            <w:r>
              <w:t xml:space="preserve">—</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12</w:t>
            </w:r>
          </w:p>
        </w:tc>
        <w:tc>
          <w:tcPr>
            <w:tcW w:w="1606" w:type="dxa"/>
          </w:tcPr>
          <w:p>
            <w:pPr>
              <w:pStyle w:val="Celda"/>
            </w:pPr>
            <w:r>
              <w:t xml:space="preserve">Obligaciones del Reglamento de IA en la cadena de valor</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13</w:t>
            </w:r>
          </w:p>
        </w:tc>
        <w:tc>
          <w:tcPr>
            <w:tcW w:w="1606" w:type="dxa"/>
          </w:tcPr>
          <w:p>
            <w:pPr>
              <w:pStyle w:val="Celda"/>
            </w:pPr>
            <w:r>
              <w:t xml:space="preserve">Transparencia sobre funciones de IA</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14</w:t>
            </w:r>
          </w:p>
        </w:tc>
        <w:tc>
          <w:tcPr>
            <w:tcW w:w="1606" w:type="dxa"/>
          </w:tcPr>
          <w:p>
            <w:pPr>
              <w:pStyle w:val="Celda"/>
            </w:pPr>
            <w:r>
              <w:t xml:space="preserve">Continuidad</w:t>
            </w:r>
          </w:p>
        </w:tc>
        <w:tc>
          <w:tcPr>
            <w:tcW w:w="1606" w:type="dxa"/>
          </w:tcPr>
          <w:p>
            <w:pPr>
              <w:pStyle w:val="Celda"/>
            </w:pPr>
            <w:r>
              <w:t xml:space="preserve">—</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15</w:t>
            </w:r>
          </w:p>
        </w:tc>
        <w:tc>
          <w:tcPr>
            <w:tcW w:w="1606" w:type="dxa"/>
          </w:tcPr>
          <w:p>
            <w:pPr>
              <w:pStyle w:val="Celda"/>
            </w:pPr>
            <w:r>
              <w:t xml:space="preserve">Salida y transición</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r>
        <w:tc>
          <w:tcPr>
            <w:tcW w:w="1606" w:type="dxa"/>
          </w:tcPr>
          <w:p>
            <w:pPr>
              <w:pStyle w:val="Celda"/>
            </w:pPr>
            <w:r>
              <w:t xml:space="preserve">16</w:t>
            </w:r>
          </w:p>
        </w:tc>
        <w:tc>
          <w:tcPr>
            <w:tcW w:w="1606" w:type="dxa"/>
          </w:tcPr>
          <w:p>
            <w:pPr>
              <w:pStyle w:val="Celda"/>
            </w:pPr>
            <w:r>
              <w:t xml:space="preserve">Terminación</w:t>
            </w:r>
          </w:p>
        </w:tc>
        <w:tc>
          <w:tcPr>
            <w:tcW w:w="1606" w:type="dxa"/>
          </w:tcPr>
          <w:p>
            <w:pPr>
              <w:pStyle w:val="Celda"/>
            </w:pPr>
            <w:r>
              <w:t xml:space="preserve">Rec.</w:t>
            </w:r>
          </w:p>
        </w:tc>
        <w:tc>
          <w:tcPr>
            <w:tcW w:w="1606" w:type="dxa"/>
          </w:tcPr>
          <w:p>
            <w:pPr>
              <w:pStyle w:val="Celda"/>
            </w:pPr>
            <w:r>
              <w:t xml:space="preserve">Sí</w:t>
            </w:r>
          </w:p>
        </w:tc>
        <w:tc>
          <w:tcPr>
            <w:tcW w:w="1606" w:type="dxa"/>
          </w:tcPr>
          <w:p>
            <w:pPr>
              <w:pStyle w:val="Celda"/>
            </w:pPr>
            <w:r>
              <w:t xml:space="preserve">Sí</w:t>
            </w:r>
          </w:p>
        </w:tc>
        <w:tc>
          <w:tcPr>
            <w:tcW w:w="1606" w:type="dxa"/>
          </w:tcPr>
          <w:p>
            <w:pPr>
              <w:pStyle w:val="Celda"/>
            </w:pPr>
          </w:p>
        </w:tc>
      </w:tr>
    </w:tbl>
    <w:p>
      <w:pPr>
        <w:pStyle w:val="Espacio"/>
      </w:pPr>
    </w:p>
    <w:p>
      <w:r>
        <w:t xml:space="preserve">En N1 muchas cláusulas no son negociables: se verifican en las condiciones estándar y, si faltan, se registra el riesgo y quién lo acepta (36 §6; P56 §9). Para entidades sujetas a DORA, todo servicio N3 se revisa contra el art. 30.3 de ese reglamento (36 §6.2).</w:t>
      </w:r>
    </w:p>
    <w:p>
      <w:pPr>
        <w:pStyle w:val="Separador"/>
      </w:pPr>
    </w:p>
    <w:p>
      <w:pPr>
        <w:pStyle w:val="Heading1"/>
      </w:pPr>
      <w:r>
        <w:t xml:space="preserve">6. Conclusión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rPr>
                <w:b/>
              </w:rPr>
              <w:t xml:space="preserve">Resultado global</w:t>
            </w:r>
          </w:p>
        </w:tc>
        <w:tc>
          <w:tcPr>
            <w:tcW w:w="3213" w:type="dxa"/>
          </w:tcPr>
          <w:p>
            <w:pPr>
              <w:pStyle w:val="Celda"/>
            </w:pPr>
          </w:p>
        </w:tc>
        <w:tc>
          <w:tcPr>
            <w:tcW w:w="3213" w:type="dxa"/>
          </w:tcPr>
          <w:p>
            <w:pPr>
              <w:pStyle w:val="Celda"/>
            </w:pPr>
            <w:r>
              <w:t xml:space="preserve">Conforme · Conforme con observaciones · No conforme.</w:t>
            </w:r>
          </w:p>
        </w:tc>
      </w:tr>
      <w:tr>
        <w:tc>
          <w:tcPr>
            <w:tcW w:w="3213" w:type="dxa"/>
          </w:tcPr>
          <w:p>
            <w:pPr>
              <w:pStyle w:val="Celda"/>
            </w:pPr>
            <w:r>
              <w:t xml:space="preserve">Observaciones y condiciones</w:t>
            </w:r>
          </w:p>
        </w:tc>
        <w:tc>
          <w:tcPr>
            <w:tcW w:w="3213" w:type="dxa"/>
          </w:tcPr>
          <w:p>
            <w:pPr>
              <w:pStyle w:val="Celda"/>
            </w:pPr>
          </w:p>
        </w:tc>
        <w:tc>
          <w:tcPr>
            <w:tcW w:w="3213" w:type="dxa"/>
          </w:tcPr>
          <w:p>
            <w:pPr>
              <w:pStyle w:val="Celda"/>
            </w:pPr>
            <w:r>
              <w:t xml:space="preserve">Qué debe resolverse, responsable y plazo (antes de firma o antes de G5).</w:t>
            </w:r>
          </w:p>
        </w:tc>
      </w:tr>
      <w:tr>
        <w:tc>
          <w:tcPr>
            <w:tcW w:w="3213" w:type="dxa"/>
          </w:tcPr>
          <w:p>
            <w:pPr>
              <w:pStyle w:val="Celda"/>
            </w:pPr>
            <w:r>
              <w:t xml:space="preserve">Riesgos para P12</w:t>
            </w:r>
          </w:p>
        </w:tc>
        <w:tc>
          <w:tcPr>
            <w:tcW w:w="3213" w:type="dxa"/>
          </w:tcPr>
          <w:p>
            <w:pPr>
              <w:pStyle w:val="Celda"/>
            </w:pPr>
          </w:p>
        </w:tc>
        <w:tc>
          <w:tcPr>
            <w:tcW w:w="3213" w:type="dxa"/>
          </w:tcPr>
          <w:p>
            <w:pPr>
              <w:pStyle w:val="Celda"/>
            </w:pPr>
            <w:r>
              <w:t xml:space="preserve">Riesgos de categoría TER u otros identificados en la evaluación.</w:t>
            </w:r>
          </w:p>
        </w:tc>
      </w:tr>
      <w:tr>
        <w:tc>
          <w:tcPr>
            <w:tcW w:w="3213" w:type="dxa"/>
          </w:tcPr>
          <w:p>
            <w:pPr>
              <w:pStyle w:val="Celda"/>
            </w:pPr>
            <w:r>
              <w:t xml:space="preserve">Periodicidad de revisión</w:t>
            </w:r>
          </w:p>
        </w:tc>
        <w:tc>
          <w:tcPr>
            <w:tcW w:w="3213" w:type="dxa"/>
          </w:tcPr>
          <w:p>
            <w:pPr>
              <w:pStyle w:val="Celda"/>
            </w:pPr>
          </w:p>
        </w:tc>
        <w:tc>
          <w:tcPr>
            <w:tcW w:w="3213" w:type="dxa"/>
          </w:tcPr>
          <w:p>
            <w:pPr>
              <w:pStyle w:val="Celda"/>
            </w:pPr>
            <w:r>
              <w:t xml:space="preserve">Según el nivel (36 §4.2): N1 revisión anual · N2 revisión semestral e indicadores de servicio · N3 revisión trimestral, indicadores mensuales y reunión de gobierno de la relación.</w:t>
            </w:r>
          </w:p>
        </w:tc>
      </w:tr>
      <w:tr>
        <w:tc>
          <w:tcPr>
            <w:tcW w:w="3213" w:type="dxa"/>
          </w:tcPr>
          <w:p>
            <w:pPr>
              <w:pStyle w:val="Celda"/>
            </w:pPr>
            <w:r>
              <w:t xml:space="preserve">Próxima revisión</w:t>
            </w:r>
          </w:p>
        </w:tc>
        <w:tc>
          <w:tcPr>
            <w:tcW w:w="3213" w:type="dxa"/>
          </w:tcPr>
          <w:p>
            <w:pPr>
              <w:pStyle w:val="Celda"/>
            </w:pPr>
          </w:p>
        </w:tc>
        <w:tc>
          <w:tcPr>
            <w:tcW w:w="3213" w:type="dxa"/>
          </w:tcPr>
          <w:p>
            <w:pPr>
              <w:pStyle w:val="Celda"/>
            </w:pPr>
            <w:r>
              <w:t xml:space="preserve">Fecha.</w:t>
            </w:r>
          </w:p>
        </w:tc>
      </w:tr>
    </w:tbl>
    <w:p>
      <w:pPr>
        <w:pStyle w:val="Espacio"/>
      </w:pPr>
    </w:p>
    <w:p>
      <w:r>
        <w:t xml:space="preserve">Un resultado </w:t>
      </w:r>
      <w:r>
        <w:rPr>
          <w:b/>
        </w:rPr>
        <w:t xml:space="preserve">No conforme</w:t>
      </w:r>
      <w:r>
        <w:t xml:space="preserve"> en los bloques 3 (datos), 5 (seguridad) o 7 (protección de datos) de P55 impide usar el proveedor con datos de producción hasta resolverlo (P55 §5). Tampoco se usa con datos de producción mientras una cláusula exigible (</w:t>
      </w:r>
      <w:r>
        <w:rPr>
          <w:b/>
        </w:rPr>
        <w:t xml:space="preserve">Sí</w:t>
      </w:r>
      <w:r>
        <w:t xml:space="preserve">) esté ausente sin el riesgo registrado y aceptado por el órgano que corresponde.</w:t>
      </w:r>
    </w:p>
    <w:p>
      <w:pPr>
        <w:pStyle w:val="Separador"/>
      </w:pPr>
    </w:p>
    <w:p>
      <w:pPr>
        <w:pStyle w:val="Heading1"/>
      </w:pPr>
      <w:r>
        <w:t xml:space="preserve">7. Criterios de calidad</w:t>
      </w:r>
    </w:p>
    <w:p>
      <w:r>
        <w:t xml:space="preserve">Los criterios formales de G3 están en el documento 21 (ver criterios G3.xx) y los requisitos de terceros en el documento 36.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nivel de exigencia está justificado con los cuatro factores.</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Los doce bloques tienen resultado trasladado desde P55 y el rendimiento se ha comprobado con pruebas propias.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uso de datos por el proveedor está resuelto por contrato.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cláusulas exigibles del nivel están presentes o en negociación con fecha anterior a G5; las ausentes tienen riesgo registrado y aceptado.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dependencia y la salida están evaluadas según el nivel: en N2 existe plan de salida documentado y en N3 alternativa identificada y prueba documentada.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riesgos identificados se han trasladado a P12.</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proveedor está registrado en T09 y en la ficha P05.</w:t>
            </w:r>
          </w:p>
        </w:tc>
        <w:tc>
          <w:tcPr>
            <w:tcW w:w="3213" w:type="dxa"/>
          </w:tcPr>
          <w:p>
            <w:pPr>
              <w:pStyle w:val="Celda"/>
            </w:pPr>
          </w:p>
        </w:tc>
      </w:tr>
    </w:tbl>
    <w:p>
      <w:pPr>
        <w:pStyle w:val="Espacio"/>
      </w:pPr>
    </w:p>
    <w:p>
      <w:pPr>
        <w:pStyle w:val="Separador"/>
      </w:pPr>
    </w:p>
    <w:p>
      <w:pPr>
        <w:pStyle w:val="Heading1"/>
      </w:pPr>
      <w:r>
        <w:t xml:space="preserve">8.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Consultado</w:t>
            </w:r>
          </w:p>
        </w:tc>
        <w:tc>
          <w:tcPr>
            <w:tcW w:w="1928" w:type="dxa"/>
          </w:tcPr>
          <w:p>
            <w:pPr>
              <w:pStyle w:val="Celda"/>
            </w:pPr>
            <w:r>
              <w:t xml:space="preserve">Compras · seguridad · protección de datos · asesoría jurídica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Emite conformidad</w:t>
            </w:r>
          </w:p>
        </w:tc>
        <w:tc>
          <w:tcPr>
            <w:tcW w:w="1928" w:type="dxa"/>
          </w:tcPr>
          <w:p>
            <w:pPr>
              <w:pStyle w:val="Celda"/>
            </w:pPr>
            <w:r>
              <w:t xml:space="preserve">Las funciones que exige el nivel (fila «Decide»)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Responsable de riesgos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N1: responsable de producto con conformidad de compras · N2: patrocinador con conformidad de riesgos y de protección de datos · N3: comité de IA con conformidad de riesgos, seguridad de la información, protección de datos y jurídico (36 §4.2)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negoció el contrato no verifica la evaluación; quien tenga conflicto de interés con el proveedor lo declara en P03.</w:t>
      </w:r>
    </w:p>
    <w:p>
      <w:pPr>
        <w:pStyle w:val="Separador"/>
      </w:pPr>
    </w:p>
    <w:p>
      <w:pPr>
        <w:pStyle w:val="Heading1"/>
      </w:pPr>
      <w:r>
        <w:t xml:space="preserve">9.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Niveles de exigencia N1–N3 de la especificación común §5.6, evaluación por bloques y cláusulas contractuales clave.</w:t>
            </w:r>
          </w:p>
        </w:tc>
      </w:tr>
      <w:tr>
        <w:tc>
          <w:tcPr>
            <w:tcW w:w="3213" w:type="dxa"/>
          </w:tcPr>
          <w:p>
            <w:pPr>
              <w:pStyle w:val="Celda"/>
            </w:pPr>
            <w:r>
              <w:t xml:space="preserve">0.2</w:t>
            </w:r>
          </w:p>
        </w:tc>
        <w:tc>
          <w:tcPr>
            <w:tcW w:w="3213" w:type="dxa"/>
          </w:tcPr>
          <w:p>
            <w:pPr>
              <w:pStyle w:val="Celda"/>
            </w:pPr>
            <w:r>
              <w:t xml:space="preserve">19-09-2026</w:t>
            </w:r>
          </w:p>
        </w:tc>
        <w:tc>
          <w:tcPr>
            <w:tcW w:w="3213" w:type="dxa"/>
          </w:tcPr>
          <w:p>
            <w:pPr>
              <w:pStyle w:val="Celda"/>
            </w:pPr>
            <w:r>
              <w:t xml:space="preserve">Alineada con el documento 36: decisión y revisión por nivel N1–N3, factores, 12 bloques de diligencia (P55), 16 cláusulas (P56) y plan de salida (P57).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P14 · Evaluación de proveedor de 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P14 · Evaluación de proveedor de IA</dc:title>
  <dc:creator>Fernando García Varela</dc:creator>
  <dc:language>es</dc:language>
  <dc:description>sha256:74369c98166bc802e07b17ee517f2c4836c9616ebfd9e2c62323446a87df7e71</dc:description>
  <cp:keywords>SEVEN-G</cp:keywords>
</cp:coreProperties>
</file>