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reversión y prueba</w:t>
      </w:r>
    </w:p>
    <w:p>
      <w:r>
        <w:rPr>
          <w:b/>
        </w:rPr>
        <w:t xml:space="preserve">Define cuándo y cómo se detiene o se revierte el sistema de IA, quién lo hace y en cuánto tiempo, y deja constancia de que el plan se ha probado.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P19 · Plan de reversión y prueba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El plan (bloques 3 a 9) se elabora en la fase 4 y se revisa en G4. La prueba (bloque 10) se ejecuta en la fase 5 y es evidencia obligatoria de G5. Se actualiza tras cada cambio relevante (P27).</w:t>
            </w:r>
          </w:p>
        </w:tc>
      </w:tr>
      <w:tr>
        <w:tc>
          <w:tcPr>
            <w:tcW w:w="4819" w:type="dxa"/>
          </w:tcPr>
          <w:p>
            <w:pPr>
              <w:pStyle w:val="Celda"/>
            </w:pPr>
            <w:r>
              <w:rPr>
                <w:b/>
              </w:rPr>
              <w:t xml:space="preserve">Quién la rellena</w:t>
            </w:r>
          </w:p>
        </w:tc>
        <w:tc>
          <w:tcPr>
            <w:tcW w:w="4819" w:type="dxa"/>
          </w:tcPr>
          <w:p>
            <w:pPr>
              <w:pStyle w:val="Celda"/>
            </w:pPr>
            <w:r>
              <w:t xml:space="preserve">Responsable técnico de IA (plan) y responsable de operación de IA (ejecución de la prueba).</w:t>
            </w:r>
          </w:p>
        </w:tc>
      </w:tr>
      <w:tr>
        <w:tc>
          <w:tcPr>
            <w:tcW w:w="4819" w:type="dxa"/>
          </w:tcPr>
          <w:p>
            <w:pPr>
              <w:pStyle w:val="Celda"/>
            </w:pPr>
            <w:r>
              <w:rPr>
                <w:b/>
              </w:rPr>
              <w:t xml:space="preserve">Quién la verifica</w:t>
            </w:r>
          </w:p>
        </w:tc>
        <w:tc>
          <w:tcPr>
            <w:tcW w:w="4819" w:type="dxa"/>
          </w:tcPr>
          <w:p>
            <w:pPr>
              <w:pStyle w:val="Celda"/>
            </w:pPr>
            <w:r>
              <w:t xml:space="preserve">Oficina de IA o responsable de riesgos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(plan) y G5 (prueba). Se comprueba su vigencia en R6.</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pero no la prueba: el principio de reversibilidad exige plan probado antes de la puesta en producción (01 §3, principio 4).</w:t>
            </w:r>
          </w:p>
        </w:tc>
      </w:tr>
      <w:tr>
        <w:tc>
          <w:tcPr>
            <w:tcW w:w="4819" w:type="dxa"/>
          </w:tcPr>
          <w:p>
            <w:pPr>
              <w:pStyle w:val="Celda"/>
            </w:pPr>
            <w:r>
              <w:rPr>
                <w:b/>
              </w:rPr>
              <w:t xml:space="preserve">Relación</w:t>
            </w:r>
          </w:p>
        </w:tc>
        <w:tc>
          <w:tcPr>
            <w:tcW w:w="4819" w:type="dxa"/>
          </w:tcPr>
          <w:p>
            <w:pPr>
              <w:pStyle w:val="Celda"/>
            </w:pPr>
            <w:r>
              <w:t xml:space="preserve">P16 Linaje (versiones anteriores) · P17 Supervisión humana (modo degradado) · P18 Interruptor de parada · P24 Manual de operación · P25 Alertas · P26 Respuesta a incidentes · P27 Registro de cambios · documento 52.</w:t>
            </w:r>
          </w:p>
        </w:tc>
      </w:tr>
    </w:tbl>
    <w:p>
      <w:pPr>
        <w:pStyle w:val="Espacio"/>
      </w:pPr>
    </w:p>
    <w:p>
      <w:r>
        <w:t xml:space="preserve">Reglas:</w:t>
      </w:r>
    </w:p>
    <w:p>
      <w:pPr>
        <w:pStyle w:val="Lista"/>
      </w:pPr>
      <w:r>
        <w:t xml:space="preserve">• Los disparadores deben ser </w:t>
      </w:r>
      <w:r>
        <w:rPr>
          <w:b/>
        </w:rPr>
        <w:t xml:space="preserve">medibles</w:t>
      </w:r>
      <w:r>
        <w:t xml:space="preserve"> y estar conectados con la monitorización (P25). "Si el sistema funciona mal" no es un disparador.</w:t>
      </w:r>
    </w:p>
    <w:p>
      <w:pPr>
        <w:pStyle w:val="Lista"/>
      </w:pPr>
      <w:r>
        <w:t xml:space="preserve">• La reversión siempre tiene un </w:t>
      </w:r>
      <w:r>
        <w:rPr>
          <w:b/>
        </w:rPr>
        <w:t xml:space="preserve">estado seguro de destino</w:t>
      </w:r>
      <w:r>
        <w:t xml:space="preserve"> conocido: versión anterior, modo degradado o proceso sin IA.</w:t>
      </w:r>
    </w:p>
    <w:p>
      <w:pPr>
        <w:pStyle w:val="Lista"/>
      </w:pPr>
      <w:r>
        <w:t xml:space="preserve">• Un simulacro solo documental no acredita la prueba; debe ejecutarse en producción controlada o en un entorno equivalente, y declararse cuál.</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Versión del sistema cubierta por el plan</w:t>
            </w:r>
          </w:p>
        </w:tc>
        <w:tc>
          <w:tcPr>
            <w:tcW w:w="3213" w:type="dxa"/>
          </w:tcPr>
          <w:p>
            <w:pPr>
              <w:pStyle w:val="Celda"/>
            </w:pPr>
          </w:p>
        </w:tc>
        <w:tc>
          <w:tcPr>
            <w:tcW w:w="3213" w:type="dxa"/>
          </w:tcPr>
          <w:p>
            <w:pPr>
              <w:pStyle w:val="Celda"/>
            </w:pPr>
            <w:r>
              <w:t xml:space="preserve">Versión de modelo, instrucciones y configuración (P16).</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Alcance de la reversión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Componentes que pueden revertirse</w:t>
            </w:r>
          </w:p>
        </w:tc>
        <w:tc>
          <w:tcPr>
            <w:tcW w:w="3213" w:type="dxa"/>
          </w:tcPr>
          <w:p>
            <w:pPr>
              <w:pStyle w:val="Celda"/>
            </w:pPr>
          </w:p>
        </w:tc>
        <w:tc>
          <w:tcPr>
            <w:tcW w:w="3213" w:type="dxa"/>
          </w:tcPr>
          <w:p>
            <w:pPr>
              <w:pStyle w:val="Celda"/>
            </w:pPr>
            <w:r>
              <w:t xml:space="preserve">Modelo, instrucciones del sistema, base de conocimiento, herramientas del agente, integración, configuración.</w:t>
            </w:r>
          </w:p>
        </w:tc>
      </w:tr>
      <w:tr>
        <w:tc>
          <w:tcPr>
            <w:tcW w:w="3213" w:type="dxa"/>
          </w:tcPr>
          <w:p>
            <w:pPr>
              <w:pStyle w:val="Celda"/>
            </w:pPr>
            <w:r>
              <w:t xml:space="preserve">Estado seguro de destino</w:t>
            </w:r>
          </w:p>
        </w:tc>
        <w:tc>
          <w:tcPr>
            <w:tcW w:w="3213" w:type="dxa"/>
          </w:tcPr>
          <w:p>
            <w:pPr>
              <w:pStyle w:val="Celda"/>
            </w:pPr>
          </w:p>
        </w:tc>
        <w:tc>
          <w:tcPr>
            <w:tcW w:w="3213" w:type="dxa"/>
          </w:tcPr>
          <w:p>
            <w:pPr>
              <w:pStyle w:val="Celda"/>
            </w:pPr>
            <w:r>
              <w:t xml:space="preserve">Versión anterior (identificador) · Modo degradado · Proceso sin IA.</w:t>
            </w:r>
          </w:p>
        </w:tc>
      </w:tr>
      <w:tr>
        <w:tc>
          <w:tcPr>
            <w:tcW w:w="3213" w:type="dxa"/>
          </w:tcPr>
          <w:p>
            <w:pPr>
              <w:pStyle w:val="Celda"/>
            </w:pPr>
            <w:r>
              <w:t xml:space="preserve">Dependencias</w:t>
            </w:r>
          </w:p>
        </w:tc>
        <w:tc>
          <w:tcPr>
            <w:tcW w:w="3213" w:type="dxa"/>
          </w:tcPr>
          <w:p>
            <w:pPr>
              <w:pStyle w:val="Celda"/>
            </w:pPr>
          </w:p>
        </w:tc>
        <w:tc>
          <w:tcPr>
            <w:tcW w:w="3213" w:type="dxa"/>
          </w:tcPr>
          <w:p>
            <w:pPr>
              <w:pStyle w:val="Celda"/>
            </w:pPr>
            <w:r>
              <w:t xml:space="preserve">Sistemas que se ven afectados al revertir.</w:t>
            </w:r>
          </w:p>
        </w:tc>
      </w:tr>
      <w:tr>
        <w:tc>
          <w:tcPr>
            <w:tcW w:w="3213" w:type="dxa"/>
          </w:tcPr>
          <w:p>
            <w:pPr>
              <w:pStyle w:val="Celda"/>
            </w:pPr>
            <w:r>
              <w:t xml:space="preserve">Efecto sobre resultados ya producidos</w:t>
            </w:r>
          </w:p>
        </w:tc>
        <w:tc>
          <w:tcPr>
            <w:tcW w:w="3213" w:type="dxa"/>
          </w:tcPr>
          <w:p>
            <w:pPr>
              <w:pStyle w:val="Celda"/>
            </w:pPr>
          </w:p>
        </w:tc>
        <w:tc>
          <w:tcPr>
            <w:tcW w:w="3213" w:type="dxa"/>
          </w:tcPr>
          <w:p>
            <w:pPr>
              <w:pStyle w:val="Celda"/>
            </w:pPr>
            <w:r>
              <w:t xml:space="preserve">Qué ocurre con decisiones, contenidos o acciones ya ejecutados (bloque 8).</w:t>
            </w:r>
          </w:p>
        </w:tc>
      </w:tr>
    </w:tbl>
    <w:p>
      <w:pPr>
        <w:pStyle w:val="Espacio"/>
      </w:pPr>
    </w:p>
    <w:p>
      <w:pPr>
        <w:pStyle w:val="Separador"/>
      </w:pPr>
    </w:p>
    <w:p>
      <w:pPr>
        <w:pStyle w:val="Heading1"/>
      </w:pPr>
      <w:r>
        <w:t xml:space="preserve">4. Disparadores</w:t>
      </w:r>
    </w:p>
    <w:p>
      <w:r>
        <w:rPr>
          <w:b/>
        </w:rPr>
        <w:t xml:space="preserve">Tipo:</w:t>
      </w:r>
      <w:r>
        <w:t xml:space="preserve"> Rendimiento · Seguridad · Cumplimiento · Incidente · Coste · Valor · Decisión de un órgano. </w:t>
      </w:r>
      <w:r>
        <w:rPr>
          <w:b/>
        </w:rPr>
        <w:t xml:space="preserve">Activación:</w:t>
      </w:r>
      <w:r>
        <w:t xml:space="preserve"> Automática · Manual.</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w:t>
            </w:r>
          </w:p>
        </w:tc>
        <w:tc>
          <w:tcPr>
            <w:tcW w:w="1377" w:type="dxa"/>
            <w:shd w:val="clear" w:color="auto" w:fill="F2DFCE"/>
          </w:tcPr>
          <w:p>
            <w:pPr>
              <w:pStyle w:val="Celda"/>
            </w:pPr>
            <w:r>
              <w:rPr>
                <w:b/>
              </w:rPr>
              <w:t xml:space="preserve">Disparador</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Umbral medible</w:t>
            </w:r>
          </w:p>
        </w:tc>
        <w:tc>
          <w:tcPr>
            <w:tcW w:w="1377" w:type="dxa"/>
            <w:shd w:val="clear" w:color="auto" w:fill="F2DFCE"/>
          </w:tcPr>
          <w:p>
            <w:pPr>
              <w:pStyle w:val="Celda"/>
            </w:pPr>
            <w:r>
              <w:rPr>
                <w:b/>
              </w:rPr>
              <w:t xml:space="preserve">Fuente de detección (alerta de P25)</w:t>
            </w:r>
          </w:p>
        </w:tc>
        <w:tc>
          <w:tcPr>
            <w:tcW w:w="1377" w:type="dxa"/>
            <w:shd w:val="clear" w:color="auto" w:fill="F2DFCE"/>
          </w:tcPr>
          <w:p>
            <w:pPr>
              <w:pStyle w:val="Celda"/>
            </w:pPr>
            <w:r>
              <w:rPr>
                <w:b/>
              </w:rPr>
              <w:t xml:space="preserve">Quién decide revertir</w:t>
            </w:r>
          </w:p>
        </w:tc>
        <w:tc>
          <w:tcPr>
            <w:tcW w:w="1377" w:type="dxa"/>
            <w:shd w:val="clear" w:color="auto" w:fill="F2DFCE"/>
          </w:tcPr>
          <w:p>
            <w:pPr>
              <w:pStyle w:val="Celda"/>
            </w:pPr>
            <w:r>
              <w:rPr>
                <w:b/>
              </w:rPr>
              <w:t xml:space="preserve">Activación</w:t>
            </w:r>
          </w:p>
        </w:tc>
      </w:tr>
      <w:tr>
        <w:tc>
          <w:tcPr>
            <w:tcW w:w="1377" w:type="dxa"/>
          </w:tcPr>
          <w:p>
            <w:pPr>
              <w:pStyle w:val="Celda"/>
            </w:pPr>
            <w:r>
              <w:t xml:space="preserve">D-01 </w:t>
            </w:r>
            <w:r>
              <w:rPr>
                <w:i/>
              </w:rPr>
              <w:t xml:space="preserve">(ejemplo ilustrativo)</w:t>
            </w:r>
          </w:p>
        </w:tc>
        <w:tc>
          <w:tcPr>
            <w:tcW w:w="1377" w:type="dxa"/>
          </w:tcPr>
          <w:p>
            <w:pPr>
              <w:pStyle w:val="Celda"/>
            </w:pPr>
            <w:r>
              <w:t xml:space="preserve">Degradación de la calidad de las propuestas</w:t>
            </w:r>
          </w:p>
        </w:tc>
        <w:tc>
          <w:tcPr>
            <w:tcW w:w="1377" w:type="dxa"/>
          </w:tcPr>
          <w:p>
            <w:pPr>
              <w:pStyle w:val="Celda"/>
            </w:pPr>
            <w:r>
              <w:t xml:space="preserve">Rendimiento</w:t>
            </w:r>
          </w:p>
        </w:tc>
        <w:tc>
          <w:tcPr>
            <w:tcW w:w="1377" w:type="dxa"/>
          </w:tcPr>
          <w:p>
            <w:pPr>
              <w:pStyle w:val="Celda"/>
            </w:pPr>
            <w:r>
              <w:t xml:space="preserve">Tasa de anulación humana superior al 25 % durante dos días seguidos</w:t>
            </w:r>
          </w:p>
        </w:tc>
        <w:tc>
          <w:tcPr>
            <w:tcW w:w="1377" w:type="dxa"/>
          </w:tcPr>
          <w:p>
            <w:pPr>
              <w:pStyle w:val="Celda"/>
            </w:pPr>
            <w:r>
              <w:t xml:space="preserve">Alerta de supervisión humana</w:t>
            </w:r>
          </w:p>
        </w:tc>
        <w:tc>
          <w:tcPr>
            <w:tcW w:w="1377" w:type="dxa"/>
          </w:tcPr>
          <w:p>
            <w:pPr>
              <w:pStyle w:val="Celda"/>
            </w:pPr>
            <w:r>
              <w:t xml:space="preserve">Responsable de operación de IA</w:t>
            </w:r>
          </w:p>
        </w:tc>
        <w:tc>
          <w:tcPr>
            <w:tcW w:w="1377" w:type="dxa"/>
          </w:tcPr>
          <w:p>
            <w:pPr>
              <w:pStyle w:val="Celda"/>
            </w:pPr>
            <w:r>
              <w:t xml:space="preserve">Manual</w:t>
            </w:r>
          </w:p>
        </w:tc>
      </w:tr>
      <w:tr>
        <w:tc>
          <w:tcPr>
            <w:tcW w:w="1377" w:type="dxa"/>
          </w:tcPr>
          <w:p>
            <w:pPr>
              <w:pStyle w:val="Celda"/>
            </w:pPr>
            <w:r>
              <w:t xml:space="preserve">D-02 </w:t>
            </w:r>
            <w:r>
              <w:rPr>
                <w:i/>
              </w:rPr>
              <w:t xml:space="preserve">(ejemplo ilustrativo)</w:t>
            </w:r>
          </w:p>
        </w:tc>
        <w:tc>
          <w:tcPr>
            <w:tcW w:w="1377" w:type="dxa"/>
          </w:tcPr>
          <w:p>
            <w:pPr>
              <w:pStyle w:val="Celda"/>
            </w:pPr>
            <w:r>
              <w:t xml:space="preserve">Acción del agente fuera de límites</w:t>
            </w:r>
          </w:p>
        </w:tc>
        <w:tc>
          <w:tcPr>
            <w:tcW w:w="1377" w:type="dxa"/>
          </w:tcPr>
          <w:p>
            <w:pPr>
              <w:pStyle w:val="Celda"/>
            </w:pPr>
            <w:r>
              <w:t xml:space="preserve">Seguridad</w:t>
            </w:r>
          </w:p>
        </w:tc>
        <w:tc>
          <w:tcPr>
            <w:tcW w:w="1377" w:type="dxa"/>
          </w:tcPr>
          <w:p>
            <w:pPr>
              <w:pStyle w:val="Celda"/>
            </w:pPr>
            <w:r>
              <w:t xml:space="preserve">Una sola acción ejecutada que superó un límite del P18</w:t>
            </w:r>
          </w:p>
        </w:tc>
        <w:tc>
          <w:tcPr>
            <w:tcW w:w="1377" w:type="dxa"/>
          </w:tcPr>
          <w:p>
            <w:pPr>
              <w:pStyle w:val="Celda"/>
            </w:pPr>
            <w:r>
              <w:t xml:space="preserve">Registro de acciones</w:t>
            </w:r>
          </w:p>
        </w:tc>
        <w:tc>
          <w:tcPr>
            <w:tcW w:w="1377" w:type="dxa"/>
          </w:tcPr>
          <w:p>
            <w:pPr>
              <w:pStyle w:val="Celda"/>
            </w:pPr>
            <w:r>
              <w:t xml:space="preserve">Automática; informa a seguridad</w:t>
            </w:r>
          </w:p>
        </w:tc>
        <w:tc>
          <w:tcPr>
            <w:tcW w:w="1377" w:type="dxa"/>
          </w:tcPr>
          <w:p>
            <w:pPr>
              <w:pStyle w:val="Celda"/>
            </w:pPr>
            <w:r>
              <w:t xml:space="preserve">Automática</w:t>
            </w:r>
          </w:p>
        </w:tc>
      </w:tr>
      <w:tr>
        <w:tc>
          <w:tcPr>
            <w:tcW w:w="1377" w:type="dxa"/>
          </w:tcPr>
          <w:p>
            <w:pPr>
              <w:pStyle w:val="Celda"/>
            </w:pPr>
            <w:r>
              <w:t xml:space="preserve">D-03 </w:t>
            </w:r>
            <w:r>
              <w:rPr>
                <w:i/>
              </w:rPr>
              <w:t xml:space="preserve">(ejemplo ilustrativo)</w:t>
            </w:r>
          </w:p>
        </w:tc>
        <w:tc>
          <w:tcPr>
            <w:tcW w:w="1377" w:type="dxa"/>
          </w:tcPr>
          <w:p>
            <w:pPr>
              <w:pStyle w:val="Celda"/>
            </w:pPr>
            <w:r>
              <w:t xml:space="preserve">Incidente clasificado S1</w:t>
            </w:r>
          </w:p>
        </w:tc>
        <w:tc>
          <w:tcPr>
            <w:tcW w:w="1377" w:type="dxa"/>
          </w:tcPr>
          <w:p>
            <w:pPr>
              <w:pStyle w:val="Celda"/>
            </w:pPr>
            <w:r>
              <w:t xml:space="preserve">Incidente</w:t>
            </w:r>
          </w:p>
        </w:tc>
        <w:tc>
          <w:tcPr>
            <w:tcW w:w="1377" w:type="dxa"/>
          </w:tcPr>
          <w:p>
            <w:pPr>
              <w:pStyle w:val="Celda"/>
            </w:pPr>
            <w:r>
              <w:t xml:space="preserve">Clasificación S1 según documento 37</w:t>
            </w:r>
          </w:p>
        </w:tc>
        <w:tc>
          <w:tcPr>
            <w:tcW w:w="1377" w:type="dxa"/>
          </w:tcPr>
          <w:p>
            <w:pPr>
              <w:pStyle w:val="Celda"/>
            </w:pPr>
            <w:r>
              <w:t xml:space="preserve">P26</w:t>
            </w:r>
          </w:p>
        </w:tc>
        <w:tc>
          <w:tcPr>
            <w:tcW w:w="1377" w:type="dxa"/>
          </w:tcPr>
          <w:p>
            <w:pPr>
              <w:pStyle w:val="Celda"/>
            </w:pPr>
            <w:r>
              <w:t xml:space="preserve">Coordinador del incidente</w:t>
            </w:r>
          </w:p>
        </w:tc>
        <w:tc>
          <w:tcPr>
            <w:tcW w:w="1377" w:type="dxa"/>
          </w:tcPr>
          <w:p>
            <w:pPr>
              <w:pStyle w:val="Celda"/>
            </w:pPr>
            <w:r>
              <w:t xml:space="preserve">Manual</w:t>
            </w:r>
          </w:p>
        </w:tc>
      </w:tr>
      <w:tr>
        <w:tc>
          <w:tcPr>
            <w:tcW w:w="1377" w:type="dxa"/>
          </w:tcPr>
          <w:p>
            <w:pPr>
              <w:pStyle w:val="Celda"/>
            </w:pPr>
            <w:r>
              <w:t xml:space="preserve">D-04 </w:t>
            </w:r>
            <w:r>
              <w:rPr>
                <w:i/>
              </w:rPr>
              <w:t xml:space="preserve">(ejemplo ilustrativo)</w:t>
            </w:r>
          </w:p>
        </w:tc>
        <w:tc>
          <w:tcPr>
            <w:tcW w:w="1377" w:type="dxa"/>
          </w:tcPr>
          <w:p>
            <w:pPr>
              <w:pStyle w:val="Celda"/>
            </w:pPr>
            <w:r>
              <w:t xml:space="preserve">Presupuesto de consumo agotado</w:t>
            </w:r>
          </w:p>
        </w:tc>
        <w:tc>
          <w:tcPr>
            <w:tcW w:w="1377" w:type="dxa"/>
          </w:tcPr>
          <w:p>
            <w:pPr>
              <w:pStyle w:val="Celda"/>
            </w:pPr>
            <w:r>
              <w:t xml:space="preserve">Coste</w:t>
            </w:r>
          </w:p>
        </w:tc>
        <w:tc>
          <w:tcPr>
            <w:tcW w:w="1377" w:type="dxa"/>
          </w:tcPr>
          <w:p>
            <w:pPr>
              <w:pStyle w:val="Celda"/>
            </w:pPr>
            <w:r>
              <w:t xml:space="preserve">Consumo del mes ≥ 100 % del presupuesto</w:t>
            </w:r>
          </w:p>
        </w:tc>
        <w:tc>
          <w:tcPr>
            <w:tcW w:w="1377" w:type="dxa"/>
          </w:tcPr>
          <w:p>
            <w:pPr>
              <w:pStyle w:val="Celda"/>
            </w:pPr>
            <w:r>
              <w:t xml:space="preserve">Alerta de coste de P25</w:t>
            </w:r>
          </w:p>
        </w:tc>
        <w:tc>
          <w:tcPr>
            <w:tcW w:w="1377" w:type="dxa"/>
          </w:tcPr>
          <w:p>
            <w:pPr>
              <w:pStyle w:val="Celda"/>
            </w:pPr>
            <w:r>
              <w:t xml:space="preserve">Responsable de operación de IA</w:t>
            </w:r>
          </w:p>
        </w:tc>
        <w:tc>
          <w:tcPr>
            <w:tcW w:w="1377" w:type="dxa"/>
          </w:tcPr>
          <w:p>
            <w:pPr>
              <w:pStyle w:val="Celda"/>
            </w:pPr>
            <w:r>
              <w:t xml:space="preserve">Manual</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5. Opciones de reversión</w:t>
      </w:r>
    </w:p>
    <w:p>
      <w:r>
        <w:t xml:space="preserve">Marque las que estén preparadas e indique cuál se aplica para cada disparador.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Opción</w:t>
            </w:r>
          </w:p>
        </w:tc>
        <w:tc>
          <w:tcPr>
            <w:tcW w:w="2410" w:type="dxa"/>
            <w:shd w:val="clear" w:color="auto" w:fill="F2DFCE"/>
          </w:tcPr>
          <w:p>
            <w:pPr>
              <w:pStyle w:val="Celda"/>
            </w:pPr>
            <w:r>
              <w:rPr>
                <w:b/>
              </w:rPr>
              <w:t xml:space="preserve">Preparada (Sí · No)</w:t>
            </w:r>
          </w:p>
        </w:tc>
        <w:tc>
          <w:tcPr>
            <w:tcW w:w="2410" w:type="dxa"/>
            <w:shd w:val="clear" w:color="auto" w:fill="F2DFCE"/>
          </w:tcPr>
          <w:p>
            <w:pPr>
              <w:pStyle w:val="Celda"/>
            </w:pPr>
            <w:r>
              <w:rPr>
                <w:b/>
              </w:rPr>
              <w:t xml:space="preserve">Disparadores a los que responde</w:t>
            </w:r>
          </w:p>
        </w:tc>
        <w:tc>
          <w:tcPr>
            <w:tcW w:w="2410" w:type="dxa"/>
            <w:shd w:val="clear" w:color="auto" w:fill="F2DFCE"/>
          </w:tcPr>
          <w:p>
            <w:pPr>
              <w:pStyle w:val="Celda"/>
            </w:pPr>
            <w:r>
              <w:rPr>
                <w:b/>
              </w:rPr>
              <w:t xml:space="preserve">Observaciones</w:t>
            </w:r>
          </w:p>
        </w:tc>
      </w:tr>
      <w:tr>
        <w:tc>
          <w:tcPr>
            <w:tcW w:w="2410" w:type="dxa"/>
          </w:tcPr>
          <w:p>
            <w:pPr>
              <w:pStyle w:val="Celda"/>
            </w:pPr>
            <w:r>
              <w:t xml:space="preserve">Volver a la versión anterior del modelo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Volver a la versión anterior de instrucciones, base de conocimiento o configuración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Reducir el nivel de autonomía (modo degradado, por ejemplo de A2 a A1)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Pasar a un nivel de la cascada de degradación por coste: modelo de respaldo validado o alcance reducido (documento 52 §10.3)</w:t>
            </w:r>
          </w:p>
        </w:tc>
        <w:tc>
          <w:tcPr>
            <w:tcW w:w="2410" w:type="dxa"/>
          </w:tcPr>
          <w:p>
            <w:pPr>
              <w:pStyle w:val="Celda"/>
            </w:pPr>
          </w:p>
        </w:tc>
        <w:tc>
          <w:tcPr>
            <w:tcW w:w="2410" w:type="dxa"/>
          </w:tcPr>
          <w:p>
            <w:pPr>
              <w:pStyle w:val="Celda"/>
            </w:pPr>
          </w:p>
        </w:tc>
        <w:tc>
          <w:tcPr>
            <w:tcW w:w="2410" w:type="dxa"/>
          </w:tcPr>
          <w:p>
            <w:pPr>
              <w:pStyle w:val="Celda"/>
            </w:pPr>
            <w:r>
              <w:t xml:space="preserve">Solo con el modelo de respaldo registrado en P16 y evaluado antes de G5; no en usos que deciden sobre personas salvo validación específica. Nunca desactiva controles críticos.</w:t>
            </w:r>
          </w:p>
        </w:tc>
      </w:tr>
      <w:tr>
        <w:tc>
          <w:tcPr>
            <w:tcW w:w="2410" w:type="dxa"/>
          </w:tcPr>
          <w:p>
            <w:pPr>
              <w:pStyle w:val="Celda"/>
            </w:pPr>
            <w:r>
              <w:t xml:space="preserve">Desactivar la función de IA y volver al proceso sin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Parada total mediante interruptor de parada</w:t>
            </w:r>
          </w:p>
        </w:tc>
        <w:tc>
          <w:tcPr>
            <w:tcW w:w="2410" w:type="dxa"/>
          </w:tcPr>
          <w:p>
            <w:pPr>
              <w:pStyle w:val="Celda"/>
            </w:pPr>
          </w:p>
        </w:tc>
        <w:tc>
          <w:tcPr>
            <w:tcW w:w="2410" w:type="dxa"/>
          </w:tcPr>
          <w:p>
            <w:pPr>
              <w:pStyle w:val="Celda"/>
            </w:pPr>
          </w:p>
        </w:tc>
        <w:tc>
          <w:tcPr>
            <w:tcW w:w="2410" w:type="dxa"/>
          </w:tcPr>
          <w:p>
            <w:pPr>
              <w:pStyle w:val="Celda"/>
            </w:pPr>
            <w:r>
              <w:t xml:space="preserve">Siempre preparada en A2 y A3.</w:t>
            </w:r>
          </w:p>
        </w:tc>
      </w:tr>
    </w:tbl>
    <w:p>
      <w:pPr>
        <w:pStyle w:val="Espacio"/>
      </w:pPr>
    </w:p>
    <w:p>
      <w:pPr>
        <w:pStyle w:val="Separador"/>
      </w:pPr>
    </w:p>
    <w:p>
      <w:pPr>
        <w:pStyle w:val="Heading1"/>
      </w:pPr>
      <w:r>
        <w:t xml:space="preserve">6. Pasos de ejecución</w:t>
      </w:r>
    </w:p>
    <w:p>
      <w:r>
        <w:t xml:space="preserve">Una tabla por opción preparada. Los pasos deben poder seguirse sin conocer el diseño interno.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Paso</w:t>
            </w:r>
          </w:p>
        </w:tc>
        <w:tc>
          <w:tcPr>
            <w:tcW w:w="1928" w:type="dxa"/>
            <w:shd w:val="clear" w:color="auto" w:fill="F2DFCE"/>
          </w:tcPr>
          <w:p>
            <w:pPr>
              <w:pStyle w:val="Celda"/>
            </w:pPr>
            <w:r>
              <w:rPr>
                <w:b/>
              </w:rPr>
              <w:t xml:space="preserve">Responsable (rol)</w:t>
            </w:r>
          </w:p>
        </w:tc>
        <w:tc>
          <w:tcPr>
            <w:tcW w:w="1928" w:type="dxa"/>
            <w:shd w:val="clear" w:color="auto" w:fill="F2DFCE"/>
          </w:tcPr>
          <w:p>
            <w:pPr>
              <w:pStyle w:val="Celda"/>
            </w:pPr>
            <w:r>
              <w:rPr>
                <w:b/>
              </w:rPr>
              <w:t xml:space="preserve">Tiempo estimado</w:t>
            </w:r>
          </w:p>
        </w:tc>
        <w:tc>
          <w:tcPr>
            <w:tcW w:w="1928" w:type="dxa"/>
            <w:shd w:val="clear" w:color="auto" w:fill="F2DFCE"/>
          </w:tcPr>
          <w:p>
            <w:pPr>
              <w:pStyle w:val="Celda"/>
            </w:pPr>
            <w:r>
              <w:rPr>
                <w:b/>
              </w:rPr>
              <w:t xml:space="preserve">Cómo se comprueba que está hecho</w:t>
            </w:r>
          </w:p>
        </w:tc>
      </w:tr>
      <w:tr>
        <w:tc>
          <w:tcPr>
            <w:tcW w:w="1928" w:type="dxa"/>
          </w:tcPr>
          <w:p>
            <w:pPr>
              <w:pStyle w:val="Celda"/>
            </w:pPr>
            <w:r>
              <w:t xml:space="preserve">1 </w:t>
            </w:r>
            <w:r>
              <w:rPr>
                <w:i/>
              </w:rPr>
              <w:t xml:space="preserve">(ejemplo ilustrativo)</w:t>
            </w:r>
          </w:p>
        </w:tc>
        <w:tc>
          <w:tcPr>
            <w:tcW w:w="1928" w:type="dxa"/>
          </w:tcPr>
          <w:p>
            <w:pPr>
              <w:pStyle w:val="Celda"/>
            </w:pPr>
            <w:r>
              <w:t xml:space="preserve">Registrar la decisión de revertir y el disparador</w:t>
            </w:r>
          </w:p>
        </w:tc>
        <w:tc>
          <w:tcPr>
            <w:tcW w:w="1928" w:type="dxa"/>
          </w:tcPr>
          <w:p>
            <w:pPr>
              <w:pStyle w:val="Celda"/>
            </w:pPr>
            <w:r>
              <w:t xml:space="preserve">Responsable de operación de IA</w:t>
            </w:r>
          </w:p>
        </w:tc>
        <w:tc>
          <w:tcPr>
            <w:tcW w:w="1928" w:type="dxa"/>
          </w:tcPr>
          <w:p>
            <w:pPr>
              <w:pStyle w:val="Celda"/>
            </w:pPr>
            <w:r>
              <w:t xml:space="preserve">5 min</w:t>
            </w:r>
          </w:p>
        </w:tc>
        <w:tc>
          <w:tcPr>
            <w:tcW w:w="1928" w:type="dxa"/>
          </w:tcPr>
          <w:p>
            <w:pPr>
              <w:pStyle w:val="Celda"/>
            </w:pPr>
            <w:r>
              <w:t xml:space="preserve">Evento en P27</w:t>
            </w:r>
          </w:p>
        </w:tc>
      </w:tr>
      <w:tr>
        <w:tc>
          <w:tcPr>
            <w:tcW w:w="1928" w:type="dxa"/>
          </w:tcPr>
          <w:p>
            <w:pPr>
              <w:pStyle w:val="Celda"/>
            </w:pPr>
            <w:r>
              <w:t xml:space="preserve">2 </w:t>
            </w:r>
            <w:r>
              <w:rPr>
                <w:i/>
              </w:rPr>
              <w:t xml:space="preserve">(ejemplo ilustrativo)</w:t>
            </w:r>
          </w:p>
        </w:tc>
        <w:tc>
          <w:tcPr>
            <w:tcW w:w="1928" w:type="dxa"/>
          </w:tcPr>
          <w:p>
            <w:pPr>
              <w:pStyle w:val="Celda"/>
            </w:pPr>
            <w:r>
              <w:t xml:space="preserve">Activar el modo degradado A1 en la configuración</w:t>
            </w:r>
          </w:p>
        </w:tc>
        <w:tc>
          <w:tcPr>
            <w:tcW w:w="1928" w:type="dxa"/>
          </w:tcPr>
          <w:p>
            <w:pPr>
              <w:pStyle w:val="Celda"/>
            </w:pPr>
            <w:r>
              <w:t xml:space="preserve">Técnico de guardia</w:t>
            </w:r>
          </w:p>
        </w:tc>
        <w:tc>
          <w:tcPr>
            <w:tcW w:w="1928" w:type="dxa"/>
          </w:tcPr>
          <w:p>
            <w:pPr>
              <w:pStyle w:val="Celda"/>
            </w:pPr>
            <w:r>
              <w:t xml:space="preserve">10 min</w:t>
            </w:r>
          </w:p>
        </w:tc>
        <w:tc>
          <w:tcPr>
            <w:tcW w:w="1928" w:type="dxa"/>
          </w:tcPr>
          <w:p>
            <w:pPr>
              <w:pStyle w:val="Celda"/>
            </w:pPr>
            <w:r>
              <w:t xml:space="preserve">Las nuevas propuestas quedan pendientes de validación</w:t>
            </w:r>
          </w:p>
        </w:tc>
      </w:tr>
      <w:tr>
        <w:tc>
          <w:tcPr>
            <w:tcW w:w="1928" w:type="dxa"/>
          </w:tcPr>
          <w:p>
            <w:pPr>
              <w:pStyle w:val="Celda"/>
            </w:pPr>
            <w:r>
              <w:t xml:space="preserve">3 </w:t>
            </w:r>
            <w:r>
              <w:rPr>
                <w:i/>
              </w:rPr>
              <w:t xml:space="preserve">(ejemplo ilustrativo)</w:t>
            </w:r>
          </w:p>
        </w:tc>
        <w:tc>
          <w:tcPr>
            <w:tcW w:w="1928" w:type="dxa"/>
          </w:tcPr>
          <w:p>
            <w:pPr>
              <w:pStyle w:val="Celda"/>
            </w:pPr>
            <w:r>
              <w:t xml:space="preserve">Avisar a los supervisores del cambio de modo</w:t>
            </w:r>
          </w:p>
        </w:tc>
        <w:tc>
          <w:tcPr>
            <w:tcW w:w="1928" w:type="dxa"/>
          </w:tcPr>
          <w:p>
            <w:pPr>
              <w:pStyle w:val="Celda"/>
            </w:pPr>
            <w:r>
              <w:t xml:space="preserve">Responsable de producto de IA</w:t>
            </w:r>
          </w:p>
        </w:tc>
        <w:tc>
          <w:tcPr>
            <w:tcW w:w="1928" w:type="dxa"/>
          </w:tcPr>
          <w:p>
            <w:pPr>
              <w:pStyle w:val="Celda"/>
            </w:pPr>
            <w:r>
              <w:t xml:space="preserve">15 min</w:t>
            </w:r>
          </w:p>
        </w:tc>
        <w:tc>
          <w:tcPr>
            <w:tcW w:w="1928" w:type="dxa"/>
          </w:tcPr>
          <w:p>
            <w:pPr>
              <w:pStyle w:val="Celda"/>
            </w:pPr>
            <w:r>
              <w:t xml:space="preserve">Confirmación de lectura</w:t>
            </w:r>
          </w:p>
        </w:tc>
      </w:tr>
      <w:tr>
        <w:tc>
          <w:tcPr>
            <w:tcW w:w="1928" w:type="dxa"/>
          </w:tcPr>
          <w:p>
            <w:pPr>
              <w:pStyle w:val="Celda"/>
            </w:pPr>
            <w:r>
              <w:t xml:space="preserve">4 </w:t>
            </w:r>
            <w:r>
              <w:rPr>
                <w:i/>
              </w:rPr>
              <w:t xml:space="preserve">(ejemplo ilustrativo)</w:t>
            </w:r>
          </w:p>
        </w:tc>
        <w:tc>
          <w:tcPr>
            <w:tcW w:w="1928" w:type="dxa"/>
          </w:tcPr>
          <w:p>
            <w:pPr>
              <w:pStyle w:val="Celda"/>
            </w:pPr>
            <w:r>
              <w:t xml:space="preserve">Verificar que no hay acciones en cola ejecutándose</w:t>
            </w:r>
          </w:p>
        </w:tc>
        <w:tc>
          <w:tcPr>
            <w:tcW w:w="1928" w:type="dxa"/>
          </w:tcPr>
          <w:p>
            <w:pPr>
              <w:pStyle w:val="Celda"/>
            </w:pPr>
            <w:r>
              <w:t xml:space="preserve">Técnico de guardia</w:t>
            </w:r>
          </w:p>
        </w:tc>
        <w:tc>
          <w:tcPr>
            <w:tcW w:w="1928" w:type="dxa"/>
          </w:tcPr>
          <w:p>
            <w:pPr>
              <w:pStyle w:val="Celda"/>
            </w:pPr>
            <w:r>
              <w:t xml:space="preserve">10 min</w:t>
            </w:r>
          </w:p>
        </w:tc>
        <w:tc>
          <w:tcPr>
            <w:tcW w:w="1928" w:type="dxa"/>
          </w:tcPr>
          <w:p>
            <w:pPr>
              <w:pStyle w:val="Celda"/>
            </w:pPr>
            <w:r>
              <w:t xml:space="preserve">Cola vacía en el registro de acciones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Responsables, comunicación y tiempo objetivo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Quién autoriza la reversión</w:t>
            </w:r>
          </w:p>
        </w:tc>
        <w:tc>
          <w:tcPr>
            <w:tcW w:w="3213" w:type="dxa"/>
          </w:tcPr>
          <w:p>
            <w:pPr>
              <w:pStyle w:val="Celda"/>
            </w:pPr>
          </w:p>
        </w:tc>
        <w:tc>
          <w:tcPr>
            <w:tcW w:w="3213" w:type="dxa"/>
          </w:tcPr>
          <w:p>
            <w:pPr>
              <w:pStyle w:val="Celda"/>
            </w:pPr>
            <w:r>
              <w:t xml:space="preserve">Rol y sustituto. En disparadores automáticos, quién confirma a posteriori.</w:t>
            </w:r>
          </w:p>
        </w:tc>
      </w:tr>
      <w:tr>
        <w:tc>
          <w:tcPr>
            <w:tcW w:w="3213" w:type="dxa"/>
          </w:tcPr>
          <w:p>
            <w:pPr>
              <w:pStyle w:val="Celda"/>
            </w:pPr>
            <w:r>
              <w:t xml:space="preserve">Quién ejecuta</w:t>
            </w:r>
          </w:p>
        </w:tc>
        <w:tc>
          <w:tcPr>
            <w:tcW w:w="3213" w:type="dxa"/>
          </w:tcPr>
          <w:p>
            <w:pPr>
              <w:pStyle w:val="Celda"/>
            </w:pPr>
          </w:p>
        </w:tc>
        <w:tc>
          <w:tcPr>
            <w:tcW w:w="3213" w:type="dxa"/>
          </w:tcPr>
          <w:p>
            <w:pPr>
              <w:pStyle w:val="Celda"/>
            </w:pPr>
            <w:r>
              <w:t xml:space="preserve">Rol y cobertura horaria.</w:t>
            </w:r>
          </w:p>
        </w:tc>
      </w:tr>
      <w:tr>
        <w:tc>
          <w:tcPr>
            <w:tcW w:w="3213" w:type="dxa"/>
          </w:tcPr>
          <w:p>
            <w:pPr>
              <w:pStyle w:val="Celda"/>
            </w:pPr>
            <w:r>
              <w:t xml:space="preserve">A quién se informa</w:t>
            </w:r>
          </w:p>
        </w:tc>
        <w:tc>
          <w:tcPr>
            <w:tcW w:w="3213" w:type="dxa"/>
          </w:tcPr>
          <w:p>
            <w:pPr>
              <w:pStyle w:val="Celda"/>
            </w:pPr>
          </w:p>
        </w:tc>
        <w:tc>
          <w:tcPr>
            <w:tcW w:w="3213" w:type="dxa"/>
          </w:tcPr>
          <w:p>
            <w:pPr>
              <w:pStyle w:val="Celda"/>
            </w:pPr>
            <w:r>
              <w:t xml:space="preserve">Patrocinador, usuarios, soporte, riesgos; clientes si procede.</w:t>
            </w:r>
          </w:p>
        </w:tc>
      </w:tr>
      <w:tr>
        <w:tc>
          <w:tcPr>
            <w:tcW w:w="3213" w:type="dxa"/>
          </w:tcPr>
          <w:p>
            <w:pPr>
              <w:pStyle w:val="Celda"/>
            </w:pPr>
            <w:r>
              <w:t xml:space="preserve">Tiempo objetivo de reversión</w:t>
            </w:r>
          </w:p>
        </w:tc>
        <w:tc>
          <w:tcPr>
            <w:tcW w:w="3213" w:type="dxa"/>
          </w:tcPr>
          <w:p>
            <w:pPr>
              <w:pStyle w:val="Celda"/>
            </w:pPr>
          </w:p>
        </w:tc>
        <w:tc>
          <w:tcPr>
            <w:tcW w:w="3213" w:type="dxa"/>
          </w:tcPr>
          <w:p>
            <w:pPr>
              <w:pStyle w:val="Celda"/>
            </w:pPr>
            <w:r>
              <w:t xml:space="preserve">Desde la decisión hasta alcanzar el estado seguro.</w:t>
            </w:r>
          </w:p>
        </w:tc>
      </w:tr>
      <w:tr>
        <w:tc>
          <w:tcPr>
            <w:tcW w:w="3213" w:type="dxa"/>
          </w:tcPr>
          <w:p>
            <w:pPr>
              <w:pStyle w:val="Celda"/>
            </w:pPr>
            <w:r>
              <w:t xml:space="preserve">Tiempo máximo tolerable </w:t>
            </w:r>
            <w:r>
              <w:rPr>
                <w:b/>
              </w:rPr>
              <w:t xml:space="preserve">(Enterprise)</w:t>
            </w:r>
          </w:p>
        </w:tc>
        <w:tc>
          <w:tcPr>
            <w:tcW w:w="3213" w:type="dxa"/>
          </w:tcPr>
          <w:p>
            <w:pPr>
              <w:pStyle w:val="Celda"/>
            </w:pPr>
          </w:p>
        </w:tc>
        <w:tc>
          <w:tcPr>
            <w:tcW w:w="3213" w:type="dxa"/>
          </w:tcPr>
          <w:p>
            <w:pPr>
              <w:pStyle w:val="Celda"/>
            </w:pPr>
            <w:r>
              <w:t xml:space="preserve">Tiempo a partir del cual el impacto se considera inaceptable para el negocio.</w:t>
            </w:r>
          </w:p>
        </w:tc>
      </w:tr>
      <w:tr>
        <w:tc>
          <w:tcPr>
            <w:tcW w:w="3213" w:type="dxa"/>
          </w:tcPr>
          <w:p>
            <w:pPr>
              <w:pStyle w:val="Celda"/>
            </w:pPr>
            <w:r>
              <w:t xml:space="preserve">Quién autoriza volver a la versión revertida</w:t>
            </w:r>
          </w:p>
        </w:tc>
        <w:tc>
          <w:tcPr>
            <w:tcW w:w="3213" w:type="dxa"/>
          </w:tcPr>
          <w:p>
            <w:pPr>
              <w:pStyle w:val="Celda"/>
            </w:pPr>
          </w:p>
        </w:tc>
        <w:tc>
          <w:tcPr>
            <w:tcW w:w="3213" w:type="dxa"/>
          </w:tcPr>
          <w:p>
            <w:pPr>
              <w:pStyle w:val="Celda"/>
            </w:pPr>
            <w:r>
              <w:t xml:space="preserve">Rol distinto del que ejecutó la reversión cuando hubo incidente.</w:t>
            </w:r>
          </w:p>
        </w:tc>
      </w:tr>
    </w:tbl>
    <w:p>
      <w:pPr>
        <w:pStyle w:val="Espacio"/>
      </w:pPr>
    </w:p>
    <w:p>
      <w:pPr>
        <w:pStyle w:val="Separador"/>
      </w:pPr>
    </w:p>
    <w:p>
      <w:pPr>
        <w:pStyle w:val="Heading1"/>
      </w:pPr>
      <w:r>
        <w:t xml:space="preserve">8. Continuidad del proceso y resultados ya producidos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Proceso alternativo</w:t>
            </w:r>
          </w:p>
        </w:tc>
        <w:tc>
          <w:tcPr>
            <w:tcW w:w="3213" w:type="dxa"/>
          </w:tcPr>
          <w:p>
            <w:pPr>
              <w:pStyle w:val="Celda"/>
            </w:pPr>
          </w:p>
        </w:tc>
        <w:tc>
          <w:tcPr>
            <w:tcW w:w="3213" w:type="dxa"/>
          </w:tcPr>
          <w:p>
            <w:pPr>
              <w:pStyle w:val="Celda"/>
            </w:pPr>
            <w:r>
              <w:t xml:space="preserve">Cómo se sigue prestando el servicio sin el sistema o en modo degradado.</w:t>
            </w:r>
          </w:p>
        </w:tc>
      </w:tr>
      <w:tr>
        <w:tc>
          <w:tcPr>
            <w:tcW w:w="3213" w:type="dxa"/>
          </w:tcPr>
          <w:p>
            <w:pPr>
              <w:pStyle w:val="Celda"/>
            </w:pPr>
            <w:r>
              <w:t xml:space="preserve">Capacidad disponible para el proceso alternativo</w:t>
            </w:r>
          </w:p>
        </w:tc>
        <w:tc>
          <w:tcPr>
            <w:tcW w:w="3213" w:type="dxa"/>
          </w:tcPr>
          <w:p>
            <w:pPr>
              <w:pStyle w:val="Celda"/>
            </w:pPr>
          </w:p>
        </w:tc>
        <w:tc>
          <w:tcPr>
            <w:tcW w:w="3213" w:type="dxa"/>
          </w:tcPr>
          <w:p>
            <w:pPr>
              <w:pStyle w:val="Celda"/>
            </w:pPr>
            <w:r>
              <w:t xml:space="preserve">Personas y horas necesarias; si la capacidad liberada se ha reasignado (P20), cómo se recupera.</w:t>
            </w:r>
          </w:p>
        </w:tc>
      </w:tr>
      <w:tr>
        <w:tc>
          <w:tcPr>
            <w:tcW w:w="3213" w:type="dxa"/>
          </w:tcPr>
          <w:p>
            <w:pPr>
              <w:pStyle w:val="Celda"/>
            </w:pPr>
            <w:r>
              <w:t xml:space="preserve">Revisión de resultados producidos durante el fallo</w:t>
            </w:r>
          </w:p>
        </w:tc>
        <w:tc>
          <w:tcPr>
            <w:tcW w:w="3213" w:type="dxa"/>
          </w:tcPr>
          <w:p>
            <w:pPr>
              <w:pStyle w:val="Celda"/>
            </w:pPr>
          </w:p>
        </w:tc>
        <w:tc>
          <w:tcPr>
            <w:tcW w:w="3213" w:type="dxa"/>
          </w:tcPr>
          <w:p>
            <w:pPr>
              <w:pStyle w:val="Celda"/>
            </w:pPr>
            <w:r>
              <w:t xml:space="preserve">Criterio para identificar y revisar decisiones o acciones afectadas.</w:t>
            </w:r>
          </w:p>
        </w:tc>
      </w:tr>
      <w:tr>
        <w:tc>
          <w:tcPr>
            <w:tcW w:w="3213" w:type="dxa"/>
          </w:tcPr>
          <w:p>
            <w:pPr>
              <w:pStyle w:val="Celda"/>
            </w:pPr>
            <w:r>
              <w:t xml:space="preserve">Comunicación a personas afectadas </w:t>
            </w:r>
            <w:r>
              <w:rPr>
                <w:b/>
              </w:rPr>
              <w:t xml:space="preserve">(Enterprise)</w:t>
            </w:r>
          </w:p>
        </w:tc>
        <w:tc>
          <w:tcPr>
            <w:tcW w:w="3213" w:type="dxa"/>
          </w:tcPr>
          <w:p>
            <w:pPr>
              <w:pStyle w:val="Celda"/>
            </w:pPr>
          </w:p>
        </w:tc>
        <w:tc>
          <w:tcPr>
            <w:tcW w:w="3213" w:type="dxa"/>
          </w:tcPr>
          <w:p>
            <w:pPr>
              <w:pStyle w:val="Celda"/>
            </w:pPr>
            <w:r>
              <w:t xml:space="preserve">Cuándo y cómo, coordinado con P26.</w:t>
            </w:r>
          </w:p>
        </w:tc>
      </w:tr>
    </w:tbl>
    <w:p>
      <w:pPr>
        <w:pStyle w:val="Espacio"/>
      </w:pPr>
    </w:p>
    <w:p>
      <w:pPr>
        <w:pStyle w:val="Separador"/>
      </w:pPr>
    </w:p>
    <w:p>
      <w:pPr>
        <w:pStyle w:val="Heading1"/>
      </w:pPr>
      <w:r>
        <w:t xml:space="preserve">9. Revisión del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Revisión tras cambios relevantes</w:t>
            </w:r>
          </w:p>
        </w:tc>
        <w:tc>
          <w:tcPr>
            <w:tcW w:w="3213" w:type="dxa"/>
          </w:tcPr>
          <w:p>
            <w:pPr>
              <w:pStyle w:val="Celda"/>
            </w:pPr>
          </w:p>
        </w:tc>
        <w:tc>
          <w:tcPr>
            <w:tcW w:w="3213" w:type="dxa"/>
          </w:tcPr>
          <w:p>
            <w:pPr>
              <w:pStyle w:val="Celda"/>
            </w:pPr>
            <w:r>
              <w:t xml:space="preserve">El plan se revisa con cada cambio relevante registrado en P27.</w:t>
            </w:r>
          </w:p>
        </w:tc>
      </w:tr>
      <w:tr>
        <w:tc>
          <w:tcPr>
            <w:tcW w:w="3213" w:type="dxa"/>
          </w:tcPr>
          <w:p>
            <w:pPr>
              <w:pStyle w:val="Celda"/>
            </w:pPr>
            <w:r>
              <w:t xml:space="preserve">Periodicidad de nueva prueba </w:t>
            </w:r>
            <w:r>
              <w:rPr>
                <w:b/>
              </w:rPr>
              <w:t xml:space="preserve">(Enterprise)</w:t>
            </w:r>
          </w:p>
        </w:tc>
        <w:tc>
          <w:tcPr>
            <w:tcW w:w="3213" w:type="dxa"/>
          </w:tcPr>
          <w:p>
            <w:pPr>
              <w:pStyle w:val="Celda"/>
            </w:pPr>
          </w:p>
        </w:tc>
        <w:tc>
          <w:tcPr>
            <w:tcW w:w="3213" w:type="dxa"/>
          </w:tcPr>
          <w:p>
            <w:pPr>
              <w:pStyle w:val="Celda"/>
            </w:pPr>
            <w:r>
              <w:t xml:space="preserve">La que fije la compañía; debería repetirse tras cambios de modelo, de autonomía o de proveedor.</w:t>
            </w:r>
          </w:p>
        </w:tc>
      </w:tr>
    </w:tbl>
    <w:p>
      <w:pPr>
        <w:pStyle w:val="Espacio"/>
      </w:pPr>
    </w:p>
    <w:p>
      <w:pPr>
        <w:pStyle w:val="Separador"/>
      </w:pPr>
    </w:p>
    <w:p>
      <w:pPr>
        <w:pStyle w:val="Heading1"/>
      </w:pPr>
      <w:r>
        <w:t xml:space="preserve">10. Registro de la prueba de reversión</w:t>
      </w:r>
    </w:p>
    <w:p>
      <w:r>
        <w:t xml:space="preserve">Un bloque por prueba realizada.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la prueba</w:t>
            </w:r>
          </w:p>
        </w:tc>
        <w:tc>
          <w:tcPr>
            <w:tcW w:w="3213" w:type="dxa"/>
          </w:tcPr>
          <w:p>
            <w:pPr>
              <w:pStyle w:val="Celda"/>
            </w:pPr>
          </w:p>
        </w:tc>
        <w:tc>
          <w:tcPr>
            <w:tcW w:w="3213" w:type="dxa"/>
          </w:tcPr>
          <w:p>
            <w:pPr>
              <w:pStyle w:val="Celda"/>
            </w:pPr>
            <w:r>
              <w:t xml:space="preserve">DD-MM-AAAA. Debe ser anterior a la solicitud de G5.</w:t>
            </w:r>
          </w:p>
        </w:tc>
      </w:tr>
      <w:tr>
        <w:tc>
          <w:tcPr>
            <w:tcW w:w="3213" w:type="dxa"/>
          </w:tcPr>
          <w:p>
            <w:pPr>
              <w:pStyle w:val="Celda"/>
            </w:pPr>
            <w:r>
              <w:t xml:space="preserve">Entorno</w:t>
            </w:r>
          </w:p>
        </w:tc>
        <w:tc>
          <w:tcPr>
            <w:tcW w:w="3213" w:type="dxa"/>
          </w:tcPr>
          <w:p>
            <w:pPr>
              <w:pStyle w:val="Celda"/>
            </w:pPr>
          </w:p>
        </w:tc>
        <w:tc>
          <w:tcPr>
            <w:tcW w:w="3213" w:type="dxa"/>
          </w:tcPr>
          <w:p>
            <w:pPr>
              <w:pStyle w:val="Celda"/>
            </w:pPr>
            <w:r>
              <w:t xml:space="preserve">Producción controlada · Preproducción equivalente. Justifique la equivalencia si no es producción.</w:t>
            </w:r>
          </w:p>
        </w:tc>
      </w:tr>
      <w:tr>
        <w:tc>
          <w:tcPr>
            <w:tcW w:w="3213" w:type="dxa"/>
          </w:tcPr>
          <w:p>
            <w:pPr>
              <w:pStyle w:val="Celda"/>
            </w:pPr>
            <w:r>
              <w:t xml:space="preserve">Escenario y disparador simulado</w:t>
            </w:r>
          </w:p>
        </w:tc>
        <w:tc>
          <w:tcPr>
            <w:tcW w:w="3213" w:type="dxa"/>
          </w:tcPr>
          <w:p>
            <w:pPr>
              <w:pStyle w:val="Celda"/>
            </w:pPr>
          </w:p>
        </w:tc>
        <w:tc>
          <w:tcPr>
            <w:tcW w:w="3213" w:type="dxa"/>
          </w:tcPr>
          <w:p>
            <w:pPr>
              <w:pStyle w:val="Celda"/>
            </w:pPr>
            <w:r>
              <w:t xml:space="preserve">Por ejemplo, D-01.</w:t>
            </w:r>
          </w:p>
        </w:tc>
      </w:tr>
      <w:tr>
        <w:tc>
          <w:tcPr>
            <w:tcW w:w="3213" w:type="dxa"/>
          </w:tcPr>
          <w:p>
            <w:pPr>
              <w:pStyle w:val="Celda"/>
            </w:pPr>
            <w:r>
              <w:t xml:space="preserve">Opción de reversión probada</w:t>
            </w:r>
          </w:p>
        </w:tc>
        <w:tc>
          <w:tcPr>
            <w:tcW w:w="3213" w:type="dxa"/>
          </w:tcPr>
          <w:p>
            <w:pPr>
              <w:pStyle w:val="Celda"/>
            </w:pPr>
          </w:p>
        </w:tc>
        <w:tc>
          <w:tcPr>
            <w:tcW w:w="3213" w:type="dxa"/>
          </w:tcPr>
          <w:p>
            <w:pPr>
              <w:pStyle w:val="Celda"/>
            </w:pPr>
            <w:r>
              <w:t xml:space="preserve">Del bloque 5.</w:t>
            </w:r>
          </w:p>
        </w:tc>
      </w:tr>
      <w:tr>
        <w:tc>
          <w:tcPr>
            <w:tcW w:w="3213" w:type="dxa"/>
          </w:tcPr>
          <w:p>
            <w:pPr>
              <w:pStyle w:val="Celda"/>
            </w:pPr>
            <w:r>
              <w:t xml:space="preserve">Participantes</w:t>
            </w:r>
          </w:p>
        </w:tc>
        <w:tc>
          <w:tcPr>
            <w:tcW w:w="3213" w:type="dxa"/>
          </w:tcPr>
          <w:p>
            <w:pPr>
              <w:pStyle w:val="Celda"/>
            </w:pPr>
          </w:p>
        </w:tc>
        <w:tc>
          <w:tcPr>
            <w:tcW w:w="3213" w:type="dxa"/>
          </w:tcPr>
          <w:p>
            <w:pPr>
              <w:pStyle w:val="Celda"/>
            </w:pPr>
            <w:r>
              <w:t xml:space="preserve">Roles; debería participar quien estaría de guardia en un caso real.</w:t>
            </w:r>
          </w:p>
        </w:tc>
      </w:tr>
      <w:tr>
        <w:tc>
          <w:tcPr>
            <w:tcW w:w="3213" w:type="dxa"/>
          </w:tcPr>
          <w:p>
            <w:pPr>
              <w:pStyle w:val="Celda"/>
            </w:pPr>
            <w:r>
              <w:t xml:space="preserve">Tiempo medido</w:t>
            </w:r>
          </w:p>
        </w:tc>
        <w:tc>
          <w:tcPr>
            <w:tcW w:w="3213" w:type="dxa"/>
          </w:tcPr>
          <w:p>
            <w:pPr>
              <w:pStyle w:val="Celda"/>
            </w:pPr>
          </w:p>
        </w:tc>
        <w:tc>
          <w:tcPr>
            <w:tcW w:w="3213" w:type="dxa"/>
          </w:tcPr>
          <w:p>
            <w:pPr>
              <w:pStyle w:val="Celda"/>
            </w:pPr>
            <w:r>
              <w:t xml:space="preserve">Desde la decisión hasta el estado seguro.</w:t>
            </w:r>
          </w:p>
        </w:tc>
      </w:tr>
      <w:tr>
        <w:tc>
          <w:tcPr>
            <w:tcW w:w="3213" w:type="dxa"/>
          </w:tcPr>
          <w:p>
            <w:pPr>
              <w:pStyle w:val="Celda"/>
            </w:pPr>
            <w:r>
              <w:t xml:space="preserve">Tiempo objetivo</w:t>
            </w:r>
          </w:p>
        </w:tc>
        <w:tc>
          <w:tcPr>
            <w:tcW w:w="3213" w:type="dxa"/>
          </w:tcPr>
          <w:p>
            <w:pPr>
              <w:pStyle w:val="Celda"/>
            </w:pPr>
          </w:p>
        </w:tc>
        <w:tc>
          <w:tcPr>
            <w:tcW w:w="3213" w:type="dxa"/>
          </w:tcPr>
          <w:p>
            <w:pPr>
              <w:pStyle w:val="Celda"/>
            </w:pPr>
            <w:r>
              <w:t xml:space="preserve">Del bloque 7.</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Superada · Superada con observaciones · No superada.</w:t>
            </w:r>
          </w:p>
        </w:tc>
      </w:tr>
      <w:tr>
        <w:tc>
          <w:tcPr>
            <w:tcW w:w="3213" w:type="dxa"/>
          </w:tcPr>
          <w:p>
            <w:pPr>
              <w:pStyle w:val="Celda"/>
            </w:pPr>
            <w:r>
              <w:t xml:space="preserve">Incidencias durante la prueba</w:t>
            </w:r>
          </w:p>
        </w:tc>
        <w:tc>
          <w:tcPr>
            <w:tcW w:w="3213" w:type="dxa"/>
          </w:tcPr>
          <w:p>
            <w:pPr>
              <w:pStyle w:val="Celda"/>
            </w:pPr>
          </w:p>
        </w:tc>
        <w:tc>
          <w:tcPr>
            <w:tcW w:w="3213" w:type="dxa"/>
          </w:tcPr>
          <w:p>
            <w:pPr>
              <w:pStyle w:val="Celda"/>
            </w:pPr>
            <w:r>
              <w:t xml:space="preserve">Pasos que fallaron o no estaban documentados.</w:t>
            </w:r>
          </w:p>
        </w:tc>
      </w:tr>
      <w:tr>
        <w:tc>
          <w:tcPr>
            <w:tcW w:w="3213" w:type="dxa"/>
          </w:tcPr>
          <w:p>
            <w:pPr>
              <w:pStyle w:val="Celda"/>
            </w:pPr>
            <w:r>
              <w:t xml:space="preserve">Acciones derivadas</w:t>
            </w:r>
          </w:p>
        </w:tc>
        <w:tc>
          <w:tcPr>
            <w:tcW w:w="3213" w:type="dxa"/>
          </w:tcPr>
          <w:p>
            <w:pPr>
              <w:pStyle w:val="Celda"/>
            </w:pPr>
          </w:p>
        </w:tc>
        <w:tc>
          <w:tcPr>
            <w:tcW w:w="3213" w:type="dxa"/>
          </w:tcPr>
          <w:p>
            <w:pPr>
              <w:pStyle w:val="Celda"/>
            </w:pPr>
            <w:r>
              <w:t xml:space="preserve">Qué se corrige, responsable y fecha.</w:t>
            </w:r>
          </w:p>
        </w:tc>
      </w:tr>
      <w:tr>
        <w:tc>
          <w:tcPr>
            <w:tcW w:w="3213" w:type="dxa"/>
          </w:tcPr>
          <w:p>
            <w:pPr>
              <w:pStyle w:val="Celda"/>
            </w:pPr>
            <w:r>
              <w:t xml:space="preserve">Evidencia</w:t>
            </w:r>
          </w:p>
        </w:tc>
        <w:tc>
          <w:tcPr>
            <w:tcW w:w="3213" w:type="dxa"/>
          </w:tcPr>
          <w:p>
            <w:pPr>
              <w:pStyle w:val="Celda"/>
            </w:pPr>
          </w:p>
        </w:tc>
        <w:tc>
          <w:tcPr>
            <w:tcW w:w="3213" w:type="dxa"/>
          </w:tcPr>
          <w:p>
            <w:pPr>
              <w:pStyle w:val="Celda"/>
            </w:pPr>
            <w:r>
              <w:t xml:space="preserve">Registros, capturas o actas enlazadas.</w:t>
            </w:r>
          </w:p>
        </w:tc>
      </w:tr>
      <w:tr>
        <w:tc>
          <w:tcPr>
            <w:tcW w:w="3213" w:type="dxa"/>
          </w:tcPr>
          <w:p>
            <w:pPr>
              <w:pStyle w:val="Celda"/>
            </w:pPr>
            <w:r>
              <w:t xml:space="preserve">Verificada por</w:t>
            </w:r>
          </w:p>
        </w:tc>
        <w:tc>
          <w:tcPr>
            <w:tcW w:w="3213" w:type="dxa"/>
          </w:tcPr>
          <w:p>
            <w:pPr>
              <w:pStyle w:val="Celda"/>
            </w:pPr>
          </w:p>
        </w:tc>
        <w:tc>
          <w:tcPr>
            <w:tcW w:w="3213" w:type="dxa"/>
          </w:tcPr>
          <w:p>
            <w:pPr>
              <w:pStyle w:val="Celda"/>
            </w:pPr>
            <w:r>
              <w:t xml:space="preserve">Rol ajeno al equipo que construye.</w:t>
            </w:r>
          </w:p>
        </w:tc>
      </w:tr>
    </w:tbl>
    <w:p>
      <w:pPr>
        <w:pStyle w:val="Espacio"/>
      </w:pPr>
    </w:p>
    <w:p>
      <w:r>
        <w:t xml:space="preserve">Ejemplo </w:t>
      </w:r>
      <w:r>
        <w:rPr>
          <w:i/>
        </w:rPr>
        <w:t xml:space="preserve">(ejemplo ilustrativo)</w:t>
      </w:r>
      <w:r>
        <w:t xml:space="preserve">: prueba en preproducción equivalente, disparador D-01, reversión a modo A1; tiempo objetivo 30 minutos, tiempo medido 42 minutos; resultado </w:t>
      </w:r>
      <w:r>
        <w:rPr>
          <w:i/>
        </w:rPr>
        <w:t xml:space="preserve">Superada con observaciones</w:t>
      </w:r>
      <w:r>
        <w:t xml:space="preserve"> porque el aviso a supervisores dependía de una persona sin sustituto; acción: designar sustituto y repetir el paso 3 antes de G5.</w:t>
      </w:r>
    </w:p>
    <w:p>
      <w:pPr>
        <w:pStyle w:val="Separador"/>
      </w:pPr>
    </w:p>
    <w:p>
      <w:pPr>
        <w:pStyle w:val="Heading1"/>
      </w:pPr>
      <w:r>
        <w:t xml:space="preserve">11. Criterios de calidad</w:t>
      </w:r>
    </w:p>
    <w:p>
      <w:r>
        <w:t xml:space="preserve">Criterios formales de G4 y G5 en el documento 21; listas LV-G4 y LV-G5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Cada disparador tiene umbral medible y alerta asociada en P25.</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Existe al menos una opción de reversión preparada con estado seguro identificado.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pasos tienen responsable, tiempo y comprobación.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Hay tiempo objetivo de reversión y responsables con sustituto.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proceso alternativo tiene capacidad suficiente.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prueba se ha ejecutado antes de G5, en entorno válido, y su resultado es </w:t>
            </w:r>
            <w:r>
              <w:rPr>
                <w:i/>
              </w:rPr>
              <w:t xml:space="preserve">Superada</w:t>
            </w:r>
            <w:r>
              <w:t xml:space="preserve"> o sus observaciones están resueltas.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En sistemas con consumo variable, la activación de la cascada de degradación por coste se ha probado junto con la reversión.</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 del plan</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Responsable de la prueba</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o responsable de riesgos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la prueba no ha participado en su ejecución ni en el diseño del plan.</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Disparador de coste de ejemplo, opción de pasar a la cascada de degradación por coste y criterio de prueba (documento 52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P19 · Plan de reversión y prueba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P19 · Plan de reversión y prueba</dc:title>
  <dc:creator>Fernando García Varela</dc:creator>
  <dc:language>es</dc:language>
  <dc:description>sha256:15f01df1ce07e913dcb6f5077c783a59c5e527899ef482da2883f0de3441b496</dc:description>
  <cp:keywords>SEVEN-G</cp:keywords>
</cp:coreProperties>
</file>