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Manual de operación</w:t>
      </w:r>
    </w:p>
    <w:p>
      <w:r>
        <w:rPr>
          <w:b/>
        </w:rPr>
        <w:t xml:space="preserve">Reúne lo necesario para operar el sistema de IA en producción de forma estable y controlada: responsables, rutinas, cambios, situaciones habituales, continuidad y registros.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P24 · Manual de operación</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redacta en borrador en la fase 5 (requisito de P23) y se aprueba al inicio de la fase 6. Se mantiene vivo durante toda la operación.</w:t>
            </w:r>
          </w:p>
        </w:tc>
      </w:tr>
      <w:tr>
        <w:tc>
          <w:tcPr>
            <w:tcW w:w="4819" w:type="dxa"/>
          </w:tcPr>
          <w:p>
            <w:pPr>
              <w:pStyle w:val="Celda"/>
            </w:pPr>
            <w:r>
              <w:rPr>
                <w:b/>
              </w:rPr>
              <w:t xml:space="preserve">Quién la rellena</w:t>
            </w:r>
          </w:p>
        </w:tc>
        <w:tc>
          <w:tcPr>
            <w:tcW w:w="4819" w:type="dxa"/>
          </w:tcPr>
          <w:p>
            <w:pPr>
              <w:pStyle w:val="Celda"/>
            </w:pPr>
            <w:r>
              <w:t xml:space="preserve">Responsable de operación de IA, con el responsable técnico de IA.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Requisito previo de G5; se comprueba su vigencia en cada revisión de continuidad R6.</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w:t>
            </w:r>
          </w:p>
        </w:tc>
      </w:tr>
      <w:tr>
        <w:tc>
          <w:tcPr>
            <w:tcW w:w="4819" w:type="dxa"/>
          </w:tcPr>
          <w:p>
            <w:pPr>
              <w:pStyle w:val="Celda"/>
            </w:pPr>
            <w:r>
              <w:rPr>
                <w:b/>
              </w:rPr>
              <w:t xml:space="preserve">Relación</w:t>
            </w:r>
          </w:p>
        </w:tc>
        <w:tc>
          <w:tcPr>
            <w:tcW w:w="4819" w:type="dxa"/>
          </w:tcPr>
          <w:p>
            <w:pPr>
              <w:pStyle w:val="Celda"/>
            </w:pPr>
            <w:r>
              <w:t xml:space="preserve">P16 Linaje · P17 Supervisión humana · P18 Seguridad · P19 Reversión · P25 Monitorización y alertas · P26 Respuesta a incidentes · P27 Registro de incidentes y cambios · P28 Seguimiento de valor · documento 52 (Manual de operación de IA).</w:t>
            </w:r>
          </w:p>
        </w:tc>
      </w:tr>
    </w:tbl>
    <w:p>
      <w:pPr>
        <w:pStyle w:val="Espacio"/>
      </w:pPr>
    </w:p>
    <w:p>
      <w:r>
        <w:t xml:space="preserve">Reglas:</w:t>
      </w:r>
    </w:p>
    <w:p>
      <w:pPr>
        <w:pStyle w:val="Lista"/>
      </w:pPr>
      <w:r>
        <w:t xml:space="preserve">• El manual debe poder seguirlo una persona de guardia que </w:t>
      </w:r>
      <w:r>
        <w:rPr>
          <w:b/>
        </w:rPr>
        <w:t xml:space="preserve">no ha participado en la construcción</w:t>
      </w:r>
      <w:r>
        <w:t xml:space="preserve">.</w:t>
      </w:r>
    </w:p>
    <w:p>
      <w:pPr>
        <w:pStyle w:val="Lista"/>
      </w:pPr>
      <w:r>
        <w:t xml:space="preserve">• Los procedimientos técnicos detallados pueden residir en la herramienta de operación de la compañía; aquí se enlazan con su versión.</w:t>
      </w:r>
    </w:p>
    <w:p>
      <w:pPr>
        <w:pStyle w:val="Lista"/>
      </w:pPr>
      <w:r>
        <w:t xml:space="preserve">• Todo cambio en producción se clasifica y se registra en P27 antes de ejecutarse, salvo los de emergencia, que se registran inmediatamente después.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Versión en producción</w:t>
            </w:r>
          </w:p>
        </w:tc>
        <w:tc>
          <w:tcPr>
            <w:tcW w:w="3213" w:type="dxa"/>
          </w:tcPr>
          <w:p>
            <w:pPr>
              <w:pStyle w:val="Celda"/>
            </w:pPr>
          </w:p>
        </w:tc>
        <w:tc>
          <w:tcPr>
            <w:tcW w:w="3213" w:type="dxa"/>
          </w:tcPr>
          <w:p>
            <w:pPr>
              <w:pStyle w:val="Celda"/>
            </w:pPr>
            <w:r>
              <w:t xml:space="preserve">Modelo, instrucciones y configuración (P16).</w:t>
            </w:r>
          </w:p>
        </w:tc>
      </w:tr>
      <w:tr>
        <w:tc>
          <w:tcPr>
            <w:tcW w:w="3213" w:type="dxa"/>
          </w:tcPr>
          <w:p>
            <w:pPr>
              <w:pStyle w:val="Celda"/>
            </w:pPr>
            <w:r>
              <w:t xml:space="preserve">Fecha de puesta en producción</w:t>
            </w:r>
          </w:p>
        </w:tc>
        <w:tc>
          <w:tcPr>
            <w:tcW w:w="3213" w:type="dxa"/>
          </w:tcPr>
          <w:p>
            <w:pPr>
              <w:pStyle w:val="Celda"/>
            </w:pPr>
          </w:p>
        </w:tc>
        <w:tc>
          <w:tcPr>
            <w:tcW w:w="3213" w:type="dxa"/>
          </w:tcPr>
          <w:p>
            <w:pPr>
              <w:pStyle w:val="Celda"/>
            </w:pPr>
            <w:r>
              <w:t xml:space="preserve">Según P23.</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Determina la frecuencia de R6: trimestral en Enterprise y semestral en Lite.</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Descripción operativa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Qué hace el sistema</w:t>
            </w:r>
          </w:p>
        </w:tc>
        <w:tc>
          <w:tcPr>
            <w:tcW w:w="3213" w:type="dxa"/>
          </w:tcPr>
          <w:p>
            <w:pPr>
              <w:pStyle w:val="Celda"/>
            </w:pPr>
          </w:p>
        </w:tc>
        <w:tc>
          <w:tcPr>
            <w:tcW w:w="3213" w:type="dxa"/>
          </w:tcPr>
          <w:p>
            <w:pPr>
              <w:pStyle w:val="Celda"/>
            </w:pPr>
            <w:r>
              <w:t xml:space="preserve">Resumen de P31, en lenguaje comprensible.</w:t>
            </w:r>
          </w:p>
        </w:tc>
      </w:tr>
      <w:tr>
        <w:tc>
          <w:tcPr>
            <w:tcW w:w="3213" w:type="dxa"/>
          </w:tcPr>
          <w:p>
            <w:pPr>
              <w:pStyle w:val="Celda"/>
            </w:pPr>
            <w:r>
              <w:t xml:space="preserve">Usuarios y horario de servicio</w:t>
            </w:r>
          </w:p>
        </w:tc>
        <w:tc>
          <w:tcPr>
            <w:tcW w:w="3213" w:type="dxa"/>
          </w:tcPr>
          <w:p>
            <w:pPr>
              <w:pStyle w:val="Celda"/>
            </w:pPr>
          </w:p>
        </w:tc>
        <w:tc>
          <w:tcPr>
            <w:tcW w:w="3213" w:type="dxa"/>
          </w:tcPr>
          <w:p>
            <w:pPr>
              <w:pStyle w:val="Celda"/>
            </w:pPr>
            <w:r>
              <w:t xml:space="preserve">Quién lo usa y cuándo debe estar disponible.</w:t>
            </w:r>
          </w:p>
        </w:tc>
      </w:tr>
      <w:tr>
        <w:tc>
          <w:tcPr>
            <w:tcW w:w="3213" w:type="dxa"/>
          </w:tcPr>
          <w:p>
            <w:pPr>
              <w:pStyle w:val="Celda"/>
            </w:pPr>
            <w:r>
              <w:t xml:space="preserve">Niveles de servicio comprometidos</w:t>
            </w:r>
          </w:p>
        </w:tc>
        <w:tc>
          <w:tcPr>
            <w:tcW w:w="3213" w:type="dxa"/>
          </w:tcPr>
          <w:p>
            <w:pPr>
              <w:pStyle w:val="Celda"/>
            </w:pPr>
          </w:p>
        </w:tc>
        <w:tc>
          <w:tcPr>
            <w:tcW w:w="3213" w:type="dxa"/>
          </w:tcPr>
          <w:p>
            <w:pPr>
              <w:pStyle w:val="Celda"/>
            </w:pPr>
            <w:r>
              <w:t xml:space="preserve">Disponibilidad, tiempo de respuesta, tiempo de resolución.</w:t>
            </w:r>
          </w:p>
        </w:tc>
      </w:tr>
      <w:tr>
        <w:tc>
          <w:tcPr>
            <w:tcW w:w="3213" w:type="dxa"/>
          </w:tcPr>
          <w:p>
            <w:pPr>
              <w:pStyle w:val="Celda"/>
            </w:pPr>
            <w:r>
              <w:t xml:space="preserve">Dependencias internas</w:t>
            </w:r>
          </w:p>
        </w:tc>
        <w:tc>
          <w:tcPr>
            <w:tcW w:w="3213" w:type="dxa"/>
          </w:tcPr>
          <w:p>
            <w:pPr>
              <w:pStyle w:val="Celda"/>
            </w:pPr>
          </w:p>
        </w:tc>
        <w:tc>
          <w:tcPr>
            <w:tcW w:w="3213" w:type="dxa"/>
          </w:tcPr>
          <w:p>
            <w:pPr>
              <w:pStyle w:val="Celda"/>
            </w:pPr>
            <w:r>
              <w:t xml:space="preserve">Sistemas y datos de los que depende.</w:t>
            </w:r>
          </w:p>
        </w:tc>
      </w:tr>
      <w:tr>
        <w:tc>
          <w:tcPr>
            <w:tcW w:w="3213" w:type="dxa"/>
          </w:tcPr>
          <w:p>
            <w:pPr>
              <w:pStyle w:val="Celda"/>
            </w:pPr>
            <w:r>
              <w:t xml:space="preserve">Proveedores y soporte </w:t>
            </w:r>
            <w:r>
              <w:rPr>
                <w:b/>
              </w:rPr>
              <w:t xml:space="preserve">(Enterprise)</w:t>
            </w:r>
          </w:p>
        </w:tc>
        <w:tc>
          <w:tcPr>
            <w:tcW w:w="3213" w:type="dxa"/>
          </w:tcPr>
          <w:p>
            <w:pPr>
              <w:pStyle w:val="Celda"/>
            </w:pPr>
          </w:p>
        </w:tc>
        <w:tc>
          <w:tcPr>
            <w:tcW w:w="3213" w:type="dxa"/>
          </w:tcPr>
          <w:p>
            <w:pPr>
              <w:pStyle w:val="Celda"/>
            </w:pPr>
            <w:r>
              <w:t xml:space="preserve">Proveedor, servicio, canal de soporte y nivel de servicio contratado (P14).</w:t>
            </w:r>
          </w:p>
        </w:tc>
      </w:tr>
      <w:tr>
        <w:tc>
          <w:tcPr>
            <w:tcW w:w="3213" w:type="dxa"/>
          </w:tcPr>
          <w:p>
            <w:pPr>
              <w:pStyle w:val="Celda"/>
            </w:pPr>
            <w:r>
              <w:t xml:space="preserve">Limitaciones conocidas</w:t>
            </w:r>
          </w:p>
        </w:tc>
        <w:tc>
          <w:tcPr>
            <w:tcW w:w="3213" w:type="dxa"/>
          </w:tcPr>
          <w:p>
            <w:pPr>
              <w:pStyle w:val="Celda"/>
            </w:pPr>
          </w:p>
        </w:tc>
        <w:tc>
          <w:tcPr>
            <w:tcW w:w="3213" w:type="dxa"/>
          </w:tcPr>
          <w:p>
            <w:pPr>
              <w:pStyle w:val="Celda"/>
            </w:pPr>
            <w:r>
              <w:t xml:space="preserve">Del P16 y P21; qué no debe pedirse al sistema. Se trasladan a las instrucciones internas de uso (P49 §5).</w:t>
            </w:r>
          </w:p>
        </w:tc>
      </w:tr>
    </w:tbl>
    <w:p>
      <w:pPr>
        <w:pStyle w:val="Espacio"/>
      </w:pPr>
    </w:p>
    <w:p>
      <w:pPr>
        <w:pStyle w:val="Separador"/>
      </w:pPr>
    </w:p>
    <w:p>
      <w:pPr>
        <w:pStyle w:val="Heading1"/>
      </w:pPr>
      <w:r>
        <w:t xml:space="preserve">4. Roles y contactos operativos</w:t>
      </w:r>
    </w:p>
    <w:p>
      <w:r>
        <w:t xml:space="preserve">Se indican roles y canales; los datos personales de contacto se mantienen en el directorio corporativo.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Titular</w:t>
            </w:r>
          </w:p>
        </w:tc>
        <w:tc>
          <w:tcPr>
            <w:tcW w:w="1928" w:type="dxa"/>
            <w:shd w:val="clear" w:color="auto" w:fill="F2DFCE"/>
          </w:tcPr>
          <w:p>
            <w:pPr>
              <w:pStyle w:val="Celda"/>
            </w:pPr>
            <w:r>
              <w:rPr>
                <w:b/>
              </w:rPr>
              <w:t xml:space="preserve">Sustituto</w:t>
            </w:r>
          </w:p>
        </w:tc>
        <w:tc>
          <w:tcPr>
            <w:tcW w:w="1928" w:type="dxa"/>
            <w:shd w:val="clear" w:color="auto" w:fill="F2DFCE"/>
          </w:tcPr>
          <w:p>
            <w:pPr>
              <w:pStyle w:val="Celda"/>
            </w:pPr>
            <w:r>
              <w:rPr>
                <w:b/>
              </w:rPr>
              <w:t xml:space="preserve">Disponibilidad</w:t>
            </w:r>
          </w:p>
        </w:tc>
        <w:tc>
          <w:tcPr>
            <w:tcW w:w="1928" w:type="dxa"/>
            <w:shd w:val="clear" w:color="auto" w:fill="F2DFCE"/>
          </w:tcPr>
          <w:p>
            <w:pPr>
              <w:pStyle w:val="Celda"/>
            </w:pPr>
            <w:r>
              <w:rPr>
                <w:b/>
              </w:rPr>
              <w:t xml:space="preserve">Canal</w:t>
            </w:r>
          </w:p>
        </w:tc>
      </w:tr>
      <w:tr>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Guardia técnica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Supervisores designados (P17)</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Protección de datos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5. Rutinas operativas</w:t>
      </w:r>
    </w:p>
    <w:p>
      <w:r>
        <w:rPr>
          <w:b/>
        </w:rPr>
        <w:t xml:space="preserve">Frecuencia:</w:t>
      </w:r>
      <w:r>
        <w:t xml:space="preserve"> Continua · Diaria · Semanal · Mensual · Trimestral · Semestral.</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Actividad</w:t>
            </w:r>
          </w:p>
        </w:tc>
        <w:tc>
          <w:tcPr>
            <w:tcW w:w="1928" w:type="dxa"/>
            <w:shd w:val="clear" w:color="auto" w:fill="F2DFCE"/>
          </w:tcPr>
          <w:p>
            <w:pPr>
              <w:pStyle w:val="Celda"/>
            </w:pPr>
            <w:r>
              <w:rPr>
                <w:b/>
              </w:rPr>
              <w:t xml:space="preserve">Frecuencia</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Procedimiento o enlace</w:t>
            </w:r>
          </w:p>
        </w:tc>
        <w:tc>
          <w:tcPr>
            <w:tcW w:w="1928" w:type="dxa"/>
            <w:shd w:val="clear" w:color="auto" w:fill="F2DFCE"/>
          </w:tcPr>
          <w:p>
            <w:pPr>
              <w:pStyle w:val="Celda"/>
            </w:pPr>
            <w:r>
              <w:rPr>
                <w:b/>
              </w:rPr>
              <w:t xml:space="preserve">Registro</w:t>
            </w:r>
          </w:p>
        </w:tc>
      </w:tr>
      <w:tr>
        <w:tc>
          <w:tcPr>
            <w:tcW w:w="1928" w:type="dxa"/>
          </w:tcPr>
          <w:p>
            <w:pPr>
              <w:pStyle w:val="Celda"/>
            </w:pPr>
            <w:r>
              <w:t xml:space="preserve">Revisar alertas abiertas y su tratamiento</w:t>
            </w:r>
          </w:p>
        </w:tc>
        <w:tc>
          <w:tcPr>
            <w:tcW w:w="1928" w:type="dxa"/>
          </w:tcPr>
          <w:p>
            <w:pPr>
              <w:pStyle w:val="Celda"/>
            </w:pPr>
            <w:r>
              <w:t xml:space="preserve">Diaria</w:t>
            </w:r>
          </w:p>
        </w:tc>
        <w:tc>
          <w:tcPr>
            <w:tcW w:w="1928" w:type="dxa"/>
          </w:tcPr>
          <w:p>
            <w:pPr>
              <w:pStyle w:val="Celda"/>
            </w:pPr>
            <w:r>
              <w:t xml:space="preserve">Guardia técnica</w:t>
            </w:r>
          </w:p>
        </w:tc>
        <w:tc>
          <w:tcPr>
            <w:tcW w:w="1928" w:type="dxa"/>
          </w:tcPr>
          <w:p>
            <w:pPr>
              <w:pStyle w:val="Celda"/>
            </w:pPr>
            <w:r>
              <w:t xml:space="preserve">P25</w:t>
            </w:r>
          </w:p>
        </w:tc>
        <w:tc>
          <w:tcPr>
            <w:tcW w:w="1928" w:type="dxa"/>
          </w:tcPr>
          <w:p>
            <w:pPr>
              <w:pStyle w:val="Celda"/>
            </w:pPr>
            <w:r>
              <w:t xml:space="preserve">Herramienta de alertas</w:t>
            </w:r>
          </w:p>
        </w:tc>
      </w:tr>
      <w:tr>
        <w:tc>
          <w:tcPr>
            <w:tcW w:w="1928" w:type="dxa"/>
          </w:tcPr>
          <w:p>
            <w:pPr>
              <w:pStyle w:val="Celda"/>
            </w:pPr>
            <w:r>
              <w:t xml:space="preserve">Comprobar calidad y actualidad de los datos de entrada</w:t>
            </w:r>
          </w:p>
        </w:tc>
        <w:tc>
          <w:tcPr>
            <w:tcW w:w="1928" w:type="dxa"/>
          </w:tcPr>
          <w:p>
            <w:pPr>
              <w:pStyle w:val="Celda"/>
            </w:pPr>
            <w:r>
              <w:t xml:space="preserve">Diaria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Revisar muestra de resultados (supervisión a posteriori)</w:t>
            </w:r>
          </w:p>
        </w:tc>
        <w:tc>
          <w:tcPr>
            <w:tcW w:w="1928" w:type="dxa"/>
          </w:tcPr>
          <w:p>
            <w:pPr>
              <w:pStyle w:val="Celda"/>
            </w:pPr>
            <w:r>
              <w:t xml:space="preserve">Según P17</w:t>
            </w:r>
          </w:p>
        </w:tc>
        <w:tc>
          <w:tcPr>
            <w:tcW w:w="1928" w:type="dxa"/>
          </w:tcPr>
          <w:p>
            <w:pPr>
              <w:pStyle w:val="Celda"/>
            </w:pPr>
            <w:r>
              <w:t xml:space="preserve">Supervisores designados</w:t>
            </w:r>
          </w:p>
        </w:tc>
        <w:tc>
          <w:tcPr>
            <w:tcW w:w="1928" w:type="dxa"/>
          </w:tcPr>
          <w:p>
            <w:pPr>
              <w:pStyle w:val="Celda"/>
            </w:pPr>
            <w:r>
              <w:t xml:space="preserve">P17 bloque 6</w:t>
            </w:r>
          </w:p>
        </w:tc>
        <w:tc>
          <w:tcPr>
            <w:tcW w:w="1928" w:type="dxa"/>
          </w:tcPr>
          <w:p>
            <w:pPr>
              <w:pStyle w:val="Celda"/>
            </w:pPr>
          </w:p>
        </w:tc>
      </w:tr>
      <w:tr>
        <w:tc>
          <w:tcPr>
            <w:tcW w:w="1928" w:type="dxa"/>
          </w:tcPr>
          <w:p>
            <w:pPr>
              <w:pStyle w:val="Celda"/>
            </w:pPr>
            <w:r>
              <w:t xml:space="preserve">Revisar registro de acciones del agente y bloqueos</w:t>
            </w:r>
          </w:p>
        </w:tc>
        <w:tc>
          <w:tcPr>
            <w:tcW w:w="1928" w:type="dxa"/>
          </w:tcPr>
          <w:p>
            <w:pPr>
              <w:pStyle w:val="Celda"/>
            </w:pPr>
            <w:r>
              <w:t xml:space="preserve">Semanal</w:t>
            </w:r>
          </w:p>
        </w:tc>
        <w:tc>
          <w:tcPr>
            <w:tcW w:w="1928" w:type="dxa"/>
          </w:tcPr>
          <w:p>
            <w:pPr>
              <w:pStyle w:val="Celda"/>
            </w:pPr>
          </w:p>
        </w:tc>
        <w:tc>
          <w:tcPr>
            <w:tcW w:w="1928" w:type="dxa"/>
          </w:tcPr>
          <w:p>
            <w:pPr>
              <w:pStyle w:val="Celda"/>
            </w:pPr>
            <w:r>
              <w:t xml:space="preserve">P18 bloque 10</w:t>
            </w:r>
          </w:p>
        </w:tc>
        <w:tc>
          <w:tcPr>
            <w:tcW w:w="1928" w:type="dxa"/>
          </w:tcPr>
          <w:p>
            <w:pPr>
              <w:pStyle w:val="Celda"/>
            </w:pPr>
          </w:p>
        </w:tc>
      </w:tr>
      <w:tr>
        <w:tc>
          <w:tcPr>
            <w:tcW w:w="1928" w:type="dxa"/>
          </w:tcPr>
          <w:p>
            <w:pPr>
              <w:pStyle w:val="Celda"/>
            </w:pPr>
            <w:r>
              <w:t xml:space="preserve">Revisar consumo y coste frente a presupuesto</w:t>
            </w:r>
          </w:p>
        </w:tc>
        <w:tc>
          <w:tcPr>
            <w:tcW w:w="1928" w:type="dxa"/>
          </w:tcPr>
          <w:p>
            <w:pPr>
              <w:pStyle w:val="Celda"/>
            </w:pPr>
            <w:r>
              <w:t xml:space="preserve">Mensual</w:t>
            </w:r>
          </w:p>
        </w:tc>
        <w:tc>
          <w:tcPr>
            <w:tcW w:w="1928" w:type="dxa"/>
          </w:tcPr>
          <w:p>
            <w:pPr>
              <w:pStyle w:val="Celda"/>
            </w:pPr>
          </w:p>
        </w:tc>
        <w:tc>
          <w:tcPr>
            <w:tcW w:w="1928" w:type="dxa"/>
          </w:tcPr>
          <w:p>
            <w:pPr>
              <w:pStyle w:val="Celda"/>
            </w:pPr>
            <w:r>
              <w:t xml:space="preserve">P25</w:t>
            </w:r>
          </w:p>
        </w:tc>
        <w:tc>
          <w:tcPr>
            <w:tcW w:w="1928" w:type="dxa"/>
          </w:tcPr>
          <w:p>
            <w:pPr>
              <w:pStyle w:val="Celda"/>
            </w:pPr>
          </w:p>
        </w:tc>
      </w:tr>
      <w:tr>
        <w:tc>
          <w:tcPr>
            <w:tcW w:w="1928" w:type="dxa"/>
          </w:tcPr>
          <w:p>
            <w:pPr>
              <w:pStyle w:val="Celda"/>
            </w:pPr>
            <w:r>
              <w:t xml:space="preserve">Revisar deriva (también de uso), sesgo y rendimiento frente a referencia</w:t>
            </w:r>
          </w:p>
        </w:tc>
        <w:tc>
          <w:tcPr>
            <w:tcW w:w="1928" w:type="dxa"/>
          </w:tcPr>
          <w:p>
            <w:pPr>
              <w:pStyle w:val="Celda"/>
            </w:pPr>
            <w:r>
              <w:t xml:space="preserve">Mensual</w:t>
            </w:r>
          </w:p>
        </w:tc>
        <w:tc>
          <w:tcPr>
            <w:tcW w:w="1928" w:type="dxa"/>
          </w:tcPr>
          <w:p>
            <w:pPr>
              <w:pStyle w:val="Celda"/>
            </w:pPr>
          </w:p>
        </w:tc>
        <w:tc>
          <w:tcPr>
            <w:tcW w:w="1928" w:type="dxa"/>
          </w:tcPr>
          <w:p>
            <w:pPr>
              <w:pStyle w:val="Celda"/>
            </w:pPr>
            <w:r>
              <w:t xml:space="preserve">P25</w:t>
            </w:r>
          </w:p>
        </w:tc>
        <w:tc>
          <w:tcPr>
            <w:tcW w:w="1928" w:type="dxa"/>
          </w:tcPr>
          <w:p>
            <w:pPr>
              <w:pStyle w:val="Celda"/>
            </w:pPr>
          </w:p>
        </w:tc>
      </w:tr>
      <w:tr>
        <w:tc>
          <w:tcPr>
            <w:tcW w:w="1928" w:type="dxa"/>
          </w:tcPr>
          <w:p>
            <w:pPr>
              <w:pStyle w:val="Celda"/>
            </w:pPr>
            <w:r>
              <w:t xml:space="preserve">Revisar permisos e identidades del sistema</w:t>
            </w:r>
          </w:p>
        </w:tc>
        <w:tc>
          <w:tcPr>
            <w:tcW w:w="1928" w:type="dxa"/>
          </w:tcPr>
          <w:p>
            <w:pPr>
              <w:pStyle w:val="Celda"/>
            </w:pPr>
            <w:r>
              <w:t xml:space="preserve">Trimestral</w:t>
            </w:r>
          </w:p>
        </w:tc>
        <w:tc>
          <w:tcPr>
            <w:tcW w:w="1928" w:type="dxa"/>
          </w:tcPr>
          <w:p>
            <w:pPr>
              <w:pStyle w:val="Celda"/>
            </w:pPr>
          </w:p>
        </w:tc>
        <w:tc>
          <w:tcPr>
            <w:tcW w:w="1928" w:type="dxa"/>
          </w:tcPr>
          <w:p>
            <w:pPr>
              <w:pStyle w:val="Celda"/>
            </w:pPr>
            <w:r>
              <w:t xml:space="preserve">P18 bloques 4 y 5</w:t>
            </w:r>
          </w:p>
        </w:tc>
        <w:tc>
          <w:tcPr>
            <w:tcW w:w="1928" w:type="dxa"/>
          </w:tcPr>
          <w:p>
            <w:pPr>
              <w:pStyle w:val="Celda"/>
            </w:pPr>
          </w:p>
        </w:tc>
      </w:tr>
      <w:tr>
        <w:tc>
          <w:tcPr>
            <w:tcW w:w="1928" w:type="dxa"/>
          </w:tcPr>
          <w:p>
            <w:pPr>
              <w:pStyle w:val="Celda"/>
            </w:pPr>
            <w:r>
              <w:t xml:space="preserve">Actualizar el seguimiento de valor</w:t>
            </w:r>
          </w:p>
        </w:tc>
        <w:tc>
          <w:tcPr>
            <w:tcW w:w="1928" w:type="dxa"/>
          </w:tcPr>
          <w:p>
            <w:pPr>
              <w:pStyle w:val="Celda"/>
            </w:pPr>
            <w:r>
              <w:t xml:space="preserve">Según P28</w:t>
            </w:r>
          </w:p>
        </w:tc>
        <w:tc>
          <w:tcPr>
            <w:tcW w:w="1928" w:type="dxa"/>
          </w:tcPr>
          <w:p>
            <w:pPr>
              <w:pStyle w:val="Celda"/>
            </w:pPr>
            <w:r>
              <w:t xml:space="preserve">Responsable de producto de IA</w:t>
            </w:r>
          </w:p>
        </w:tc>
        <w:tc>
          <w:tcPr>
            <w:tcW w:w="1928" w:type="dxa"/>
          </w:tcPr>
          <w:p>
            <w:pPr>
              <w:pStyle w:val="Celda"/>
            </w:pPr>
            <w:r>
              <w:t xml:space="preserve">P28</w:t>
            </w:r>
          </w:p>
        </w:tc>
        <w:tc>
          <w:tcPr>
            <w:tcW w:w="1928" w:type="dxa"/>
          </w:tcPr>
          <w:p>
            <w:pPr>
              <w:pStyle w:val="Celda"/>
            </w:pPr>
          </w:p>
        </w:tc>
      </w:tr>
      <w:tr>
        <w:tc>
          <w:tcPr>
            <w:tcW w:w="1928" w:type="dxa"/>
          </w:tcPr>
          <w:p>
            <w:pPr>
              <w:pStyle w:val="Celda"/>
            </w:pPr>
            <w:r>
              <w:t xml:space="preserve">Preparar la revisión de continuidad R6</w:t>
            </w:r>
          </w:p>
        </w:tc>
        <w:tc>
          <w:tcPr>
            <w:tcW w:w="1928" w:type="dxa"/>
          </w:tcPr>
          <w:p>
            <w:pPr>
              <w:pStyle w:val="Celda"/>
            </w:pPr>
            <w:r>
              <w:t xml:space="preserve">Trimestral (Enterprise) · Semestral (Lite)</w:t>
            </w:r>
          </w:p>
        </w:tc>
        <w:tc>
          <w:tcPr>
            <w:tcW w:w="1928" w:type="dxa"/>
          </w:tcPr>
          <w:p>
            <w:pPr>
              <w:pStyle w:val="Celda"/>
            </w:pPr>
            <w:r>
              <w:t xml:space="preserve">Responsable de operación de IA</w:t>
            </w:r>
          </w:p>
        </w:tc>
        <w:tc>
          <w:tcPr>
            <w:tcW w:w="1928" w:type="dxa"/>
          </w:tcPr>
          <w:p>
            <w:pPr>
              <w:pStyle w:val="Celda"/>
            </w:pPr>
            <w:r>
              <w:t xml:space="preserve">Bloque 10</w:t>
            </w:r>
          </w:p>
        </w:tc>
        <w:tc>
          <w:tcPr>
            <w:tcW w:w="1928" w:type="dxa"/>
          </w:tcPr>
          <w:p>
            <w:pPr>
              <w:pStyle w:val="Celda"/>
            </w:pPr>
            <w:r>
              <w:t xml:space="preserve">P29</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Gestión de cambios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Tipo de cambio</w:t>
            </w:r>
          </w:p>
        </w:tc>
        <w:tc>
          <w:tcPr>
            <w:tcW w:w="1928" w:type="dxa"/>
            <w:shd w:val="clear" w:color="auto" w:fill="F2DFCE"/>
          </w:tcPr>
          <w:p>
            <w:pPr>
              <w:pStyle w:val="Celda"/>
            </w:pPr>
            <w:r>
              <w:rPr>
                <w:b/>
              </w:rPr>
              <w:t xml:space="preserve">Ejemplos</w:t>
            </w:r>
          </w:p>
        </w:tc>
        <w:tc>
          <w:tcPr>
            <w:tcW w:w="1928" w:type="dxa"/>
            <w:shd w:val="clear" w:color="auto" w:fill="F2DFCE"/>
          </w:tcPr>
          <w:p>
            <w:pPr>
              <w:pStyle w:val="Celda"/>
            </w:pPr>
            <w:r>
              <w:rPr>
                <w:b/>
              </w:rPr>
              <w:t xml:space="preserve">Pruebas exigidas</w:t>
            </w:r>
          </w:p>
        </w:tc>
        <w:tc>
          <w:tcPr>
            <w:tcW w:w="1928" w:type="dxa"/>
            <w:shd w:val="clear" w:color="auto" w:fill="F2DFCE"/>
          </w:tcPr>
          <w:p>
            <w:pPr>
              <w:pStyle w:val="Celda"/>
            </w:pPr>
            <w:r>
              <w:rPr>
                <w:b/>
              </w:rPr>
              <w:t xml:space="preserve">Quién aprueba</w:t>
            </w:r>
          </w:p>
        </w:tc>
        <w:tc>
          <w:tcPr>
            <w:tcW w:w="1928" w:type="dxa"/>
            <w:shd w:val="clear" w:color="auto" w:fill="F2DFCE"/>
          </w:tcPr>
          <w:p>
            <w:pPr>
              <w:pStyle w:val="Celda"/>
            </w:pPr>
            <w:r>
              <w:rPr>
                <w:b/>
              </w:rPr>
              <w:t xml:space="preserve">¿Requiere revisar clasificación, intensidad o riesgos?</w:t>
            </w:r>
          </w:p>
        </w:tc>
      </w:tr>
      <w:tr>
        <w:tc>
          <w:tcPr>
            <w:tcW w:w="1928" w:type="dxa"/>
          </w:tcPr>
          <w:p>
            <w:pPr>
              <w:pStyle w:val="Celda"/>
            </w:pPr>
            <w:r>
              <w:rPr>
                <w:b/>
              </w:rPr>
              <w:t xml:space="preserve">Menor</w:t>
            </w:r>
          </w:p>
        </w:tc>
        <w:tc>
          <w:tcPr>
            <w:tcW w:w="1928" w:type="dxa"/>
          </w:tcPr>
          <w:p>
            <w:pPr>
              <w:pStyle w:val="Celda"/>
            </w:pPr>
            <w:r>
              <w:t xml:space="preserve">Ajuste de textos de interfaz; umbral de alerta sin efecto en el comportamiento</w:t>
            </w:r>
          </w:p>
        </w:tc>
        <w:tc>
          <w:tcPr>
            <w:tcW w:w="1928" w:type="dxa"/>
          </w:tcPr>
          <w:p>
            <w:pPr>
              <w:pStyle w:val="Celda"/>
            </w:pPr>
            <w:r>
              <w:t xml:space="preserve">Verificación funcional</w:t>
            </w:r>
          </w:p>
        </w:tc>
        <w:tc>
          <w:tcPr>
            <w:tcW w:w="1928" w:type="dxa"/>
          </w:tcPr>
          <w:p>
            <w:pPr>
              <w:pStyle w:val="Celda"/>
            </w:pPr>
            <w:r>
              <w:t xml:space="preserve">Responsable de operación de IA</w:t>
            </w:r>
          </w:p>
        </w:tc>
        <w:tc>
          <w:tcPr>
            <w:tcW w:w="1928" w:type="dxa"/>
          </w:tcPr>
          <w:p>
            <w:pPr>
              <w:pStyle w:val="Celda"/>
            </w:pPr>
            <w:r>
              <w:t xml:space="preserve">No</w:t>
            </w:r>
          </w:p>
        </w:tc>
      </w:tr>
      <w:tr>
        <w:tc>
          <w:tcPr>
            <w:tcW w:w="1928" w:type="dxa"/>
          </w:tcPr>
          <w:p>
            <w:pPr>
              <w:pStyle w:val="Celda"/>
            </w:pPr>
            <w:r>
              <w:rPr>
                <w:b/>
              </w:rPr>
              <w:t xml:space="preserve">Relevante</w:t>
            </w:r>
          </w:p>
        </w:tc>
        <w:tc>
          <w:tcPr>
            <w:tcW w:w="1928" w:type="dxa"/>
          </w:tcPr>
          <w:p>
            <w:pPr>
              <w:pStyle w:val="Celda"/>
            </w:pPr>
            <w:r>
              <w:t xml:space="preserve">Nueva versión de modelo, instrucciones o base de conocimiento; nuevas herramientas o permisos del agente; cambio de nivel de autonomía; ampliación de población o finalidad; cambio de proveedor</w:t>
            </w:r>
          </w:p>
        </w:tc>
        <w:tc>
          <w:tcPr>
            <w:tcW w:w="1928" w:type="dxa"/>
          </w:tcPr>
          <w:p>
            <w:pPr>
              <w:pStyle w:val="Celda"/>
            </w:pPr>
            <w:r>
              <w:t xml:space="preserve">Regresión, sesgo, seguridad e inyección según el caso; reversión preparada</w:t>
            </w:r>
          </w:p>
        </w:tc>
        <w:tc>
          <w:tcPr>
            <w:tcW w:w="1928" w:type="dxa"/>
          </w:tcPr>
          <w:p>
            <w:pPr>
              <w:pStyle w:val="Celda"/>
            </w:pPr>
            <w:r>
              <w:t xml:space="preserve">Según documento 52; si cambia autonomía, finalidad o clasificación, decisión equivalente a G4/G5 y nueva firma (P23)</w:t>
            </w:r>
          </w:p>
        </w:tc>
        <w:tc>
          <w:tcPr>
            <w:tcW w:w="1928" w:type="dxa"/>
          </w:tcPr>
          <w:p>
            <w:pPr>
              <w:pStyle w:val="Celda"/>
            </w:pPr>
            <w:r>
              <w:t xml:space="preserve">Sí</w:t>
            </w:r>
          </w:p>
        </w:tc>
      </w:tr>
      <w:tr>
        <w:tc>
          <w:tcPr>
            <w:tcW w:w="1928" w:type="dxa"/>
          </w:tcPr>
          <w:p>
            <w:pPr>
              <w:pStyle w:val="Celda"/>
            </w:pPr>
            <w:r>
              <w:rPr>
                <w:b/>
              </w:rPr>
              <w:t xml:space="preserve">Emergencia</w:t>
            </w:r>
          </w:p>
        </w:tc>
        <w:tc>
          <w:tcPr>
            <w:tcW w:w="1928" w:type="dxa"/>
          </w:tcPr>
          <w:p>
            <w:pPr>
              <w:pStyle w:val="Celda"/>
            </w:pPr>
            <w:r>
              <w:t xml:space="preserve">Contención de un incidente</w:t>
            </w:r>
          </w:p>
        </w:tc>
        <w:tc>
          <w:tcPr>
            <w:tcW w:w="1928" w:type="dxa"/>
          </w:tcPr>
          <w:p>
            <w:pPr>
              <w:pStyle w:val="Celda"/>
            </w:pPr>
            <w:r>
              <w:t xml:space="preserve">Las posibles sin demorar la contención</w:t>
            </w:r>
          </w:p>
        </w:tc>
        <w:tc>
          <w:tcPr>
            <w:tcW w:w="1928" w:type="dxa"/>
          </w:tcPr>
          <w:p>
            <w:pPr>
              <w:pStyle w:val="Celda"/>
            </w:pPr>
            <w:r>
              <w:t xml:space="preserve">Coordinador del incidente, con registro inmediato</w:t>
            </w:r>
          </w:p>
        </w:tc>
        <w:tc>
          <w:tcPr>
            <w:tcW w:w="1928" w:type="dxa"/>
          </w:tcPr>
          <w:p>
            <w:pPr>
              <w:pStyle w:val="Celda"/>
            </w:pPr>
            <w:r>
              <w:t xml:space="preserve">Se revisa después</w:t>
            </w:r>
          </w:p>
        </w:tc>
      </w:tr>
    </w:tbl>
    <w:p>
      <w:pPr>
        <w:pStyle w:val="Espacio"/>
      </w:pPr>
    </w:p>
    <w:p>
      <w:pPr>
        <w:pStyle w:val="Separador"/>
      </w:pPr>
    </w:p>
    <w:p>
      <w:pPr>
        <w:pStyle w:val="Heading1"/>
      </w:pPr>
      <w:r>
        <w:t xml:space="preserve">7. Situaciones habituales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Situación</w:t>
            </w:r>
          </w:p>
        </w:tc>
        <w:tc>
          <w:tcPr>
            <w:tcW w:w="1928" w:type="dxa"/>
            <w:shd w:val="clear" w:color="auto" w:fill="F2DFCE"/>
          </w:tcPr>
          <w:p>
            <w:pPr>
              <w:pStyle w:val="Celda"/>
            </w:pPr>
            <w:r>
              <w:rPr>
                <w:b/>
              </w:rPr>
              <w:t xml:space="preserve">Síntoma o alerta</w:t>
            </w:r>
          </w:p>
        </w:tc>
        <w:tc>
          <w:tcPr>
            <w:tcW w:w="1928" w:type="dxa"/>
            <w:shd w:val="clear" w:color="auto" w:fill="F2DFCE"/>
          </w:tcPr>
          <w:p>
            <w:pPr>
              <w:pStyle w:val="Celda"/>
            </w:pPr>
            <w:r>
              <w:rPr>
                <w:b/>
              </w:rPr>
              <w:t xml:space="preserve">Primera acción</w:t>
            </w:r>
          </w:p>
        </w:tc>
        <w:tc>
          <w:tcPr>
            <w:tcW w:w="1928" w:type="dxa"/>
            <w:shd w:val="clear" w:color="auto" w:fill="F2DFCE"/>
          </w:tcPr>
          <w:p>
            <w:pPr>
              <w:pStyle w:val="Celda"/>
            </w:pPr>
            <w:r>
              <w:rPr>
                <w:b/>
              </w:rPr>
              <w:t xml:space="preserve">A quién escalar</w:t>
            </w:r>
          </w:p>
        </w:tc>
        <w:tc>
          <w:tcPr>
            <w:tcW w:w="1928" w:type="dxa"/>
            <w:shd w:val="clear" w:color="auto" w:fill="F2DFCE"/>
          </w:tcPr>
          <w:p>
            <w:pPr>
              <w:pStyle w:val="Celda"/>
            </w:pPr>
            <w:r>
              <w:rPr>
                <w:b/>
              </w:rPr>
              <w:t xml:space="preserve">Referencia</w:t>
            </w:r>
          </w:p>
        </w:tc>
      </w:tr>
      <w:tr>
        <w:tc>
          <w:tcPr>
            <w:tcW w:w="1928" w:type="dxa"/>
          </w:tcPr>
          <w:p>
            <w:pPr>
              <w:pStyle w:val="Celda"/>
            </w:pPr>
            <w:r>
              <w:t xml:space="preserve">Degradación del rendimiento</w:t>
            </w:r>
          </w:p>
        </w:tc>
        <w:tc>
          <w:tcPr>
            <w:tcW w:w="1928" w:type="dxa"/>
          </w:tcPr>
          <w:p>
            <w:pPr>
              <w:pStyle w:val="Celda"/>
            </w:pPr>
            <w:r>
              <w:t xml:space="preserve">Alerta de rendimiento o aumento de anulaciones</w:t>
            </w:r>
          </w:p>
        </w:tc>
        <w:tc>
          <w:tcPr>
            <w:tcW w:w="1928" w:type="dxa"/>
          </w:tcPr>
          <w:p>
            <w:pPr>
              <w:pStyle w:val="Celda"/>
            </w:pPr>
            <w:r>
              <w:t xml:space="preserve">Verificar datos de entrada y versión; valorar disparador de reversión</w:t>
            </w:r>
          </w:p>
        </w:tc>
        <w:tc>
          <w:tcPr>
            <w:tcW w:w="1928" w:type="dxa"/>
          </w:tcPr>
          <w:p>
            <w:pPr>
              <w:pStyle w:val="Celda"/>
            </w:pPr>
            <w:r>
              <w:t xml:space="preserve">Responsable técnico de IA</w:t>
            </w:r>
          </w:p>
        </w:tc>
        <w:tc>
          <w:tcPr>
            <w:tcW w:w="1928" w:type="dxa"/>
          </w:tcPr>
          <w:p>
            <w:pPr>
              <w:pStyle w:val="Celda"/>
            </w:pPr>
            <w:r>
              <w:t xml:space="preserve">P19 · P25</w:t>
            </w:r>
          </w:p>
        </w:tc>
      </w:tr>
      <w:tr>
        <w:tc>
          <w:tcPr>
            <w:tcW w:w="1928" w:type="dxa"/>
          </w:tcPr>
          <w:p>
            <w:pPr>
              <w:pStyle w:val="Celda"/>
            </w:pPr>
            <w:r>
              <w:t xml:space="preserve">Datos de entrada ausentes o tardíos</w:t>
            </w:r>
          </w:p>
        </w:tc>
        <w:tc>
          <w:tcPr>
            <w:tcW w:w="1928" w:type="dxa"/>
          </w:tcPr>
          <w:p>
            <w:pPr>
              <w:pStyle w:val="Celda"/>
            </w:pPr>
            <w:r>
              <w:t xml:space="preserve">Alerta de actualidad</w:t>
            </w:r>
          </w:p>
        </w:tc>
        <w:tc>
          <w:tcPr>
            <w:tcW w:w="1928" w:type="dxa"/>
          </w:tcPr>
          <w:p>
            <w:pPr>
              <w:pStyle w:val="Celda"/>
            </w:pPr>
            <w:r>
              <w:t xml:space="preserve">Activar modo degradado si se superan los umbrales</w:t>
            </w:r>
          </w:p>
        </w:tc>
        <w:tc>
          <w:tcPr>
            <w:tcW w:w="1928" w:type="dxa"/>
          </w:tcPr>
          <w:p>
            <w:pPr>
              <w:pStyle w:val="Celda"/>
            </w:pPr>
            <w:r>
              <w:t xml:space="preserve">Responsable del dato</w:t>
            </w:r>
          </w:p>
        </w:tc>
        <w:tc>
          <w:tcPr>
            <w:tcW w:w="1928" w:type="dxa"/>
          </w:tcPr>
          <w:p>
            <w:pPr>
              <w:pStyle w:val="Celda"/>
            </w:pPr>
            <w:r>
              <w:t xml:space="preserve">P19</w:t>
            </w:r>
          </w:p>
        </w:tc>
      </w:tr>
      <w:tr>
        <w:tc>
          <w:tcPr>
            <w:tcW w:w="1928" w:type="dxa"/>
          </w:tcPr>
          <w:p>
            <w:pPr>
              <w:pStyle w:val="Celda"/>
            </w:pPr>
            <w:r>
              <w:t xml:space="preserve">Proveedor de modelo no disponible</w:t>
            </w:r>
          </w:p>
        </w:tc>
        <w:tc>
          <w:tcPr>
            <w:tcW w:w="1928" w:type="dxa"/>
          </w:tcPr>
          <w:p>
            <w:pPr>
              <w:pStyle w:val="Celda"/>
            </w:pPr>
            <w:r>
              <w:t xml:space="preserve">Errores de servicio</w:t>
            </w:r>
          </w:p>
        </w:tc>
        <w:tc>
          <w:tcPr>
            <w:tcW w:w="1928" w:type="dxa"/>
          </w:tcPr>
          <w:p>
            <w:pPr>
              <w:pStyle w:val="Celda"/>
            </w:pPr>
            <w:r>
              <w:t xml:space="preserve">Aplicar alternativa prevista; informar a usuarios</w:t>
            </w:r>
          </w:p>
        </w:tc>
        <w:tc>
          <w:tcPr>
            <w:tcW w:w="1928" w:type="dxa"/>
          </w:tcPr>
          <w:p>
            <w:pPr>
              <w:pStyle w:val="Celda"/>
            </w:pPr>
            <w:r>
              <w:t xml:space="preserve">Responsable de operación de IA</w:t>
            </w:r>
          </w:p>
        </w:tc>
        <w:tc>
          <w:tcPr>
            <w:tcW w:w="1928" w:type="dxa"/>
          </w:tcPr>
          <w:p>
            <w:pPr>
              <w:pStyle w:val="Celda"/>
            </w:pPr>
            <w:r>
              <w:t xml:space="preserve">P14 · P19</w:t>
            </w:r>
          </w:p>
        </w:tc>
      </w:tr>
      <w:tr>
        <w:tc>
          <w:tcPr>
            <w:tcW w:w="1928" w:type="dxa"/>
          </w:tcPr>
          <w:p>
            <w:pPr>
              <w:pStyle w:val="Celda"/>
            </w:pPr>
            <w:r>
              <w:t xml:space="preserve">Coste de consumo por encima del umbral</w:t>
            </w:r>
          </w:p>
        </w:tc>
        <w:tc>
          <w:tcPr>
            <w:tcW w:w="1928" w:type="dxa"/>
          </w:tcPr>
          <w:p>
            <w:pPr>
              <w:pStyle w:val="Celda"/>
            </w:pPr>
            <w:r>
              <w:t xml:space="preserve">Alerta de coste</w:t>
            </w:r>
          </w:p>
        </w:tc>
        <w:tc>
          <w:tcPr>
            <w:tcW w:w="1928" w:type="dxa"/>
          </w:tcPr>
          <w:p>
            <w:pPr>
              <w:pStyle w:val="Celda"/>
            </w:pPr>
            <w:r>
              <w:t xml:space="preserve">Revisar uso anómalo; aplicar el nivel de la cascada de degradación por coste del bloque 8</w:t>
            </w:r>
          </w:p>
        </w:tc>
        <w:tc>
          <w:tcPr>
            <w:tcW w:w="1928" w:type="dxa"/>
          </w:tcPr>
          <w:p>
            <w:pPr>
              <w:pStyle w:val="Celda"/>
            </w:pPr>
            <w:r>
              <w:t xml:space="preserve">Responsable de producto de IA</w:t>
            </w:r>
          </w:p>
        </w:tc>
        <w:tc>
          <w:tcPr>
            <w:tcW w:w="1928" w:type="dxa"/>
          </w:tcPr>
          <w:p>
            <w:pPr>
              <w:pStyle w:val="Celda"/>
            </w:pPr>
            <w:r>
              <w:t xml:space="preserve">P18 bloque 7 · documento 52 §10.3</w:t>
            </w:r>
          </w:p>
        </w:tc>
      </w:tr>
      <w:tr>
        <w:tc>
          <w:tcPr>
            <w:tcW w:w="1928" w:type="dxa"/>
          </w:tcPr>
          <w:p>
            <w:pPr>
              <w:pStyle w:val="Celda"/>
            </w:pPr>
            <w:r>
              <w:t xml:space="preserve">Cambio en lo que piden los usuarios (deriva de uso)</w:t>
            </w:r>
          </w:p>
        </w:tc>
        <w:tc>
          <w:tcPr>
            <w:tcW w:w="1928" w:type="dxa"/>
          </w:tcPr>
          <w:p>
            <w:pPr>
              <w:pStyle w:val="Celda"/>
            </w:pPr>
            <w:r>
              <w:t xml:space="preserve">Alerta de consultas fuera del alcance validado o de cambio de temas</w:t>
            </w:r>
          </w:p>
        </w:tc>
        <w:tc>
          <w:tcPr>
            <w:tcW w:w="1928" w:type="dxa"/>
          </w:tcPr>
          <w:p>
            <w:pPr>
              <w:pStyle w:val="Celda"/>
            </w:pPr>
            <w:r>
              <w:t xml:space="preserve">Ampliar el conjunto de evaluación con los casos nuevos y evaluar; si el uso cae fuera de la finalidad, limitar el alcance</w:t>
            </w:r>
          </w:p>
        </w:tc>
        <w:tc>
          <w:tcPr>
            <w:tcW w:w="1928" w:type="dxa"/>
          </w:tcPr>
          <w:p>
            <w:pPr>
              <w:pStyle w:val="Celda"/>
            </w:pPr>
            <w:r>
              <w:t xml:space="preserve">Responsable de producto de IA</w:t>
            </w:r>
          </w:p>
        </w:tc>
        <w:tc>
          <w:tcPr>
            <w:tcW w:w="1928" w:type="dxa"/>
          </w:tcPr>
          <w:p>
            <w:pPr>
              <w:pStyle w:val="Celda"/>
            </w:pPr>
            <w:r>
              <w:t xml:space="preserve">P25 · documento 52 §4.2.6</w:t>
            </w:r>
          </w:p>
        </w:tc>
      </w:tr>
      <w:tr>
        <w:tc>
          <w:tcPr>
            <w:tcW w:w="1928" w:type="dxa"/>
          </w:tcPr>
          <w:p>
            <w:pPr>
              <w:pStyle w:val="Celda"/>
            </w:pPr>
            <w:r>
              <w:t xml:space="preserve">Sospecha de inyección de instrucciones o acción anómala del agente</w:t>
            </w:r>
          </w:p>
        </w:tc>
        <w:tc>
          <w:tcPr>
            <w:tcW w:w="1928" w:type="dxa"/>
          </w:tcPr>
          <w:p>
            <w:pPr>
              <w:pStyle w:val="Celda"/>
            </w:pPr>
            <w:r>
              <w:t xml:space="preserve">Bloqueos repetidos o acción fuera de finalidad</w:t>
            </w:r>
          </w:p>
        </w:tc>
        <w:tc>
          <w:tcPr>
            <w:tcW w:w="1928" w:type="dxa"/>
          </w:tcPr>
          <w:p>
            <w:pPr>
              <w:pStyle w:val="Celda"/>
            </w:pPr>
            <w:r>
              <w:t xml:space="preserve">Valorar interruptor de parada; preservar registros</w:t>
            </w:r>
          </w:p>
        </w:tc>
        <w:tc>
          <w:tcPr>
            <w:tcW w:w="1928" w:type="dxa"/>
          </w:tcPr>
          <w:p>
            <w:pPr>
              <w:pStyle w:val="Celda"/>
            </w:pPr>
            <w:r>
              <w:t xml:space="preserve">Seguridad de la información</w:t>
            </w:r>
          </w:p>
        </w:tc>
        <w:tc>
          <w:tcPr>
            <w:tcW w:w="1928" w:type="dxa"/>
          </w:tcPr>
          <w:p>
            <w:pPr>
              <w:pStyle w:val="Celda"/>
            </w:pPr>
            <w:r>
              <w:t xml:space="preserve">P18 · P26</w:t>
            </w:r>
          </w:p>
        </w:tc>
      </w:tr>
      <w:tr>
        <w:tc>
          <w:tcPr>
            <w:tcW w:w="1928" w:type="dxa"/>
          </w:tcPr>
          <w:p>
            <w:pPr>
              <w:pStyle w:val="Celda"/>
            </w:pPr>
            <w:r>
              <w:t xml:space="preserve">Reclamación de una persona afectada</w:t>
            </w:r>
          </w:p>
        </w:tc>
        <w:tc>
          <w:tcPr>
            <w:tcW w:w="1928" w:type="dxa"/>
          </w:tcPr>
          <w:p>
            <w:pPr>
              <w:pStyle w:val="Celda"/>
            </w:pPr>
            <w:r>
              <w:t xml:space="preserve">Reclamación recibida</w:t>
            </w:r>
          </w:p>
        </w:tc>
        <w:tc>
          <w:tcPr>
            <w:tcW w:w="1928" w:type="dxa"/>
          </w:tcPr>
          <w:p>
            <w:pPr>
              <w:pStyle w:val="Celda"/>
            </w:pPr>
            <w:r>
              <w:t xml:space="preserve">Registrar; activar revisión humana</w:t>
            </w:r>
          </w:p>
        </w:tc>
        <w:tc>
          <w:tcPr>
            <w:tcW w:w="1928" w:type="dxa"/>
          </w:tcPr>
          <w:p>
            <w:pPr>
              <w:pStyle w:val="Celda"/>
            </w:pPr>
            <w:r>
              <w:t xml:space="preserve">Responsable de producto de IA</w:t>
            </w:r>
          </w:p>
        </w:tc>
        <w:tc>
          <w:tcPr>
            <w:tcW w:w="1928" w:type="dxa"/>
          </w:tcPr>
          <w:p>
            <w:pPr>
              <w:pStyle w:val="Celda"/>
            </w:pPr>
            <w:r>
              <w:t xml:space="preserve">P17 bloque 8</w:t>
            </w:r>
          </w:p>
        </w:tc>
      </w:tr>
      <w:tr>
        <w:tc>
          <w:tcPr>
            <w:tcW w:w="1928" w:type="dxa"/>
          </w:tcPr>
          <w:p>
            <w:pPr>
              <w:pStyle w:val="Celda"/>
            </w:pPr>
            <w:r>
              <w:t xml:space="preserve">Posible resultado discriminatorio</w:t>
            </w:r>
          </w:p>
        </w:tc>
        <w:tc>
          <w:tcPr>
            <w:tcW w:w="1928" w:type="dxa"/>
          </w:tcPr>
          <w:p>
            <w:pPr>
              <w:pStyle w:val="Celda"/>
            </w:pPr>
            <w:r>
              <w:t xml:space="preserve">Alerta de equidad, de respuestas desiguales en pares contrafactuales o reclamación</w:t>
            </w:r>
          </w:p>
        </w:tc>
        <w:tc>
          <w:tcPr>
            <w:tcW w:w="1928" w:type="dxa"/>
          </w:tcPr>
          <w:p>
            <w:pPr>
              <w:pStyle w:val="Celda"/>
            </w:pPr>
            <w:r>
              <w:t xml:space="preserve">Tratar como incidente y clasificar severidad</w:t>
            </w:r>
          </w:p>
        </w:tc>
        <w:tc>
          <w:tcPr>
            <w:tcW w:w="1928" w:type="dxa"/>
          </w:tcPr>
          <w:p>
            <w:pPr>
              <w:pStyle w:val="Celda"/>
            </w:pPr>
            <w:r>
              <w:t xml:space="preserve">Responsable de riesgos de IA</w:t>
            </w:r>
          </w:p>
        </w:tc>
        <w:tc>
          <w:tcPr>
            <w:tcW w:w="1928" w:type="dxa"/>
          </w:tcPr>
          <w:p>
            <w:pPr>
              <w:pStyle w:val="Celda"/>
            </w:pPr>
            <w:r>
              <w:t xml:space="preserve">P26</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8. Continuidad y modo degradado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Modo degradado disponible</w:t>
            </w:r>
          </w:p>
        </w:tc>
        <w:tc>
          <w:tcPr>
            <w:tcW w:w="3213" w:type="dxa"/>
          </w:tcPr>
          <w:p>
            <w:pPr>
              <w:pStyle w:val="Celda"/>
            </w:pPr>
          </w:p>
        </w:tc>
        <w:tc>
          <w:tcPr>
            <w:tcW w:w="3213" w:type="dxa"/>
          </w:tcPr>
          <w:p>
            <w:pPr>
              <w:pStyle w:val="Celda"/>
            </w:pPr>
            <w:r>
              <w:t xml:space="preserve">Descripción y cómo se activa (P19).</w:t>
            </w:r>
          </w:p>
        </w:tc>
      </w:tr>
      <w:tr>
        <w:tc>
          <w:tcPr>
            <w:tcW w:w="3213" w:type="dxa"/>
          </w:tcPr>
          <w:p>
            <w:pPr>
              <w:pStyle w:val="Celda"/>
            </w:pPr>
            <w:r>
              <w:t xml:space="preserve">Proceso sin IA</w:t>
            </w:r>
          </w:p>
        </w:tc>
        <w:tc>
          <w:tcPr>
            <w:tcW w:w="3213" w:type="dxa"/>
          </w:tcPr>
          <w:p>
            <w:pPr>
              <w:pStyle w:val="Celda"/>
            </w:pPr>
          </w:p>
        </w:tc>
        <w:tc>
          <w:tcPr>
            <w:tcW w:w="3213" w:type="dxa"/>
          </w:tcPr>
          <w:p>
            <w:pPr>
              <w:pStyle w:val="Celda"/>
            </w:pPr>
            <w:r>
              <w:t xml:space="preserve">Quién lo ejecuta y con qué capacidad.</w:t>
            </w:r>
          </w:p>
        </w:tc>
      </w:tr>
      <w:tr>
        <w:tc>
          <w:tcPr>
            <w:tcW w:w="3213" w:type="dxa"/>
          </w:tcPr>
          <w:p>
            <w:pPr>
              <w:pStyle w:val="Celda"/>
            </w:pPr>
            <w:r>
              <w:t xml:space="preserve">Tiempo máximo sin servicio aceptable</w:t>
            </w:r>
          </w:p>
        </w:tc>
        <w:tc>
          <w:tcPr>
            <w:tcW w:w="3213" w:type="dxa"/>
          </w:tcPr>
          <w:p>
            <w:pPr>
              <w:pStyle w:val="Celda"/>
            </w:pPr>
          </w:p>
        </w:tc>
        <w:tc>
          <w:tcPr>
            <w:tcW w:w="3213" w:type="dxa"/>
          </w:tcPr>
          <w:p>
            <w:pPr>
              <w:pStyle w:val="Celda"/>
            </w:pPr>
            <w:r>
              <w:t xml:space="preserve">Coherente con P19.</w:t>
            </w:r>
          </w:p>
        </w:tc>
      </w:tr>
      <w:tr>
        <w:tc>
          <w:tcPr>
            <w:tcW w:w="3213" w:type="dxa"/>
          </w:tcPr>
          <w:p>
            <w:pPr>
              <w:pStyle w:val="Celda"/>
            </w:pPr>
            <w:r>
              <w:t xml:space="preserve">Recuperación tras el modo degradado</w:t>
            </w:r>
          </w:p>
        </w:tc>
        <w:tc>
          <w:tcPr>
            <w:tcW w:w="3213" w:type="dxa"/>
          </w:tcPr>
          <w:p>
            <w:pPr>
              <w:pStyle w:val="Celda"/>
            </w:pPr>
          </w:p>
        </w:tc>
        <w:tc>
          <w:tcPr>
            <w:tcW w:w="3213" w:type="dxa"/>
          </w:tcPr>
          <w:p>
            <w:pPr>
              <w:pStyle w:val="Celda"/>
            </w:pPr>
            <w:r>
              <w:t xml:space="preserve">Comprobaciones antes de volver al funcionamiento normal y quién autoriza.</w:t>
            </w:r>
          </w:p>
        </w:tc>
      </w:tr>
      <w:tr>
        <w:tc>
          <w:tcPr>
            <w:tcW w:w="3213" w:type="dxa"/>
          </w:tcPr>
          <w:p>
            <w:pPr>
              <w:pStyle w:val="Celda"/>
            </w:pPr>
            <w:r>
              <w:t xml:space="preserve">Cascada de degradación por coste</w:t>
            </w:r>
          </w:p>
        </w:tc>
        <w:tc>
          <w:tcPr>
            <w:tcW w:w="3213" w:type="dxa"/>
          </w:tcPr>
          <w:p>
            <w:pPr>
              <w:pStyle w:val="Celda"/>
            </w:pPr>
          </w:p>
        </w:tc>
        <w:tc>
          <w:tcPr>
            <w:tcW w:w="3213" w:type="dxa"/>
          </w:tcPr>
          <w:p>
            <w:pPr>
              <w:pStyle w:val="Celda"/>
            </w:pPr>
            <w:r>
              <w:t xml:space="preserve">Solo sistemas con consumo variable. Niveles aplicables (N1 optimización, N2 modelo de respaldo, N3 alcance reducido, N4 sin IA), disparador de cada uno (por ejemplo, N1 al 80 % y N2 al 100 % del presupuesto), quién los activa y usos excluidos de N2 (documento 52 §10.3).</w:t>
            </w:r>
          </w:p>
        </w:tc>
      </w:tr>
      <w:tr>
        <w:tc>
          <w:tcPr>
            <w:tcW w:w="3213" w:type="dxa"/>
          </w:tcPr>
          <w:p>
            <w:pPr>
              <w:pStyle w:val="Celda"/>
            </w:pPr>
            <w:r>
              <w:t xml:space="preserve">Modelo de respaldo</w:t>
            </w:r>
          </w:p>
        </w:tc>
        <w:tc>
          <w:tcPr>
            <w:tcW w:w="3213" w:type="dxa"/>
          </w:tcPr>
          <w:p>
            <w:pPr>
              <w:pStyle w:val="Celda"/>
            </w:pPr>
          </w:p>
        </w:tc>
        <w:tc>
          <w:tcPr>
            <w:tcW w:w="3213" w:type="dxa"/>
          </w:tcPr>
          <w:p>
            <w:pPr>
              <w:pStyle w:val="Celda"/>
            </w:pPr>
            <w:r>
              <w:t xml:space="preserve">Identificador en P16, resultado de su evaluación antes de G5 y calidad mínima exigida en P25.</w:t>
            </w:r>
          </w:p>
        </w:tc>
      </w:tr>
    </w:tbl>
    <w:p>
      <w:pPr>
        <w:pStyle w:val="Espacio"/>
      </w:pPr>
    </w:p>
    <w:p>
      <w:pPr>
        <w:pStyle w:val="Separador"/>
      </w:pPr>
    </w:p>
    <w:p>
      <w:pPr>
        <w:pStyle w:val="Heading1"/>
      </w:pPr>
      <w:r>
        <w:t xml:space="preserve">9. Accesos, registros y conservación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Gestión de altas y bajas de usuarios</w:t>
            </w:r>
          </w:p>
        </w:tc>
        <w:tc>
          <w:tcPr>
            <w:tcW w:w="3213" w:type="dxa"/>
          </w:tcPr>
          <w:p>
            <w:pPr>
              <w:pStyle w:val="Celda"/>
            </w:pPr>
          </w:p>
        </w:tc>
        <w:tc>
          <w:tcPr>
            <w:tcW w:w="3213" w:type="dxa"/>
          </w:tcPr>
          <w:p>
            <w:pPr>
              <w:pStyle w:val="Celda"/>
            </w:pPr>
            <w:r>
              <w:t xml:space="preserve">Procedimiento y responsable.</w:t>
            </w:r>
          </w:p>
        </w:tc>
      </w:tr>
      <w:tr>
        <w:tc>
          <w:tcPr>
            <w:tcW w:w="3213" w:type="dxa"/>
          </w:tcPr>
          <w:p>
            <w:pPr>
              <w:pStyle w:val="Celda"/>
            </w:pPr>
            <w:r>
              <w:t xml:space="preserve">Revisión periódica de accesos</w:t>
            </w:r>
          </w:p>
        </w:tc>
        <w:tc>
          <w:tcPr>
            <w:tcW w:w="3213" w:type="dxa"/>
          </w:tcPr>
          <w:p>
            <w:pPr>
              <w:pStyle w:val="Celda"/>
            </w:pPr>
          </w:p>
        </w:tc>
        <w:tc>
          <w:tcPr>
            <w:tcW w:w="3213" w:type="dxa"/>
          </w:tcPr>
          <w:p>
            <w:pPr>
              <w:pStyle w:val="Celda"/>
            </w:pPr>
            <w:r>
              <w:t xml:space="preserve">Frecuencia y evidencia.</w:t>
            </w:r>
          </w:p>
        </w:tc>
      </w:tr>
      <w:tr>
        <w:tc>
          <w:tcPr>
            <w:tcW w:w="3213" w:type="dxa"/>
          </w:tcPr>
          <w:p>
            <w:pPr>
              <w:pStyle w:val="Celda"/>
            </w:pPr>
            <w:r>
              <w:t xml:space="preserve">Registros que se conservan</w:t>
            </w:r>
          </w:p>
        </w:tc>
        <w:tc>
          <w:tcPr>
            <w:tcW w:w="3213" w:type="dxa"/>
          </w:tcPr>
          <w:p>
            <w:pPr>
              <w:pStyle w:val="Celda"/>
            </w:pPr>
          </w:p>
        </w:tc>
        <w:tc>
          <w:tcPr>
            <w:tcW w:w="3213" w:type="dxa"/>
          </w:tcPr>
          <w:p>
            <w:pPr>
              <w:pStyle w:val="Celda"/>
            </w:pPr>
            <w:r>
              <w:t xml:space="preserve">Registros de inferencia, acciones del agente, validaciones humanas, cambios, alertas.</w:t>
            </w:r>
          </w:p>
        </w:tc>
      </w:tr>
      <w:tr>
        <w:tc>
          <w:tcPr>
            <w:tcW w:w="3213" w:type="dxa"/>
          </w:tcPr>
          <w:p>
            <w:pPr>
              <w:pStyle w:val="Celda"/>
            </w:pPr>
            <w:r>
              <w:t xml:space="preserve">Plazo de conservación</w:t>
            </w:r>
          </w:p>
        </w:tc>
        <w:tc>
          <w:tcPr>
            <w:tcW w:w="3213" w:type="dxa"/>
          </w:tcPr>
          <w:p>
            <w:pPr>
              <w:pStyle w:val="Celda"/>
            </w:pPr>
          </w:p>
        </w:tc>
        <w:tc>
          <w:tcPr>
            <w:tcW w:w="3213" w:type="dxa"/>
          </w:tcPr>
          <w:p>
            <w:pPr>
              <w:pStyle w:val="Celda"/>
            </w:pPr>
            <w:r>
              <w:t xml:space="preserve">No inferior al que exija la regulación aplicable (documento 34).</w:t>
            </w:r>
          </w:p>
        </w:tc>
      </w:tr>
      <w:tr>
        <w:tc>
          <w:tcPr>
            <w:tcW w:w="3213" w:type="dxa"/>
          </w:tcPr>
          <w:p>
            <w:pPr>
              <w:pStyle w:val="Celda"/>
            </w:pPr>
            <w:r>
              <w:t xml:space="preserve">Vigilancia exigida por la regulación </w:t>
            </w:r>
            <w:r>
              <w:rPr>
                <w:b/>
              </w:rPr>
              <w:t xml:space="preserve">(Enterprise)</w:t>
            </w:r>
          </w:p>
        </w:tc>
        <w:tc>
          <w:tcPr>
            <w:tcW w:w="3213" w:type="dxa"/>
          </w:tcPr>
          <w:p>
            <w:pPr>
              <w:pStyle w:val="Celda"/>
            </w:pPr>
          </w:p>
        </w:tc>
        <w:tc>
          <w:tcPr>
            <w:tcW w:w="3213" w:type="dxa"/>
          </w:tcPr>
          <w:p>
            <w:pPr>
              <w:pStyle w:val="Celda"/>
            </w:pPr>
            <w:r>
              <w:t xml:space="preserve">Qué se vigila tras la puesta en producción, quién lo hace y cómo se informa al proveedor o a la autoridad cuando proceda (documento 34).</w:t>
            </w:r>
          </w:p>
        </w:tc>
      </w:tr>
    </w:tbl>
    <w:p>
      <w:pPr>
        <w:pStyle w:val="Espacio"/>
      </w:pPr>
    </w:p>
    <w:p>
      <w:pPr>
        <w:pStyle w:val="Separador"/>
      </w:pPr>
    </w:p>
    <w:p>
      <w:pPr>
        <w:pStyle w:val="Heading1"/>
      </w:pPr>
      <w:r>
        <w:t xml:space="preserve">10. Revisión de continuidad (R6)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Frecuencia</w:t>
            </w:r>
          </w:p>
        </w:tc>
        <w:tc>
          <w:tcPr>
            <w:tcW w:w="3213" w:type="dxa"/>
          </w:tcPr>
          <w:p>
            <w:pPr>
              <w:pStyle w:val="Celda"/>
            </w:pPr>
          </w:p>
        </w:tc>
        <w:tc>
          <w:tcPr>
            <w:tcW w:w="3213" w:type="dxa"/>
          </w:tcPr>
          <w:p>
            <w:pPr>
              <w:pStyle w:val="Celda"/>
            </w:pPr>
            <w:r>
              <w:t xml:space="preserve">Al menos trimestral en Enterprise y semestral en Lite (01 §6.8).</w:t>
            </w:r>
          </w:p>
        </w:tc>
      </w:tr>
      <w:tr>
        <w:tc>
          <w:tcPr>
            <w:tcW w:w="3213" w:type="dxa"/>
          </w:tcPr>
          <w:p>
            <w:pPr>
              <w:pStyle w:val="Celda"/>
            </w:pPr>
            <w:r>
              <w:t xml:space="preserve">Próxima fecha</w:t>
            </w:r>
          </w:p>
        </w:tc>
        <w:tc>
          <w:tcPr>
            <w:tcW w:w="3213" w:type="dxa"/>
          </w:tcPr>
          <w:p>
            <w:pPr>
              <w:pStyle w:val="Celda"/>
            </w:pPr>
          </w:p>
        </w:tc>
        <w:tc>
          <w:tcPr>
            <w:tcW w:w="3213" w:type="dxa"/>
          </w:tcPr>
          <w:p>
            <w:pPr>
              <w:pStyle w:val="Celda"/>
            </w:pPr>
          </w:p>
        </w:tc>
      </w:tr>
      <w:tr>
        <w:tc>
          <w:tcPr>
            <w:tcW w:w="3213" w:type="dxa"/>
          </w:tcPr>
          <w:p>
            <w:pPr>
              <w:pStyle w:val="Celda"/>
            </w:pPr>
            <w:r>
              <w:t xml:space="preserve">Información que se prepara</w:t>
            </w:r>
          </w:p>
        </w:tc>
        <w:tc>
          <w:tcPr>
            <w:tcW w:w="3213" w:type="dxa"/>
          </w:tcPr>
          <w:p>
            <w:pPr>
              <w:pStyle w:val="Celda"/>
            </w:pPr>
          </w:p>
        </w:tc>
        <w:tc>
          <w:tcPr>
            <w:tcW w:w="3213" w:type="dxa"/>
          </w:tcPr>
          <w:p>
            <w:pPr>
              <w:pStyle w:val="Celda"/>
            </w:pPr>
            <w:r>
              <w:t xml:space="preserve">Valor realizado frente a hipótesis (P28), estabilidad (P25), incidentes y cambios (P27), cumplimiento y vigencia de la clasificación de riesgo e intensidad (P04, P11, P12).</w:t>
            </w:r>
          </w:p>
        </w:tc>
      </w:tr>
      <w:tr>
        <w:tc>
          <w:tcPr>
            <w:tcW w:w="3213" w:type="dxa"/>
          </w:tcPr>
          <w:p>
            <w:pPr>
              <w:pStyle w:val="Celda"/>
            </w:pPr>
            <w:r>
              <w:t xml:space="preserve">Criterio para proponer adelantar G7</w:t>
            </w:r>
          </w:p>
        </w:tc>
        <w:tc>
          <w:tcPr>
            <w:tcW w:w="3213" w:type="dxa"/>
          </w:tcPr>
          <w:p>
            <w:pPr>
              <w:pStyle w:val="Celda"/>
            </w:pPr>
          </w:p>
        </w:tc>
        <w:tc>
          <w:tcPr>
            <w:tcW w:w="3213" w:type="dxa"/>
          </w:tcPr>
          <w:p>
            <w:pPr>
              <w:pStyle w:val="Celda"/>
            </w:pPr>
            <w:r>
              <w:t xml:space="preserve">Desviaciones relevantes de valor, riesgo o cumplimiento.</w:t>
            </w:r>
          </w:p>
        </w:tc>
      </w:tr>
    </w:tbl>
    <w:p>
      <w:pPr>
        <w:pStyle w:val="Espacio"/>
      </w:pPr>
    </w:p>
    <w:p>
      <w:pPr>
        <w:pStyle w:val="Separador"/>
      </w:pPr>
    </w:p>
    <w:p>
      <w:pPr>
        <w:pStyle w:val="Heading1"/>
      </w:pPr>
      <w:r>
        <w:t xml:space="preserve">11. Criterios de calidad</w:t>
      </w:r>
    </w:p>
    <w:p>
      <w:r>
        <w:t xml:space="preserve">Criterios formales de G5 y R6 en el documento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Todos los roles operativos tienen titular y sustituto.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Las rutinas tienen frecuencia, responsable y registro.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tipos de cambio y su aprobación están definidos y conectados con P27.</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situaciones habituales tienen primera acción y escalado.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modo degradado y el proceso sin IA están descritos y son coherentes con P19.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fecha de la próxima R6 está fijada según la intensidad.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En sistemas con consumo variable, la cascada de degradación por coste está definida, no desactiva controles críticos y se ha probado.</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Aprobación</w:t>
            </w:r>
          </w:p>
        </w:tc>
        <w:tc>
          <w:tcPr>
            <w:tcW w:w="1928" w:type="dxa"/>
          </w:tcPr>
          <w:p>
            <w:pPr>
              <w:pStyle w:val="Celda"/>
            </w:pPr>
            <w:r>
              <w:t xml:space="preserve">Patrocinador (Lite) · Comité de IA (Enterprise), dentro de la decisión de G5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responsable de operación no verifica evidencias de su propia operación (01 §8.1).</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Cascada de degradación por coste y modelo de respaldo en el bloque 8; deriva de uso y pares contrafactuales en las situaciones habituales; criterio de calidad 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P24 · Manual de operación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P24 · Manual de operación</dc:title>
  <dc:creator>Fernando García Varela</dc:creator>
  <dc:language>es</dc:language>
  <dc:description>sha256:4611899983df8c2ccfc70cd372b33ee8a6512bbab7408ec8cc10de1edb23c414</dc:description>
  <cp:keywords>SEVEN-G</cp:keywords>
</cp:coreProperties>
</file>