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de respuesta a incidentes</w:t>
      </w:r>
    </w:p>
    <w:p>
      <w:r>
        <w:rPr>
          <w:b/>
        </w:rPr>
        <w:t xml:space="preserve">Prepara la respuesta a los incidentes de un sistema de IA: qué se considera incidente, cómo se clasifica su severidad, quién actúa, cómo se contiene y qué notificaciones deben comprobarse.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P26 · Plan de respuesta a incidentes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prepara en la fase 5 (requisito previo de la firma P23) y se aprueba al inicio de la fase 6. Se revisa tras cada incidente S1 o S2 y en cada R6.</w:t>
            </w:r>
          </w:p>
        </w:tc>
      </w:tr>
      <w:tr>
        <w:tc>
          <w:tcPr>
            <w:tcW w:w="4819" w:type="dxa"/>
          </w:tcPr>
          <w:p>
            <w:pPr>
              <w:pStyle w:val="Celda"/>
            </w:pPr>
            <w:r>
              <w:rPr>
                <w:b/>
              </w:rPr>
              <w:t xml:space="preserve">Quién la rellena</w:t>
            </w:r>
          </w:p>
        </w:tc>
        <w:tc>
          <w:tcPr>
            <w:tcW w:w="4819" w:type="dxa"/>
          </w:tcPr>
          <w:p>
            <w:pPr>
              <w:pStyle w:val="Celda"/>
            </w:pPr>
            <w:r>
              <w:t xml:space="preserve">Responsable de operación de IA, con seguridad de la información, protección de datos y el responsable de riesgos de IA.</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G5 (existencia y adecuación) y R6 (vigencia y resultado de simulacros).</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La comprobación de notificaciones regulatorias (bloque 8) no se omite nunca.</w:t>
            </w:r>
          </w:p>
        </w:tc>
      </w:tr>
      <w:tr>
        <w:tc>
          <w:tcPr>
            <w:tcW w:w="4819" w:type="dxa"/>
          </w:tcPr>
          <w:p>
            <w:pPr>
              <w:pStyle w:val="Celda"/>
            </w:pPr>
            <w:r>
              <w:rPr>
                <w:b/>
              </w:rPr>
              <w:t xml:space="preserve">Herramienta</w:t>
            </w:r>
          </w:p>
        </w:tc>
        <w:tc>
          <w:tcPr>
            <w:tcW w:w="4819" w:type="dxa"/>
          </w:tcPr>
          <w:p>
            <w:pPr>
              <w:pStyle w:val="Celda"/>
            </w:pPr>
            <w:r>
              <w:t xml:space="preserve">T08 Registro de no conformidades e incidentes.</w:t>
            </w:r>
          </w:p>
        </w:tc>
      </w:tr>
      <w:tr>
        <w:tc>
          <w:tcPr>
            <w:tcW w:w="4819" w:type="dxa"/>
          </w:tcPr>
          <w:p>
            <w:pPr>
              <w:pStyle w:val="Celda"/>
            </w:pPr>
            <w:r>
              <w:rPr>
                <w:b/>
              </w:rPr>
              <w:t xml:space="preserve">Relación</w:t>
            </w:r>
          </w:p>
        </w:tc>
        <w:tc>
          <w:tcPr>
            <w:tcW w:w="4819" w:type="dxa"/>
          </w:tcPr>
          <w:p>
            <w:pPr>
              <w:pStyle w:val="Celda"/>
            </w:pPr>
            <w:r>
              <w:t xml:space="preserve">P17 Supervisión humana · P18 Seguridad e interruptor de parada · P19 Reversión · P24 Manual de operación · P25 Alertas · P27 Registro de incidentes y cambios · documentos 35, 37 (No conformidades e incidentes) y 52.</w:t>
            </w:r>
          </w:p>
        </w:tc>
      </w:tr>
    </w:tbl>
    <w:p>
      <w:pPr>
        <w:pStyle w:val="Espacio"/>
      </w:pPr>
    </w:p>
    <w:p>
      <w:r>
        <w:t xml:space="preserve">Reglas:</w:t>
      </w:r>
    </w:p>
    <w:p>
      <w:pPr>
        <w:pStyle w:val="Lista"/>
      </w:pPr>
      <w:r>
        <w:t xml:space="preserve">• Los </w:t>
      </w:r>
      <w:r>
        <w:rPr>
          <w:b/>
        </w:rPr>
        <w:t xml:space="preserve">criterios de severidad, los plazos de notificación y el proceso completo</w:t>
      </w:r>
      <w:r>
        <w:t xml:space="preserve"> están en el documento 37. Este plan los aplica al sistema concreto; no fija plazos regulatorios propios.</w:t>
      </w:r>
    </w:p>
    <w:p>
      <w:pPr>
        <w:pStyle w:val="Lista"/>
      </w:pPr>
      <w:r>
        <w:t xml:space="preserve">• Este plan se integra en el proceso general de gestión de incidentes de la compañía (seguridad, continuidad, protección de datos); no crea un circuito paralelo.</w:t>
      </w:r>
    </w:p>
    <w:p>
      <w:pPr>
        <w:pStyle w:val="Lista"/>
      </w:pPr>
      <w:r>
        <w:t xml:space="preserve">• Un incidente grave no notificado cuando procedía es una no conformidad </w:t>
      </w:r>
      <w:r>
        <w:rPr>
          <w:b/>
        </w:rPr>
        <w:t xml:space="preserve">crítica</w:t>
      </w:r>
      <w:r>
        <w:t xml:space="preserve"> (01 §12).</w:t>
      </w:r>
    </w:p>
    <w:p>
      <w:pPr>
        <w:pStyle w:val="Lista"/>
      </w:pPr>
      <w:r>
        <w:t xml:space="preserve">• Ante la duda sobre la severidad, se clasifica en el nivel superior y se revisa después.</w:t>
      </w:r>
    </w:p>
    <w:p>
      <w:r>
        <w:t xml:space="preserve">Esta plantilla no constituye asesoramiento jurídico. Las obligaciones de notificación y sus plazos deben verificarse con asesoría jurídica en el momento del incidente (fecha de consulta de referencia del marco: septiembre de 2026).</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w:t>
            </w:r>
          </w:p>
        </w:tc>
      </w:tr>
      <w:tr>
        <w:tc>
          <w:tcPr>
            <w:tcW w:w="3213" w:type="dxa"/>
          </w:tcPr>
          <w:p>
            <w:pPr>
              <w:pStyle w:val="Celda"/>
            </w:pPr>
            <w:r>
              <w:t xml:space="preserve">Papel de la compañía respecto al sistema</w:t>
            </w:r>
          </w:p>
        </w:tc>
        <w:tc>
          <w:tcPr>
            <w:tcW w:w="3213" w:type="dxa"/>
          </w:tcPr>
          <w:p>
            <w:pPr>
              <w:pStyle w:val="Celda"/>
            </w:pPr>
          </w:p>
        </w:tc>
        <w:tc>
          <w:tcPr>
            <w:tcW w:w="3213" w:type="dxa"/>
          </w:tcPr>
          <w:p>
            <w:pPr>
              <w:pStyle w:val="Celda"/>
            </w:pPr>
            <w:r>
              <w:t xml:space="preserve">Proveedor · Responsable del despliegue · Ambos · Por determinar. Condiciona las obligaciones de notificación (documento 34).</w:t>
            </w:r>
          </w:p>
        </w:tc>
      </w:tr>
      <w:tr>
        <w:tc>
          <w:tcPr>
            <w:tcW w:w="3213" w:type="dxa"/>
          </w:tcPr>
          <w:p>
            <w:pPr>
              <w:pStyle w:val="Celda"/>
            </w:pPr>
            <w:r>
              <w:t xml:space="preserve">¿Sujeta a DORA?</w:t>
            </w:r>
          </w:p>
        </w:tc>
        <w:tc>
          <w:tcPr>
            <w:tcW w:w="3213" w:type="dxa"/>
          </w:tcPr>
          <w:p>
            <w:pPr>
              <w:pStyle w:val="Celda"/>
            </w:pPr>
          </w:p>
        </w:tc>
        <w:tc>
          <w:tcPr>
            <w:tcW w:w="3213" w:type="dxa"/>
          </w:tcPr>
          <w:p>
            <w:pPr>
              <w:pStyle w:val="Celda"/>
            </w:pPr>
            <w:r>
              <w:t xml:space="preserve">Sí · No · Por determinar.</w:t>
            </w:r>
          </w:p>
        </w:tc>
      </w:tr>
      <w:tr>
        <w:tc>
          <w:tcPr>
            <w:tcW w:w="3213" w:type="dxa"/>
          </w:tcPr>
          <w:p>
            <w:pPr>
              <w:pStyle w:val="Celda"/>
            </w:pPr>
            <w:r>
              <w:t xml:space="preserve">¿Sujeta a NIS2 (según transposición nacional)?</w:t>
            </w:r>
          </w:p>
        </w:tc>
        <w:tc>
          <w:tcPr>
            <w:tcW w:w="3213" w:type="dxa"/>
          </w:tcPr>
          <w:p>
            <w:pPr>
              <w:pStyle w:val="Celda"/>
            </w:pPr>
          </w:p>
        </w:tc>
        <w:tc>
          <w:tcPr>
            <w:tcW w:w="3213" w:type="dxa"/>
          </w:tcPr>
          <w:p>
            <w:pPr>
              <w:pStyle w:val="Celda"/>
            </w:pPr>
            <w:r>
              <w:t xml:space="preserve">Sí · No · Por determinar.</w:t>
            </w:r>
          </w:p>
        </w:tc>
      </w:tr>
      <w:tr>
        <w:tc>
          <w:tcPr>
            <w:tcW w:w="3213" w:type="dxa"/>
          </w:tcPr>
          <w:p>
            <w:pPr>
              <w:pStyle w:val="Celda"/>
            </w:pPr>
            <w:r>
              <w:t xml:space="preserve">¿Trata datos personales?</w:t>
            </w:r>
          </w:p>
        </w:tc>
        <w:tc>
          <w:tcPr>
            <w:tcW w:w="3213" w:type="dxa"/>
          </w:tcPr>
          <w:p>
            <w:pPr>
              <w:pStyle w:val="Celda"/>
            </w:pPr>
          </w:p>
        </w:tc>
        <w:tc>
          <w:tcPr>
            <w:tcW w:w="3213" w:type="dxa"/>
          </w:tcPr>
          <w:p>
            <w:pPr>
              <w:pStyle w:val="Celda"/>
            </w:pPr>
            <w:r>
              <w:t xml:space="preserve">Sí · No.</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Qué se considera incidente de este sistema</w:t>
      </w:r>
    </w:p>
    <w:p>
      <w:r>
        <w:rPr>
          <w:b/>
        </w:rPr>
        <w:t xml:space="preserve">Tipo de incidente:</w:t>
      </w:r>
      <w:r>
        <w:t xml:space="preserve"> Degradación del rendimiento · Resultado erróneo con impacto · Resultado discriminatorio o sesgado · Fuga de información · Acción no autorizada de un agente · Inyección de instrucciones o manipulación · Indisponibilidad · Incumplimiento regulatorio · Uso indebido del sistema · Incidente de un proveedor.</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Tipo</w:t>
            </w:r>
          </w:p>
        </w:tc>
        <w:tc>
          <w:tcPr>
            <w:tcW w:w="2410" w:type="dxa"/>
            <w:shd w:val="clear" w:color="auto" w:fill="F2DFCE"/>
          </w:tcPr>
          <w:p>
            <w:pPr>
              <w:pStyle w:val="Celda"/>
            </w:pPr>
            <w:r>
              <w:rPr>
                <w:b/>
              </w:rPr>
              <w:t xml:space="preserve">¿Aplica a este sistema? (Sí · No)</w:t>
            </w:r>
          </w:p>
        </w:tc>
        <w:tc>
          <w:tcPr>
            <w:tcW w:w="2410" w:type="dxa"/>
            <w:shd w:val="clear" w:color="auto" w:fill="F2DFCE"/>
          </w:tcPr>
          <w:p>
            <w:pPr>
              <w:pStyle w:val="Celda"/>
            </w:pPr>
            <w:r>
              <w:rPr>
                <w:b/>
              </w:rPr>
              <w:t xml:space="preserve">Ejemplo concreto para este sistema</w:t>
            </w:r>
          </w:p>
        </w:tc>
        <w:tc>
          <w:tcPr>
            <w:tcW w:w="2410" w:type="dxa"/>
            <w:shd w:val="clear" w:color="auto" w:fill="F2DFCE"/>
          </w:tcPr>
          <w:p>
            <w:pPr>
              <w:pStyle w:val="Celda"/>
            </w:pPr>
            <w:r>
              <w:rPr>
                <w:b/>
              </w:rPr>
              <w:t xml:space="preserve">Detección prevista (alerta de P25 u otra vía)</w:t>
            </w:r>
          </w:p>
        </w:tc>
      </w:tr>
      <w:tr>
        <w:tc>
          <w:tcPr>
            <w:tcW w:w="2410" w:type="dxa"/>
          </w:tcPr>
          <w:p>
            <w:pPr>
              <w:pStyle w:val="Celda"/>
            </w:pPr>
            <w:r>
              <w:t xml:space="preserve">Acción no autorizada de un agente </w:t>
            </w:r>
            <w:r>
              <w:rPr>
                <w:i/>
              </w:rPr>
              <w:t xml:space="preserve">(ejemplo ilustrativo)</w:t>
            </w:r>
          </w:p>
        </w:tc>
        <w:tc>
          <w:tcPr>
            <w:tcW w:w="2410" w:type="dxa"/>
          </w:tcPr>
          <w:p>
            <w:pPr>
              <w:pStyle w:val="Celda"/>
            </w:pPr>
            <w:r>
              <w:t xml:space="preserve">Sí</w:t>
            </w:r>
          </w:p>
        </w:tc>
        <w:tc>
          <w:tcPr>
            <w:tcW w:w="2410" w:type="dxa"/>
          </w:tcPr>
          <w:p>
            <w:pPr>
              <w:pStyle w:val="Celda"/>
            </w:pPr>
            <w:r>
              <w:t xml:space="preserve">El agente emite un reembolso por encima del límite</w:t>
            </w:r>
          </w:p>
        </w:tc>
        <w:tc>
          <w:tcPr>
            <w:tcW w:w="2410" w:type="dxa"/>
          </w:tcPr>
          <w:p>
            <w:pPr>
              <w:pStyle w:val="Celda"/>
            </w:pPr>
            <w:r>
              <w:t xml:space="preserve">AL-02</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4. Severidad</w:t>
      </w:r>
    </w:p>
    <w:p>
      <w:r>
        <w:t xml:space="preserve">Escala común del marco: </w:t>
      </w:r>
      <w:r>
        <w:rPr>
          <w:b/>
        </w:rPr>
        <w:t xml:space="preserve">S1 Crítica · S2 Alta · S3 Media · S4 Baja</w:t>
      </w:r>
      <w:r>
        <w:t xml:space="preserve">. Los criterios completos están en el documento 37 y prevalecen sobre esta orientación.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Severidad</w:t>
            </w:r>
          </w:p>
        </w:tc>
        <w:tc>
          <w:tcPr>
            <w:tcW w:w="3213" w:type="dxa"/>
            <w:shd w:val="clear" w:color="auto" w:fill="F2DFCE"/>
          </w:tcPr>
          <w:p>
            <w:pPr>
              <w:pStyle w:val="Celda"/>
            </w:pPr>
            <w:r>
              <w:rPr>
                <w:b/>
              </w:rPr>
              <w:t xml:space="preserve">Orientación</w:t>
            </w:r>
          </w:p>
        </w:tc>
        <w:tc>
          <w:tcPr>
            <w:tcW w:w="3213" w:type="dxa"/>
            <w:shd w:val="clear" w:color="auto" w:fill="F2DFCE"/>
          </w:tcPr>
          <w:p>
            <w:pPr>
              <w:pStyle w:val="Celda"/>
            </w:pPr>
            <w:r>
              <w:rPr>
                <w:b/>
              </w:rPr>
              <w:t xml:space="preserve">Ejemplo para este sistema</w:t>
            </w:r>
          </w:p>
        </w:tc>
      </w:tr>
      <w:tr>
        <w:tc>
          <w:tcPr>
            <w:tcW w:w="3213" w:type="dxa"/>
          </w:tcPr>
          <w:p>
            <w:pPr>
              <w:pStyle w:val="Celda"/>
            </w:pPr>
            <w:r>
              <w:rPr>
                <w:b/>
              </w:rPr>
              <w:t xml:space="preserve">S1 Crítica</w:t>
            </w:r>
          </w:p>
        </w:tc>
        <w:tc>
          <w:tcPr>
            <w:tcW w:w="3213" w:type="dxa"/>
          </w:tcPr>
          <w:p>
            <w:pPr>
              <w:pStyle w:val="Celda"/>
            </w:pPr>
            <w:r>
              <w:t xml:space="preserve">Incluye cualquier posible incidente grave según el Reglamento Europeo de IA y los incidentes graves de DORA o NIS2 cuando apliquen.</w:t>
            </w:r>
          </w:p>
        </w:tc>
        <w:tc>
          <w:tcPr>
            <w:tcW w:w="3213" w:type="dxa"/>
          </w:tcPr>
          <w:p>
            <w:pPr>
              <w:pStyle w:val="Celda"/>
            </w:pPr>
          </w:p>
        </w:tc>
      </w:tr>
      <w:tr>
        <w:tc>
          <w:tcPr>
            <w:tcW w:w="3213" w:type="dxa"/>
          </w:tcPr>
          <w:p>
            <w:pPr>
              <w:pStyle w:val="Celda"/>
            </w:pPr>
            <w:r>
              <w:rPr>
                <w:b/>
              </w:rPr>
              <w:t xml:space="preserve">S2 Alta</w:t>
            </w:r>
          </w:p>
        </w:tc>
        <w:tc>
          <w:tcPr>
            <w:tcW w:w="3213" w:type="dxa"/>
          </w:tcPr>
          <w:p>
            <w:pPr>
              <w:pStyle w:val="Celda"/>
            </w:pPr>
            <w:r>
              <w:t xml:space="preserve">Impacto relevante sobre personas, clientes, operación o cumplimiento, contenido o acotado.</w:t>
            </w:r>
          </w:p>
        </w:tc>
        <w:tc>
          <w:tcPr>
            <w:tcW w:w="3213" w:type="dxa"/>
          </w:tcPr>
          <w:p>
            <w:pPr>
              <w:pStyle w:val="Celda"/>
            </w:pPr>
          </w:p>
        </w:tc>
      </w:tr>
      <w:tr>
        <w:tc>
          <w:tcPr>
            <w:tcW w:w="3213" w:type="dxa"/>
          </w:tcPr>
          <w:p>
            <w:pPr>
              <w:pStyle w:val="Celda"/>
            </w:pPr>
            <w:r>
              <w:rPr>
                <w:b/>
              </w:rPr>
              <w:t xml:space="preserve">S3 Media</w:t>
            </w:r>
          </w:p>
        </w:tc>
        <w:tc>
          <w:tcPr>
            <w:tcW w:w="3213" w:type="dxa"/>
          </w:tcPr>
          <w:p>
            <w:pPr>
              <w:pStyle w:val="Celda"/>
            </w:pPr>
            <w:r>
              <w:t xml:space="preserve">Impacto limitado, sin efecto relevante sobre personas ni obligaciones de notificación.</w:t>
            </w:r>
          </w:p>
        </w:tc>
        <w:tc>
          <w:tcPr>
            <w:tcW w:w="3213" w:type="dxa"/>
          </w:tcPr>
          <w:p>
            <w:pPr>
              <w:pStyle w:val="Celda"/>
            </w:pPr>
          </w:p>
        </w:tc>
      </w:tr>
      <w:tr>
        <w:tc>
          <w:tcPr>
            <w:tcW w:w="3213" w:type="dxa"/>
          </w:tcPr>
          <w:p>
            <w:pPr>
              <w:pStyle w:val="Celda"/>
            </w:pPr>
            <w:r>
              <w:rPr>
                <w:b/>
              </w:rPr>
              <w:t xml:space="preserve">S4 Baja</w:t>
            </w:r>
          </w:p>
        </w:tc>
        <w:tc>
          <w:tcPr>
            <w:tcW w:w="3213" w:type="dxa"/>
          </w:tcPr>
          <w:p>
            <w:pPr>
              <w:pStyle w:val="Celda"/>
            </w:pPr>
            <w:r>
              <w:t xml:space="preserve">Sin impacto apreciable; anomalía que conviene registrar.</w:t>
            </w:r>
          </w:p>
        </w:tc>
        <w:tc>
          <w:tcPr>
            <w:tcW w:w="3213" w:type="dxa"/>
          </w:tcPr>
          <w:p>
            <w:pPr>
              <w:pStyle w:val="Celda"/>
            </w:pPr>
          </w:p>
        </w:tc>
      </w:tr>
    </w:tbl>
    <w:p>
      <w:pPr>
        <w:pStyle w:val="Espacio"/>
      </w:pPr>
    </w:p>
    <w:p>
      <w:pPr>
        <w:pStyle w:val="Separador"/>
      </w:pPr>
    </w:p>
    <w:p>
      <w:pPr>
        <w:pStyle w:val="Heading1"/>
      </w:pPr>
      <w:r>
        <w:t xml:space="preserve">5. Roles durante el incidente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Titular</w:t>
            </w:r>
          </w:p>
        </w:tc>
        <w:tc>
          <w:tcPr>
            <w:tcW w:w="1928" w:type="dxa"/>
            <w:shd w:val="clear" w:color="auto" w:fill="F2DFCE"/>
          </w:tcPr>
          <w:p>
            <w:pPr>
              <w:pStyle w:val="Celda"/>
            </w:pPr>
            <w:r>
              <w:rPr>
                <w:b/>
              </w:rPr>
              <w:t xml:space="preserve">Sustituto</w:t>
            </w:r>
          </w:p>
        </w:tc>
        <w:tc>
          <w:tcPr>
            <w:tcW w:w="1928" w:type="dxa"/>
            <w:shd w:val="clear" w:color="auto" w:fill="F2DFCE"/>
          </w:tcPr>
          <w:p>
            <w:pPr>
              <w:pStyle w:val="Celda"/>
            </w:pPr>
            <w:r>
              <w:rPr>
                <w:b/>
              </w:rPr>
              <w:t xml:space="preserve">Se activa en</w:t>
            </w:r>
          </w:p>
        </w:tc>
        <w:tc>
          <w:tcPr>
            <w:tcW w:w="1928" w:type="dxa"/>
            <w:shd w:val="clear" w:color="auto" w:fill="F2DFCE"/>
          </w:tcPr>
          <w:p>
            <w:pPr>
              <w:pStyle w:val="Celda"/>
            </w:pPr>
            <w:r>
              <w:rPr>
                <w:b/>
              </w:rPr>
              <w:t xml:space="preserve">Responsabilidad</w:t>
            </w:r>
          </w:p>
        </w:tc>
      </w:tr>
      <w:tr>
        <w:tc>
          <w:tcPr>
            <w:tcW w:w="1928" w:type="dxa"/>
          </w:tcPr>
          <w:p>
            <w:pPr>
              <w:pStyle w:val="Celda"/>
            </w:pPr>
            <w:r>
              <w:t xml:space="preserve">Coordinador del incidente</w:t>
            </w:r>
          </w:p>
        </w:tc>
        <w:tc>
          <w:tcPr>
            <w:tcW w:w="1928" w:type="dxa"/>
          </w:tcPr>
          <w:p>
            <w:pPr>
              <w:pStyle w:val="Celda"/>
            </w:pPr>
          </w:p>
        </w:tc>
        <w:tc>
          <w:tcPr>
            <w:tcW w:w="1928" w:type="dxa"/>
          </w:tcPr>
          <w:p>
            <w:pPr>
              <w:pStyle w:val="Celda"/>
            </w:pPr>
          </w:p>
        </w:tc>
        <w:tc>
          <w:tcPr>
            <w:tcW w:w="1928" w:type="dxa"/>
          </w:tcPr>
          <w:p>
            <w:pPr>
              <w:pStyle w:val="Celda"/>
            </w:pPr>
            <w:r>
              <w:t xml:space="preserve">S1–S4</w:t>
            </w:r>
          </w:p>
        </w:tc>
        <w:tc>
          <w:tcPr>
            <w:tcW w:w="1928" w:type="dxa"/>
          </w:tcPr>
          <w:p>
            <w:pPr>
              <w:pStyle w:val="Celda"/>
            </w:pPr>
            <w:r>
              <w:t xml:space="preserve">Dirige la respuesta y decide la contención. Normalmente, responsable de operación de IA.</w:t>
            </w:r>
          </w:p>
        </w:tc>
      </w:tr>
      <w:tr>
        <w:tc>
          <w:tcPr>
            <w:tcW w:w="1928" w:type="dxa"/>
          </w:tcPr>
          <w:p>
            <w:pPr>
              <w:pStyle w:val="Celda"/>
            </w:pPr>
            <w:r>
              <w:t xml:space="preserve">Responsable técnico</w:t>
            </w:r>
          </w:p>
        </w:tc>
        <w:tc>
          <w:tcPr>
            <w:tcW w:w="1928" w:type="dxa"/>
          </w:tcPr>
          <w:p>
            <w:pPr>
              <w:pStyle w:val="Celda"/>
            </w:pPr>
          </w:p>
        </w:tc>
        <w:tc>
          <w:tcPr>
            <w:tcW w:w="1928" w:type="dxa"/>
          </w:tcPr>
          <w:p>
            <w:pPr>
              <w:pStyle w:val="Celda"/>
            </w:pPr>
          </w:p>
        </w:tc>
        <w:tc>
          <w:tcPr>
            <w:tcW w:w="1928" w:type="dxa"/>
          </w:tcPr>
          <w:p>
            <w:pPr>
              <w:pStyle w:val="Celda"/>
            </w:pPr>
            <w:r>
              <w:t xml:space="preserve">S1–S3</w:t>
            </w:r>
          </w:p>
        </w:tc>
        <w:tc>
          <w:tcPr>
            <w:tcW w:w="1928" w:type="dxa"/>
          </w:tcPr>
          <w:p>
            <w:pPr>
              <w:pStyle w:val="Celda"/>
            </w:pPr>
            <w:r>
              <w:t xml:space="preserve">Diagnóstico, contención técnica y reversión.</w:t>
            </w:r>
          </w:p>
        </w:tc>
      </w:tr>
      <w:tr>
        <w:tc>
          <w:tcPr>
            <w:tcW w:w="1928" w:type="dxa"/>
          </w:tcPr>
          <w:p>
            <w:pPr>
              <w:pStyle w:val="Celda"/>
            </w:pPr>
            <w:r>
              <w:t xml:space="preserve">Seguridad de la información</w:t>
            </w:r>
          </w:p>
        </w:tc>
        <w:tc>
          <w:tcPr>
            <w:tcW w:w="1928" w:type="dxa"/>
          </w:tcPr>
          <w:p>
            <w:pPr>
              <w:pStyle w:val="Celda"/>
            </w:pPr>
          </w:p>
        </w:tc>
        <w:tc>
          <w:tcPr>
            <w:tcW w:w="1928" w:type="dxa"/>
          </w:tcPr>
          <w:p>
            <w:pPr>
              <w:pStyle w:val="Celda"/>
            </w:pPr>
          </w:p>
        </w:tc>
        <w:tc>
          <w:tcPr>
            <w:tcW w:w="1928" w:type="dxa"/>
          </w:tcPr>
          <w:p>
            <w:pPr>
              <w:pStyle w:val="Celda"/>
            </w:pPr>
            <w:r>
              <w:t xml:space="preserve">Incidentes de seguridad y agentes</w:t>
            </w:r>
          </w:p>
        </w:tc>
        <w:tc>
          <w:tcPr>
            <w:tcW w:w="1928" w:type="dxa"/>
          </w:tcPr>
          <w:p>
            <w:pPr>
              <w:pStyle w:val="Celda"/>
            </w:pPr>
            <w:r>
              <w:t xml:space="preserve">Análisis de ataque y preservación de evidencias.</w:t>
            </w:r>
          </w:p>
        </w:tc>
      </w:tr>
      <w:tr>
        <w:tc>
          <w:tcPr>
            <w:tcW w:w="1928" w:type="dxa"/>
          </w:tcPr>
          <w:p>
            <w:pPr>
              <w:pStyle w:val="Celda"/>
            </w:pPr>
            <w:r>
              <w:t xml:space="preserve">Protección de datos</w:t>
            </w:r>
          </w:p>
        </w:tc>
        <w:tc>
          <w:tcPr>
            <w:tcW w:w="1928" w:type="dxa"/>
          </w:tcPr>
          <w:p>
            <w:pPr>
              <w:pStyle w:val="Celda"/>
            </w:pPr>
          </w:p>
        </w:tc>
        <w:tc>
          <w:tcPr>
            <w:tcW w:w="1928" w:type="dxa"/>
          </w:tcPr>
          <w:p>
            <w:pPr>
              <w:pStyle w:val="Celda"/>
            </w:pPr>
          </w:p>
        </w:tc>
        <w:tc>
          <w:tcPr>
            <w:tcW w:w="1928" w:type="dxa"/>
          </w:tcPr>
          <w:p>
            <w:pPr>
              <w:pStyle w:val="Celda"/>
            </w:pPr>
            <w:r>
              <w:t xml:space="preserve">Si hay datos personales</w:t>
            </w:r>
          </w:p>
        </w:tc>
        <w:tc>
          <w:tcPr>
            <w:tcW w:w="1928" w:type="dxa"/>
          </w:tcPr>
          <w:p>
            <w:pPr>
              <w:pStyle w:val="Celda"/>
            </w:pPr>
            <w:r>
              <w:t xml:space="preserve">Valorar violación de seguridad de datos y derechos de afectados.</w:t>
            </w:r>
          </w:p>
        </w:tc>
      </w:tr>
      <w:tr>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r>
              <w:t xml:space="preserve">S1–S2</w:t>
            </w:r>
          </w:p>
        </w:tc>
        <w:tc>
          <w:tcPr>
            <w:tcW w:w="1928" w:type="dxa"/>
          </w:tcPr>
          <w:p>
            <w:pPr>
              <w:pStyle w:val="Celda"/>
            </w:pPr>
            <w:r>
              <w:t xml:space="preserve">Valorar obligaciones regulatorias y efecto en el registro de riesgos.</w:t>
            </w:r>
          </w:p>
        </w:tc>
      </w:tr>
      <w:tr>
        <w:tc>
          <w:tcPr>
            <w:tcW w:w="1928" w:type="dxa"/>
          </w:tcPr>
          <w:p>
            <w:pPr>
              <w:pStyle w:val="Celda"/>
            </w:pPr>
            <w:r>
              <w:t xml:space="preserve">Comunicación </w:t>
            </w:r>
            <w:r>
              <w:rPr>
                <w:b/>
              </w:rPr>
              <w:t xml:space="preserve">(Enterprise)</w:t>
            </w:r>
          </w:p>
        </w:tc>
        <w:tc>
          <w:tcPr>
            <w:tcW w:w="1928" w:type="dxa"/>
          </w:tcPr>
          <w:p>
            <w:pPr>
              <w:pStyle w:val="Celda"/>
            </w:pPr>
          </w:p>
        </w:tc>
        <w:tc>
          <w:tcPr>
            <w:tcW w:w="1928" w:type="dxa"/>
          </w:tcPr>
          <w:p>
            <w:pPr>
              <w:pStyle w:val="Celda"/>
            </w:pPr>
          </w:p>
        </w:tc>
        <w:tc>
          <w:tcPr>
            <w:tcW w:w="1928" w:type="dxa"/>
          </w:tcPr>
          <w:p>
            <w:pPr>
              <w:pStyle w:val="Celda"/>
            </w:pPr>
            <w:r>
              <w:t xml:space="preserve">S1–S2</w:t>
            </w:r>
          </w:p>
        </w:tc>
        <w:tc>
          <w:tcPr>
            <w:tcW w:w="1928" w:type="dxa"/>
          </w:tcPr>
          <w:p>
            <w:pPr>
              <w:pStyle w:val="Celda"/>
            </w:pPr>
            <w:r>
              <w:t xml:space="preserve">Mensajes internos y externos coordinados.</w:t>
            </w:r>
          </w:p>
        </w:tc>
      </w:tr>
      <w:tr>
        <w:tc>
          <w:tcPr>
            <w:tcW w:w="1928" w:type="dxa"/>
          </w:tcPr>
          <w:p>
            <w:pPr>
              <w:pStyle w:val="Celda"/>
            </w:pPr>
            <w:r>
              <w:t xml:space="preserve">Patrocinador de IA</w:t>
            </w:r>
          </w:p>
        </w:tc>
        <w:tc>
          <w:tcPr>
            <w:tcW w:w="1928" w:type="dxa"/>
          </w:tcPr>
          <w:p>
            <w:pPr>
              <w:pStyle w:val="Celda"/>
            </w:pPr>
          </w:p>
        </w:tc>
        <w:tc>
          <w:tcPr>
            <w:tcW w:w="1928" w:type="dxa"/>
          </w:tcPr>
          <w:p>
            <w:pPr>
              <w:pStyle w:val="Celda"/>
            </w:pPr>
          </w:p>
        </w:tc>
        <w:tc>
          <w:tcPr>
            <w:tcW w:w="1928" w:type="dxa"/>
          </w:tcPr>
          <w:p>
            <w:pPr>
              <w:pStyle w:val="Celda"/>
            </w:pPr>
            <w:r>
              <w:t xml:space="preserve">S1–S2</w:t>
            </w:r>
          </w:p>
        </w:tc>
        <w:tc>
          <w:tcPr>
            <w:tcW w:w="1928" w:type="dxa"/>
          </w:tcPr>
          <w:p>
            <w:pPr>
              <w:pStyle w:val="Celda"/>
            </w:pPr>
            <w:r>
              <w:t xml:space="preserve">Decisiones de negocio y escalado a órganos.</w:t>
            </w:r>
          </w:p>
        </w:tc>
      </w:tr>
      <w:tr>
        <w:tc>
          <w:tcPr>
            <w:tcW w:w="1928" w:type="dxa"/>
          </w:tcPr>
          <w:p>
            <w:pPr>
              <w:pStyle w:val="Celda"/>
            </w:pPr>
            <w:r>
              <w:t xml:space="preserve">Registro del incidente</w:t>
            </w:r>
          </w:p>
        </w:tc>
        <w:tc>
          <w:tcPr>
            <w:tcW w:w="1928" w:type="dxa"/>
          </w:tcPr>
          <w:p>
            <w:pPr>
              <w:pStyle w:val="Celda"/>
            </w:pPr>
          </w:p>
        </w:tc>
        <w:tc>
          <w:tcPr>
            <w:tcW w:w="1928" w:type="dxa"/>
          </w:tcPr>
          <w:p>
            <w:pPr>
              <w:pStyle w:val="Celda"/>
            </w:pPr>
          </w:p>
        </w:tc>
        <w:tc>
          <w:tcPr>
            <w:tcW w:w="1928" w:type="dxa"/>
          </w:tcPr>
          <w:p>
            <w:pPr>
              <w:pStyle w:val="Celda"/>
            </w:pPr>
            <w:r>
              <w:t xml:space="preserve">S1–S4</w:t>
            </w:r>
          </w:p>
        </w:tc>
        <w:tc>
          <w:tcPr>
            <w:tcW w:w="1928" w:type="dxa"/>
          </w:tcPr>
          <w:p>
            <w:pPr>
              <w:pStyle w:val="Celda"/>
            </w:pPr>
            <w:r>
              <w:t xml:space="preserve">Cronología, decisiones y evidencias en P27.</w:t>
            </w:r>
          </w:p>
        </w:tc>
      </w:tr>
    </w:tbl>
    <w:p>
      <w:pPr>
        <w:pStyle w:val="Espacio"/>
      </w:pPr>
    </w:p>
    <w:p>
      <w:pPr>
        <w:pStyle w:val="Separador"/>
      </w:pPr>
    </w:p>
    <w:p>
      <w:pPr>
        <w:pStyle w:val="Heading1"/>
      </w:pPr>
      <w:r>
        <w:t xml:space="preserve">6. Fases de respuesta</w:t>
      </w:r>
    </w:p>
    <w:p>
      <w:r>
        <w:t xml:space="preserve">Los tiempos objetivo internos los fija la compañía; no sustituyen a los plazos regulatorios del documento 37.</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Fase</w:t>
            </w:r>
          </w:p>
        </w:tc>
        <w:tc>
          <w:tcPr>
            <w:tcW w:w="1606" w:type="dxa"/>
            <w:shd w:val="clear" w:color="auto" w:fill="F2DFCE"/>
          </w:tcPr>
          <w:p>
            <w:pPr>
              <w:pStyle w:val="Celda"/>
            </w:pPr>
            <w:r>
              <w:rPr>
                <w:b/>
              </w:rPr>
              <w:t xml:space="preserve">Qué se hace</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Tiempo objetivo interno S1</w:t>
            </w:r>
          </w:p>
        </w:tc>
        <w:tc>
          <w:tcPr>
            <w:tcW w:w="1606" w:type="dxa"/>
            <w:shd w:val="clear" w:color="auto" w:fill="F2DFCE"/>
          </w:tcPr>
          <w:p>
            <w:pPr>
              <w:pStyle w:val="Celda"/>
            </w:pPr>
            <w:r>
              <w:rPr>
                <w:b/>
              </w:rPr>
              <w:t xml:space="preserve">Tiempo objetivo interno S2</w:t>
            </w:r>
          </w:p>
        </w:tc>
        <w:tc>
          <w:tcPr>
            <w:tcW w:w="1606" w:type="dxa"/>
            <w:shd w:val="clear" w:color="auto" w:fill="F2DFCE"/>
          </w:tcPr>
          <w:p>
            <w:pPr>
              <w:pStyle w:val="Celda"/>
            </w:pPr>
            <w:r>
              <w:rPr>
                <w:b/>
              </w:rPr>
              <w:t xml:space="preserve">Registro</w:t>
            </w:r>
          </w:p>
        </w:tc>
      </w:tr>
      <w:tr>
        <w:tc>
          <w:tcPr>
            <w:tcW w:w="1606" w:type="dxa"/>
          </w:tcPr>
          <w:p>
            <w:pPr>
              <w:pStyle w:val="Celda"/>
            </w:pPr>
            <w:r>
              <w:t xml:space="preserve">Detección</w:t>
            </w:r>
          </w:p>
        </w:tc>
        <w:tc>
          <w:tcPr>
            <w:tcW w:w="1606" w:type="dxa"/>
          </w:tcPr>
          <w:p>
            <w:pPr>
              <w:pStyle w:val="Celda"/>
            </w:pPr>
            <w:r>
              <w:t xml:space="preserve">Recibir alerta o aviso; abrir incidente</w:t>
            </w:r>
          </w:p>
        </w:tc>
        <w:tc>
          <w:tcPr>
            <w:tcW w:w="1606" w:type="dxa"/>
          </w:tcPr>
          <w:p>
            <w:pPr>
              <w:pStyle w:val="Celda"/>
            </w:pPr>
            <w:r>
              <w:t xml:space="preserve">Guardia</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Clasificación</w:t>
            </w:r>
          </w:p>
        </w:tc>
        <w:tc>
          <w:tcPr>
            <w:tcW w:w="1606" w:type="dxa"/>
          </w:tcPr>
          <w:p>
            <w:pPr>
              <w:pStyle w:val="Celda"/>
            </w:pPr>
            <w:r>
              <w:t xml:space="preserve">Tipo y severidad inicial</w:t>
            </w:r>
          </w:p>
        </w:tc>
        <w:tc>
          <w:tcPr>
            <w:tcW w:w="1606" w:type="dxa"/>
          </w:tcPr>
          <w:p>
            <w:pPr>
              <w:pStyle w:val="Celda"/>
            </w:pPr>
            <w:r>
              <w:t xml:space="preserve">Coordinador</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Contención</w:t>
            </w:r>
          </w:p>
        </w:tc>
        <w:tc>
          <w:tcPr>
            <w:tcW w:w="1606" w:type="dxa"/>
          </w:tcPr>
          <w:p>
            <w:pPr>
              <w:pStyle w:val="Celda"/>
            </w:pPr>
            <w:r>
              <w:t xml:space="preserve">Aplicar acciones del bloque 7</w:t>
            </w:r>
          </w:p>
        </w:tc>
        <w:tc>
          <w:tcPr>
            <w:tcW w:w="1606" w:type="dxa"/>
          </w:tcPr>
          <w:p>
            <w:pPr>
              <w:pStyle w:val="Celda"/>
            </w:pPr>
            <w:r>
              <w:t xml:space="preserve">Coordinador y técnico</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Comprobación de notificaciones</w:t>
            </w:r>
          </w:p>
        </w:tc>
        <w:tc>
          <w:tcPr>
            <w:tcW w:w="1606" w:type="dxa"/>
          </w:tcPr>
          <w:p>
            <w:pPr>
              <w:pStyle w:val="Celda"/>
            </w:pPr>
            <w:r>
              <w:t xml:space="preserve">Revisar bloque 8</w:t>
            </w:r>
          </w:p>
        </w:tc>
        <w:tc>
          <w:tcPr>
            <w:tcW w:w="1606" w:type="dxa"/>
          </w:tcPr>
          <w:p>
            <w:pPr>
              <w:pStyle w:val="Celda"/>
            </w:pPr>
            <w:r>
              <w:t xml:space="preserve">Riesgos y protección de datos</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Resolución</w:t>
            </w:r>
          </w:p>
        </w:tc>
        <w:tc>
          <w:tcPr>
            <w:tcW w:w="1606" w:type="dxa"/>
          </w:tcPr>
          <w:p>
            <w:pPr>
              <w:pStyle w:val="Celda"/>
            </w:pPr>
            <w:r>
              <w:t xml:space="preserve">Corregir la causa inmediata</w:t>
            </w:r>
          </w:p>
        </w:tc>
        <w:tc>
          <w:tcPr>
            <w:tcW w:w="1606" w:type="dxa"/>
          </w:tcPr>
          <w:p>
            <w:pPr>
              <w:pStyle w:val="Celda"/>
            </w:pPr>
            <w:r>
              <w:t xml:space="preserve">Técnico</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Recuperación</w:t>
            </w:r>
          </w:p>
        </w:tc>
        <w:tc>
          <w:tcPr>
            <w:tcW w:w="1606" w:type="dxa"/>
          </w:tcPr>
          <w:p>
            <w:pPr>
              <w:pStyle w:val="Celda"/>
            </w:pPr>
            <w:r>
              <w:t xml:space="preserve">Volver al funcionamiento normal con autorización</w:t>
            </w:r>
          </w:p>
        </w:tc>
        <w:tc>
          <w:tcPr>
            <w:tcW w:w="1606" w:type="dxa"/>
          </w:tcPr>
          <w:p>
            <w:pPr>
              <w:pStyle w:val="Celda"/>
            </w:pPr>
            <w:r>
              <w:t xml:space="preserve">Coordinador</w:t>
            </w:r>
          </w:p>
        </w:tc>
        <w:tc>
          <w:tcPr>
            <w:tcW w:w="1606" w:type="dxa"/>
          </w:tcPr>
          <w:p>
            <w:pPr>
              <w:pStyle w:val="Celda"/>
            </w:pPr>
          </w:p>
        </w:tc>
        <w:tc>
          <w:tcPr>
            <w:tcW w:w="1606" w:type="dxa"/>
          </w:tcPr>
          <w:p>
            <w:pPr>
              <w:pStyle w:val="Celda"/>
            </w:pPr>
          </w:p>
        </w:tc>
        <w:tc>
          <w:tcPr>
            <w:tcW w:w="1606" w:type="dxa"/>
          </w:tcPr>
          <w:p>
            <w:pPr>
              <w:pStyle w:val="Celda"/>
            </w:pPr>
            <w:r>
              <w:t xml:space="preserve">P27</w:t>
            </w:r>
          </w:p>
        </w:tc>
      </w:tr>
      <w:tr>
        <w:tc>
          <w:tcPr>
            <w:tcW w:w="1606" w:type="dxa"/>
          </w:tcPr>
          <w:p>
            <w:pPr>
              <w:pStyle w:val="Celda"/>
            </w:pPr>
            <w:r>
              <w:t xml:space="preserve">Cierre y lecciones</w:t>
            </w:r>
          </w:p>
        </w:tc>
        <w:tc>
          <w:tcPr>
            <w:tcW w:w="1606" w:type="dxa"/>
          </w:tcPr>
          <w:p>
            <w:pPr>
              <w:pStyle w:val="Celda"/>
            </w:pPr>
            <w:r>
              <w:t xml:space="preserve">Causa raíz, acciones correctivas, lecciones</w:t>
            </w:r>
          </w:p>
        </w:tc>
        <w:tc>
          <w:tcPr>
            <w:tcW w:w="1606" w:type="dxa"/>
          </w:tcPr>
          <w:p>
            <w:pPr>
              <w:pStyle w:val="Celda"/>
            </w:pPr>
            <w:r>
              <w:t xml:space="preserve">Coordinador y riesgos</w:t>
            </w:r>
          </w:p>
        </w:tc>
        <w:tc>
          <w:tcPr>
            <w:tcW w:w="1606" w:type="dxa"/>
          </w:tcPr>
          <w:p>
            <w:pPr>
              <w:pStyle w:val="Celda"/>
            </w:pPr>
          </w:p>
        </w:tc>
        <w:tc>
          <w:tcPr>
            <w:tcW w:w="1606" w:type="dxa"/>
          </w:tcPr>
          <w:p>
            <w:pPr>
              <w:pStyle w:val="Celda"/>
            </w:pPr>
          </w:p>
        </w:tc>
        <w:tc>
          <w:tcPr>
            <w:tcW w:w="1606" w:type="dxa"/>
          </w:tcPr>
          <w:p>
            <w:pPr>
              <w:pStyle w:val="Celda"/>
            </w:pPr>
            <w:r>
              <w:t xml:space="preserve">P27 · P12</w:t>
            </w:r>
          </w:p>
        </w:tc>
      </w:tr>
    </w:tbl>
    <w:p>
      <w:pPr>
        <w:pStyle w:val="Espacio"/>
      </w:pPr>
    </w:p>
    <w:p>
      <w:pPr>
        <w:pStyle w:val="Separador"/>
      </w:pPr>
    </w:p>
    <w:p>
      <w:pPr>
        <w:pStyle w:val="Heading1"/>
      </w:pPr>
      <w:r>
        <w:t xml:space="preserve">7. Acciones de contención preparadas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Acción</w:t>
            </w:r>
          </w:p>
        </w:tc>
        <w:tc>
          <w:tcPr>
            <w:tcW w:w="2410" w:type="dxa"/>
            <w:shd w:val="clear" w:color="auto" w:fill="F2DFCE"/>
          </w:tcPr>
          <w:p>
            <w:pPr>
              <w:pStyle w:val="Celda"/>
            </w:pPr>
            <w:r>
              <w:rPr>
                <w:b/>
              </w:rPr>
              <w:t xml:space="preserve">Cuándo se aplica</w:t>
            </w:r>
          </w:p>
        </w:tc>
        <w:tc>
          <w:tcPr>
            <w:tcW w:w="2410" w:type="dxa"/>
            <w:shd w:val="clear" w:color="auto" w:fill="F2DFCE"/>
          </w:tcPr>
          <w:p>
            <w:pPr>
              <w:pStyle w:val="Celda"/>
            </w:pPr>
            <w:r>
              <w:rPr>
                <w:b/>
              </w:rPr>
              <w:t xml:space="preserve">Quién puede ejecutarla</w:t>
            </w:r>
          </w:p>
        </w:tc>
        <w:tc>
          <w:tcPr>
            <w:tcW w:w="2410" w:type="dxa"/>
            <w:shd w:val="clear" w:color="auto" w:fill="F2DFCE"/>
          </w:tcPr>
          <w:p>
            <w:pPr>
              <w:pStyle w:val="Celda"/>
            </w:pPr>
            <w:r>
              <w:rPr>
                <w:b/>
              </w:rPr>
              <w:t xml:space="preserve">Procedimiento</w:t>
            </w:r>
          </w:p>
        </w:tc>
      </w:tr>
      <w:tr>
        <w:tc>
          <w:tcPr>
            <w:tcW w:w="2410" w:type="dxa"/>
          </w:tcPr>
          <w:p>
            <w:pPr>
              <w:pStyle w:val="Celda"/>
            </w:pPr>
            <w:r>
              <w:t xml:space="preserve">Interruptor de parada</w:t>
            </w:r>
          </w:p>
        </w:tc>
        <w:tc>
          <w:tcPr>
            <w:tcW w:w="2410" w:type="dxa"/>
          </w:tcPr>
          <w:p>
            <w:pPr>
              <w:pStyle w:val="Celda"/>
            </w:pPr>
            <w:r>
              <w:t xml:space="preserve">Acción no autorizada, inyección con efecto, fuga en curso</w:t>
            </w:r>
          </w:p>
        </w:tc>
        <w:tc>
          <w:tcPr>
            <w:tcW w:w="2410" w:type="dxa"/>
          </w:tcPr>
          <w:p>
            <w:pPr>
              <w:pStyle w:val="Celda"/>
            </w:pPr>
          </w:p>
        </w:tc>
        <w:tc>
          <w:tcPr>
            <w:tcW w:w="2410" w:type="dxa"/>
          </w:tcPr>
          <w:p>
            <w:pPr>
              <w:pStyle w:val="Celda"/>
            </w:pPr>
            <w:r>
              <w:t xml:space="preserve">P18 bloque 9</w:t>
            </w:r>
          </w:p>
        </w:tc>
      </w:tr>
      <w:tr>
        <w:tc>
          <w:tcPr>
            <w:tcW w:w="2410" w:type="dxa"/>
          </w:tcPr>
          <w:p>
            <w:pPr>
              <w:pStyle w:val="Celda"/>
            </w:pPr>
            <w:r>
              <w:t xml:space="preserve">Reducir el nivel de autonomía</w:t>
            </w:r>
          </w:p>
        </w:tc>
        <w:tc>
          <w:tcPr>
            <w:tcW w:w="2410" w:type="dxa"/>
          </w:tcPr>
          <w:p>
            <w:pPr>
              <w:pStyle w:val="Celda"/>
            </w:pPr>
            <w:r>
              <w:t xml:space="preserve">Degradación con riesgo de impacto</w:t>
            </w:r>
          </w:p>
        </w:tc>
        <w:tc>
          <w:tcPr>
            <w:tcW w:w="2410" w:type="dxa"/>
          </w:tcPr>
          <w:p>
            <w:pPr>
              <w:pStyle w:val="Celda"/>
            </w:pPr>
          </w:p>
        </w:tc>
        <w:tc>
          <w:tcPr>
            <w:tcW w:w="2410" w:type="dxa"/>
          </w:tcPr>
          <w:p>
            <w:pPr>
              <w:pStyle w:val="Celda"/>
            </w:pPr>
            <w:r>
              <w:t xml:space="preserve">P19</w:t>
            </w:r>
          </w:p>
        </w:tc>
      </w:tr>
      <w:tr>
        <w:tc>
          <w:tcPr>
            <w:tcW w:w="2410" w:type="dxa"/>
          </w:tcPr>
          <w:p>
            <w:pPr>
              <w:pStyle w:val="Celda"/>
            </w:pPr>
            <w:r>
              <w:t xml:space="preserve">Revertir a versión anterior</w:t>
            </w:r>
          </w:p>
        </w:tc>
        <w:tc>
          <w:tcPr>
            <w:tcW w:w="2410" w:type="dxa"/>
          </w:tcPr>
          <w:p>
            <w:pPr>
              <w:pStyle w:val="Celda"/>
            </w:pPr>
            <w:r>
              <w:t xml:space="preserve">Fallo atribuible a un cambio reciente</w:t>
            </w:r>
          </w:p>
        </w:tc>
        <w:tc>
          <w:tcPr>
            <w:tcW w:w="2410" w:type="dxa"/>
          </w:tcPr>
          <w:p>
            <w:pPr>
              <w:pStyle w:val="Celda"/>
            </w:pPr>
          </w:p>
        </w:tc>
        <w:tc>
          <w:tcPr>
            <w:tcW w:w="2410" w:type="dxa"/>
          </w:tcPr>
          <w:p>
            <w:pPr>
              <w:pStyle w:val="Celda"/>
            </w:pPr>
            <w:r>
              <w:t xml:space="preserve">P19</w:t>
            </w:r>
          </w:p>
        </w:tc>
      </w:tr>
      <w:tr>
        <w:tc>
          <w:tcPr>
            <w:tcW w:w="2410" w:type="dxa"/>
          </w:tcPr>
          <w:p>
            <w:pPr>
              <w:pStyle w:val="Celda"/>
            </w:pPr>
            <w:r>
              <w:t xml:space="preserve">Desactivar una herramienta o permiso del agente</w:t>
            </w:r>
          </w:p>
        </w:tc>
        <w:tc>
          <w:tcPr>
            <w:tcW w:w="2410" w:type="dxa"/>
          </w:tcPr>
          <w:p>
            <w:pPr>
              <w:pStyle w:val="Celda"/>
            </w:pPr>
            <w:r>
              <w:t xml:space="preserve">Abuso de una herramienta concreta</w:t>
            </w:r>
          </w:p>
        </w:tc>
        <w:tc>
          <w:tcPr>
            <w:tcW w:w="2410" w:type="dxa"/>
          </w:tcPr>
          <w:p>
            <w:pPr>
              <w:pStyle w:val="Celda"/>
            </w:pPr>
          </w:p>
        </w:tc>
        <w:tc>
          <w:tcPr>
            <w:tcW w:w="2410" w:type="dxa"/>
          </w:tcPr>
          <w:p>
            <w:pPr>
              <w:pStyle w:val="Celda"/>
            </w:pPr>
            <w:r>
              <w:t xml:space="preserve">P18 bloque 5</w:t>
            </w:r>
          </w:p>
        </w:tc>
      </w:tr>
      <w:tr>
        <w:tc>
          <w:tcPr>
            <w:tcW w:w="2410" w:type="dxa"/>
          </w:tcPr>
          <w:p>
            <w:pPr>
              <w:pStyle w:val="Celda"/>
            </w:pPr>
            <w:r>
              <w:t xml:space="preserve">Revocar credenciales</w:t>
            </w:r>
          </w:p>
        </w:tc>
        <w:tc>
          <w:tcPr>
            <w:tcW w:w="2410" w:type="dxa"/>
          </w:tcPr>
          <w:p>
            <w:pPr>
              <w:pStyle w:val="Celda"/>
            </w:pPr>
            <w:r>
              <w:t xml:space="preserve">Compromiso de identidad</w:t>
            </w:r>
          </w:p>
        </w:tc>
        <w:tc>
          <w:tcPr>
            <w:tcW w:w="2410" w:type="dxa"/>
          </w:tcPr>
          <w:p>
            <w:pPr>
              <w:pStyle w:val="Celda"/>
            </w:pPr>
          </w:p>
        </w:tc>
        <w:tc>
          <w:tcPr>
            <w:tcW w:w="2410" w:type="dxa"/>
          </w:tcPr>
          <w:p>
            <w:pPr>
              <w:pStyle w:val="Celda"/>
            </w:pPr>
            <w:r>
              <w:t xml:space="preserve">P18 bloque 4</w:t>
            </w:r>
          </w:p>
        </w:tc>
      </w:tr>
      <w:tr>
        <w:tc>
          <w:tcPr>
            <w:tcW w:w="2410" w:type="dxa"/>
          </w:tcPr>
          <w:p>
            <w:pPr>
              <w:pStyle w:val="Celda"/>
            </w:pPr>
            <w:r>
              <w:t xml:space="preserve">Retirar o corregir contenido publicado</w:t>
            </w:r>
          </w:p>
        </w:tc>
        <w:tc>
          <w:tcPr>
            <w:tcW w:w="2410" w:type="dxa"/>
          </w:tcPr>
          <w:p>
            <w:pPr>
              <w:pStyle w:val="Celda"/>
            </w:pPr>
            <w:r>
              <w:t xml:space="preserve">Contenido erróneo o inadecuado visible para terceros</w:t>
            </w:r>
          </w:p>
        </w:tc>
        <w:tc>
          <w:tcPr>
            <w:tcW w:w="2410" w:type="dxa"/>
          </w:tcPr>
          <w:p>
            <w:pPr>
              <w:pStyle w:val="Celda"/>
            </w:pPr>
          </w:p>
        </w:tc>
        <w:tc>
          <w:tcPr>
            <w:tcW w:w="2410" w:type="dxa"/>
          </w:tcPr>
          <w:p>
            <w:pPr>
              <w:pStyle w:val="Celda"/>
            </w:pPr>
          </w:p>
        </w:tc>
      </w:tr>
      <w:tr>
        <w:tc>
          <w:tcPr>
            <w:tcW w:w="2410" w:type="dxa"/>
          </w:tcPr>
          <w:p>
            <w:pPr>
              <w:pStyle w:val="Celda"/>
            </w:pPr>
            <w:r>
              <w:t xml:space="preserve">Preservar registros y evidencias</w:t>
            </w:r>
          </w:p>
        </w:tc>
        <w:tc>
          <w:tcPr>
            <w:tcW w:w="2410" w:type="dxa"/>
          </w:tcPr>
          <w:p>
            <w:pPr>
              <w:pStyle w:val="Celda"/>
            </w:pPr>
            <w:r>
              <w:t xml:space="preserve">Siempre en S1 y S2</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8. Notificaciones regulatorias y contractuales a verificar</w:t>
      </w:r>
    </w:p>
    <w:p>
      <w:r>
        <w:t xml:space="preserve">Casillas de comprobación. Para cada incidente se verifica si aplican; los plazos se toman del documento 37 y se confirman con asesoría jurídica. Esta tabla no afirma plazos.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Notificación a verificar</w:t>
            </w:r>
          </w:p>
        </w:tc>
        <w:tc>
          <w:tcPr>
            <w:tcW w:w="1205" w:type="dxa"/>
            <w:shd w:val="clear" w:color="auto" w:fill="F2DFCE"/>
          </w:tcPr>
          <w:p>
            <w:pPr>
              <w:pStyle w:val="Celda"/>
            </w:pPr>
            <w:r>
              <w:rPr>
                <w:b/>
              </w:rPr>
              <w:t xml:space="preserve">Referencia</w:t>
            </w:r>
          </w:p>
        </w:tc>
        <w:tc>
          <w:tcPr>
            <w:tcW w:w="1205" w:type="dxa"/>
            <w:shd w:val="clear" w:color="auto" w:fill="F2DFCE"/>
          </w:tcPr>
          <w:p>
            <w:pPr>
              <w:pStyle w:val="Celda"/>
            </w:pPr>
            <w:r>
              <w:rPr>
                <w:b/>
              </w:rPr>
              <w:t xml:space="preserve">¿Aplica? (Sí · No · Por determinar)</w:t>
            </w:r>
          </w:p>
        </w:tc>
        <w:tc>
          <w:tcPr>
            <w:tcW w:w="1205" w:type="dxa"/>
            <w:shd w:val="clear" w:color="auto" w:fill="F2DFCE"/>
          </w:tcPr>
          <w:p>
            <w:pPr>
              <w:pStyle w:val="Celda"/>
            </w:pPr>
            <w:r>
              <w:rPr>
                <w:b/>
              </w:rPr>
              <w:t xml:space="preserve">Quién decide</w:t>
            </w:r>
          </w:p>
        </w:tc>
        <w:tc>
          <w:tcPr>
            <w:tcW w:w="1205" w:type="dxa"/>
            <w:shd w:val="clear" w:color="auto" w:fill="F2DFCE"/>
          </w:tcPr>
          <w:p>
            <w:pPr>
              <w:pStyle w:val="Celda"/>
            </w:pPr>
            <w:r>
              <w:rPr>
                <w:b/>
              </w:rPr>
              <w:t xml:space="preserve">Quién notifica</w:t>
            </w:r>
          </w:p>
        </w:tc>
        <w:tc>
          <w:tcPr>
            <w:tcW w:w="1205" w:type="dxa"/>
            <w:shd w:val="clear" w:color="auto" w:fill="F2DFCE"/>
          </w:tcPr>
          <w:p>
            <w:pPr>
              <w:pStyle w:val="Celda"/>
            </w:pPr>
            <w:r>
              <w:rPr>
                <w:b/>
              </w:rPr>
              <w:t xml:space="preserve">Plazo confirmado en documento 37 y fecha de verificación</w:t>
            </w:r>
          </w:p>
        </w:tc>
        <w:tc>
          <w:tcPr>
            <w:tcW w:w="1205" w:type="dxa"/>
            <w:shd w:val="clear" w:color="auto" w:fill="F2DFCE"/>
          </w:tcPr>
          <w:p>
            <w:pPr>
              <w:pStyle w:val="Celda"/>
            </w:pPr>
            <w:r>
              <w:rPr>
                <w:b/>
              </w:rPr>
              <w:t xml:space="preserve">Evidencia</w:t>
            </w:r>
          </w:p>
        </w:tc>
      </w:tr>
      <w:tr>
        <w:tc>
          <w:tcPr>
            <w:tcW w:w="1205" w:type="dxa"/>
          </w:tcPr>
          <w:p>
            <w:pPr>
              <w:pStyle w:val="Celda"/>
            </w:pPr>
            <w:r>
              <w:t xml:space="preserve">☐</w:t>
            </w:r>
          </w:p>
        </w:tc>
        <w:tc>
          <w:tcPr>
            <w:tcW w:w="1205" w:type="dxa"/>
          </w:tcPr>
          <w:p>
            <w:pPr>
              <w:pStyle w:val="Celda"/>
            </w:pPr>
            <w:r>
              <w:t xml:space="preserve">Incidente grave de un sistema de IA de alto riesgo</w:t>
            </w:r>
          </w:p>
        </w:tc>
        <w:tc>
          <w:tcPr>
            <w:tcW w:w="1205" w:type="dxa"/>
          </w:tcPr>
          <w:p>
            <w:pPr>
              <w:pStyle w:val="Celda"/>
            </w:pPr>
            <w:r>
              <w:t xml:space="preserve">Reglamento Europeo de IA (obligaciones del proveedor y del responsable del despliegue; documento 34)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Información al proveedor del sistema de IA</w:t>
            </w:r>
          </w:p>
        </w:tc>
        <w:tc>
          <w:tcPr>
            <w:tcW w:w="1205" w:type="dxa"/>
          </w:tcPr>
          <w:p>
            <w:pPr>
              <w:pStyle w:val="Celda"/>
            </w:pPr>
            <w:r>
              <w:t xml:space="preserve">Reglamento Europeo de IA y contrato (si la compañía es responsable del despliegue)</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Violación de la seguridad de los datos personales a la autoridad de control</w:t>
            </w:r>
          </w:p>
        </w:tc>
        <w:tc>
          <w:tcPr>
            <w:tcW w:w="1205" w:type="dxa"/>
          </w:tcPr>
          <w:p>
            <w:pPr>
              <w:pStyle w:val="Celda"/>
            </w:pPr>
            <w:r>
              <w:t xml:space="preserve">RGPD, artículo 33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Comunicación a los interesados</w:t>
            </w:r>
          </w:p>
        </w:tc>
        <w:tc>
          <w:tcPr>
            <w:tcW w:w="1205" w:type="dxa"/>
          </w:tcPr>
          <w:p>
            <w:pPr>
              <w:pStyle w:val="Celda"/>
            </w:pPr>
            <w:r>
              <w:t xml:space="preserve">RGPD, artículo 34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Incidente grave relacionado con las TIC</w:t>
            </w:r>
          </w:p>
        </w:tc>
        <w:tc>
          <w:tcPr>
            <w:tcW w:w="1205" w:type="dxa"/>
          </w:tcPr>
          <w:p>
            <w:pPr>
              <w:pStyle w:val="Celda"/>
            </w:pPr>
            <w:r>
              <w:t xml:space="preserve">DORA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Incidente significativo</w:t>
            </w:r>
          </w:p>
        </w:tc>
        <w:tc>
          <w:tcPr>
            <w:tcW w:w="1205" w:type="dxa"/>
          </w:tcPr>
          <w:p>
            <w:pPr>
              <w:pStyle w:val="Celda"/>
            </w:pPr>
            <w:r>
              <w:t xml:space="preserve">NIS2 y transposición nacional</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Notificaciones sectoriales</w:t>
            </w:r>
          </w:p>
        </w:tc>
        <w:tc>
          <w:tcPr>
            <w:tcW w:w="1205" w:type="dxa"/>
          </w:tcPr>
          <w:p>
            <w:pPr>
              <w:pStyle w:val="Celda"/>
            </w:pPr>
            <w:r>
              <w:t xml:space="preserve">Regulación sectorial de la compañía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Obligaciones contractuales con clientes o proveedores</w:t>
            </w:r>
          </w:p>
        </w:tc>
        <w:tc>
          <w:tcPr>
            <w:tcW w:w="1205" w:type="dxa"/>
          </w:tcPr>
          <w:p>
            <w:pPr>
              <w:pStyle w:val="Celda"/>
            </w:pPr>
            <w:r>
              <w:t xml:space="preserve">Contratos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w:t>
            </w:r>
          </w:p>
        </w:tc>
        <w:tc>
          <w:tcPr>
            <w:tcW w:w="1205" w:type="dxa"/>
          </w:tcPr>
          <w:p>
            <w:pPr>
              <w:pStyle w:val="Celda"/>
            </w:pPr>
            <w:r>
              <w:t xml:space="preserve">Comunicación a personas afectadas no exigida por norma pero adecuada </w:t>
            </w:r>
            <w:r>
              <w:rPr>
                <w:b/>
              </w:rPr>
              <w:t xml:space="preserve">(Enterprise)</w:t>
            </w:r>
          </w:p>
        </w:tc>
        <w:tc>
          <w:tcPr>
            <w:tcW w:w="1205" w:type="dxa"/>
          </w:tcPr>
          <w:p>
            <w:pPr>
              <w:pStyle w:val="Celda"/>
            </w:pPr>
            <w:r>
              <w:t xml:space="preserve">Política de la compañía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Los modelos de notificación, la decisión motivada de no notificar y las comunicaciones están en P51.</w:t>
      </w:r>
    </w:p>
    <w:p>
      <w:pPr>
        <w:pStyle w:val="Separador"/>
      </w:pPr>
    </w:p>
    <w:p>
      <w:pPr>
        <w:pStyle w:val="Heading1"/>
      </w:pPr>
      <w:r>
        <w:t xml:space="preserve">9. Escalado interno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Severidad</w:t>
            </w:r>
          </w:p>
        </w:tc>
        <w:tc>
          <w:tcPr>
            <w:tcW w:w="2410" w:type="dxa"/>
            <w:shd w:val="clear" w:color="auto" w:fill="F2DFCE"/>
          </w:tcPr>
          <w:p>
            <w:pPr>
              <w:pStyle w:val="Celda"/>
            </w:pPr>
            <w:r>
              <w:rPr>
                <w:b/>
              </w:rPr>
              <w:t xml:space="preserve">A quién se informa</w:t>
            </w:r>
          </w:p>
        </w:tc>
        <w:tc>
          <w:tcPr>
            <w:tcW w:w="2410" w:type="dxa"/>
            <w:shd w:val="clear" w:color="auto" w:fill="F2DFCE"/>
          </w:tcPr>
          <w:p>
            <w:pPr>
              <w:pStyle w:val="Celda"/>
            </w:pPr>
            <w:r>
              <w:rPr>
                <w:b/>
              </w:rPr>
              <w:t xml:space="preserve">Plazo interno</w:t>
            </w:r>
          </w:p>
        </w:tc>
        <w:tc>
          <w:tcPr>
            <w:tcW w:w="2410" w:type="dxa"/>
            <w:shd w:val="clear" w:color="auto" w:fill="F2DFCE"/>
          </w:tcPr>
          <w:p>
            <w:pPr>
              <w:pStyle w:val="Celda"/>
            </w:pPr>
            <w:r>
              <w:rPr>
                <w:b/>
              </w:rPr>
              <w:t xml:space="preserve">Referencia</w:t>
            </w:r>
          </w:p>
        </w:tc>
      </w:tr>
      <w:tr>
        <w:tc>
          <w:tcPr>
            <w:tcW w:w="2410" w:type="dxa"/>
          </w:tcPr>
          <w:p>
            <w:pPr>
              <w:pStyle w:val="Celda"/>
            </w:pPr>
            <w:r>
              <w:t xml:space="preserve">S1</w:t>
            </w:r>
          </w:p>
        </w:tc>
        <w:tc>
          <w:tcPr>
            <w:tcW w:w="2410" w:type="dxa"/>
          </w:tcPr>
          <w:p>
            <w:pPr>
              <w:pStyle w:val="Celda"/>
            </w:pPr>
            <w:r>
              <w:t xml:space="preserve">Comité de IA y comisión delegada del consejo, además de los roles del bloque 5</w:t>
            </w:r>
          </w:p>
        </w:tc>
        <w:tc>
          <w:tcPr>
            <w:tcW w:w="2410" w:type="dxa"/>
          </w:tcPr>
          <w:p>
            <w:pPr>
              <w:pStyle w:val="Celda"/>
            </w:pPr>
          </w:p>
        </w:tc>
        <w:tc>
          <w:tcPr>
            <w:tcW w:w="2410" w:type="dxa"/>
          </w:tcPr>
          <w:p>
            <w:pPr>
              <w:pStyle w:val="Celda"/>
            </w:pPr>
            <w:r>
              <w:t xml:space="preserve">Documento 37</w:t>
            </w:r>
          </w:p>
        </w:tc>
      </w:tr>
      <w:tr>
        <w:tc>
          <w:tcPr>
            <w:tcW w:w="2410" w:type="dxa"/>
          </w:tcPr>
          <w:p>
            <w:pPr>
              <w:pStyle w:val="Celda"/>
            </w:pPr>
            <w:r>
              <w:t xml:space="preserve">S2</w:t>
            </w:r>
          </w:p>
        </w:tc>
        <w:tc>
          <w:tcPr>
            <w:tcW w:w="2410" w:type="dxa"/>
          </w:tcPr>
          <w:p>
            <w:pPr>
              <w:pStyle w:val="Celda"/>
            </w:pPr>
            <w:r>
              <w:t xml:space="preserve">Comité de IA y patrocinador</w:t>
            </w:r>
          </w:p>
        </w:tc>
        <w:tc>
          <w:tcPr>
            <w:tcW w:w="2410" w:type="dxa"/>
          </w:tcPr>
          <w:p>
            <w:pPr>
              <w:pStyle w:val="Celda"/>
            </w:pPr>
          </w:p>
        </w:tc>
        <w:tc>
          <w:tcPr>
            <w:tcW w:w="2410" w:type="dxa"/>
          </w:tcPr>
          <w:p>
            <w:pPr>
              <w:pStyle w:val="Celda"/>
            </w:pPr>
            <w:r>
              <w:t xml:space="preserve">Documento 37</w:t>
            </w:r>
          </w:p>
        </w:tc>
      </w:tr>
      <w:tr>
        <w:tc>
          <w:tcPr>
            <w:tcW w:w="2410" w:type="dxa"/>
          </w:tcPr>
          <w:p>
            <w:pPr>
              <w:pStyle w:val="Celda"/>
            </w:pPr>
            <w:r>
              <w:t xml:space="preserve">S3</w:t>
            </w:r>
          </w:p>
        </w:tc>
        <w:tc>
          <w:tcPr>
            <w:tcW w:w="2410" w:type="dxa"/>
          </w:tcPr>
          <w:p>
            <w:pPr>
              <w:pStyle w:val="Celda"/>
            </w:pPr>
            <w:r>
              <w:t xml:space="preserve">Responsable de producto de IA y oficina de IA</w:t>
            </w:r>
          </w:p>
        </w:tc>
        <w:tc>
          <w:tcPr>
            <w:tcW w:w="2410" w:type="dxa"/>
          </w:tcPr>
          <w:p>
            <w:pPr>
              <w:pStyle w:val="Celda"/>
            </w:pPr>
          </w:p>
        </w:tc>
        <w:tc>
          <w:tcPr>
            <w:tcW w:w="2410" w:type="dxa"/>
          </w:tcPr>
          <w:p>
            <w:pPr>
              <w:pStyle w:val="Celda"/>
            </w:pPr>
            <w:r>
              <w:t xml:space="preserve">Documento 37</w:t>
            </w:r>
          </w:p>
        </w:tc>
      </w:tr>
      <w:tr>
        <w:tc>
          <w:tcPr>
            <w:tcW w:w="2410" w:type="dxa"/>
          </w:tcPr>
          <w:p>
            <w:pPr>
              <w:pStyle w:val="Celda"/>
            </w:pPr>
            <w:r>
              <w:t xml:space="preserve">S4</w:t>
            </w:r>
          </w:p>
        </w:tc>
        <w:tc>
          <w:tcPr>
            <w:tcW w:w="2410" w:type="dxa"/>
          </w:tcPr>
          <w:p>
            <w:pPr>
              <w:pStyle w:val="Celda"/>
            </w:pPr>
            <w:r>
              <w:t xml:space="preserve">Registro en P27</w:t>
            </w:r>
          </w:p>
        </w:tc>
        <w:tc>
          <w:tcPr>
            <w:tcW w:w="2410" w:type="dxa"/>
          </w:tcPr>
          <w:p>
            <w:pPr>
              <w:pStyle w:val="Celda"/>
            </w:pPr>
          </w:p>
        </w:tc>
        <w:tc>
          <w:tcPr>
            <w:tcW w:w="2410" w:type="dxa"/>
          </w:tcPr>
          <w:p>
            <w:pPr>
              <w:pStyle w:val="Celda"/>
            </w:pPr>
            <w:r>
              <w:t xml:space="preserve">Documento 37</w:t>
            </w:r>
          </w:p>
        </w:tc>
      </w:tr>
    </w:tbl>
    <w:p>
      <w:pPr>
        <w:pStyle w:val="Espacio"/>
      </w:pPr>
    </w:p>
    <w:p>
      <w:r>
        <w:t xml:space="preserve">Si el incidente revela un incumplimiento del marco (control desactivado, cambio sin aprobar, gate omitido), se abre además una no conformidad con código NC-AAAA-NNN (P50, documento 37).</w:t>
      </w:r>
    </w:p>
    <w:p>
      <w:pPr>
        <w:pStyle w:val="Separador"/>
      </w:pPr>
    </w:p>
    <w:p>
      <w:pPr>
        <w:pStyle w:val="Heading1"/>
      </w:pPr>
      <w:r>
        <w:t xml:space="preserve">10. Simulacros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Escenario</w:t>
            </w:r>
          </w:p>
        </w:tc>
        <w:tc>
          <w:tcPr>
            <w:tcW w:w="1606" w:type="dxa"/>
            <w:shd w:val="clear" w:color="auto" w:fill="F2DFCE"/>
          </w:tcPr>
          <w:p>
            <w:pPr>
              <w:pStyle w:val="Celda"/>
            </w:pPr>
            <w:r>
              <w:rPr>
                <w:b/>
              </w:rPr>
              <w:t xml:space="preserve">Participantes (roles)</w:t>
            </w:r>
          </w:p>
        </w:tc>
        <w:tc>
          <w:tcPr>
            <w:tcW w:w="1606" w:type="dxa"/>
            <w:shd w:val="clear" w:color="auto" w:fill="F2DFCE"/>
          </w:tcPr>
          <w:p>
            <w:pPr>
              <w:pStyle w:val="Celda"/>
            </w:pPr>
            <w:r>
              <w:rPr>
                <w:b/>
              </w:rPr>
              <w:t xml:space="preserve">Tiempo hasta contención</w:t>
            </w:r>
          </w:p>
        </w:tc>
        <w:tc>
          <w:tcPr>
            <w:tcW w:w="1606" w:type="dxa"/>
            <w:shd w:val="clear" w:color="auto" w:fill="F2DFCE"/>
          </w:tcPr>
          <w:p>
            <w:pPr>
              <w:pStyle w:val="Celda"/>
            </w:pPr>
            <w:r>
              <w:rPr>
                <w:b/>
              </w:rPr>
              <w:t xml:space="preserve">Resultado (Superado · Superado con observaciones · No superado)</w:t>
            </w:r>
          </w:p>
        </w:tc>
        <w:tc>
          <w:tcPr>
            <w:tcW w:w="1606" w:type="dxa"/>
            <w:shd w:val="clear" w:color="auto" w:fill="F2DFCE"/>
          </w:tcPr>
          <w:p>
            <w:pPr>
              <w:pStyle w:val="Celda"/>
            </w:pPr>
            <w:r>
              <w:rPr>
                <w:b/>
              </w:rPr>
              <w:t xml:space="preserve">Acciones de mejora</w:t>
            </w:r>
          </w:p>
        </w:tc>
      </w:tr>
      <w:tr>
        <w:tc>
          <w:tcPr>
            <w:tcW w:w="1606" w:type="dxa"/>
          </w:tcPr>
          <w:p>
            <w:pPr>
              <w:pStyle w:val="Celda"/>
            </w:pPr>
            <w:r>
              <w:rPr>
                <w:i/>
              </w:rPr>
              <w:t xml:space="preserve">(ejemplo ilustrativo)</w:t>
            </w:r>
          </w:p>
        </w:tc>
        <w:tc>
          <w:tcPr>
            <w:tcW w:w="1606" w:type="dxa"/>
          </w:tcPr>
          <w:p>
            <w:pPr>
              <w:pStyle w:val="Celda"/>
            </w:pPr>
            <w:r>
              <w:t xml:space="preserve">Documento con instrucciones ocultas provoca envío externo no autorizado</w:t>
            </w:r>
          </w:p>
        </w:tc>
        <w:tc>
          <w:tcPr>
            <w:tcW w:w="1606" w:type="dxa"/>
          </w:tcPr>
          <w:p>
            <w:pPr>
              <w:pStyle w:val="Celda"/>
            </w:pPr>
            <w:r>
              <w:t xml:space="preserve">Guardia, seguridad, protección de datos, coordinador</w:t>
            </w:r>
          </w:p>
        </w:tc>
        <w:tc>
          <w:tcPr>
            <w:tcW w:w="1606" w:type="dxa"/>
          </w:tcPr>
          <w:p>
            <w:pPr>
              <w:pStyle w:val="Celda"/>
            </w:pPr>
            <w:r>
              <w:t xml:space="preserve">35 minutos</w:t>
            </w:r>
          </w:p>
        </w:tc>
        <w:tc>
          <w:tcPr>
            <w:tcW w:w="1606" w:type="dxa"/>
          </w:tcPr>
          <w:p>
            <w:pPr>
              <w:pStyle w:val="Celda"/>
            </w:pPr>
            <w:r>
              <w:t xml:space="preserve">Superado con observaciones</w:t>
            </w:r>
          </w:p>
        </w:tc>
        <w:tc>
          <w:tcPr>
            <w:tcW w:w="1606" w:type="dxa"/>
          </w:tcPr>
          <w:p>
            <w:pPr>
              <w:pStyle w:val="Celda"/>
            </w:pPr>
            <w:r>
              <w:t xml:space="preserve">Protección de datos no tenía sustituto localizable; se designa</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En Enterprise debería realizarse al menos un simulacro antes de G5 y repetirse con la periodicidad que fije la compañía.</w:t>
      </w:r>
    </w:p>
    <w:p>
      <w:pPr>
        <w:pStyle w:val="Separador"/>
      </w:pPr>
    </w:p>
    <w:p>
      <w:pPr>
        <w:pStyle w:val="Heading1"/>
      </w:pPr>
      <w:r>
        <w:t xml:space="preserve">11. Criterios de calidad</w:t>
      </w:r>
    </w:p>
    <w:p>
      <w:r>
        <w:t xml:space="preserve">Criterios formales de G5 y R6 en el documento 21; proceso de incidentes en el documento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Los tipos de incidente aplicables tienen ejemplo concreto y vía de detección.</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La severidad usa la escala S1–S4 y remite a los criterios del documento 37.</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Todos los roles tienen titular y sustituto.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acciones de contención están preparadas y enlazadas con P18 y P19.</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notificaciones regulatorias están identificadas como casillas a verificar, sin plazos no confirmados.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escalado interno llega al comité de IA y a la comisión delegada en S1.</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Se ha realizado al menos un simulacro (Enterprise).</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Revisión</w:t>
            </w:r>
          </w:p>
        </w:tc>
        <w:tc>
          <w:tcPr>
            <w:tcW w:w="1928" w:type="dxa"/>
          </w:tcPr>
          <w:p>
            <w:pPr>
              <w:pStyle w:val="Celda"/>
            </w:pPr>
            <w:r>
              <w:t xml:space="preserve">Seguridad de la información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Revisión</w:t>
            </w:r>
          </w:p>
        </w:tc>
        <w:tc>
          <w:tcPr>
            <w:tcW w:w="1928" w:type="dxa"/>
          </w:tcPr>
          <w:p>
            <w:pPr>
              <w:pStyle w:val="Celda"/>
            </w:pPr>
            <w:r>
              <w:t xml:space="preserve">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no forma parte del equipo que construye ni opera el sistema.</w:t>
      </w:r>
    </w:p>
    <w:p>
      <w:pPr>
        <w:pStyle w:val="Separador"/>
      </w:pPr>
    </w:p>
    <w:p>
      <w:pPr>
        <w:pStyle w:val="Heading1"/>
      </w:pPr>
      <w:r>
        <w:t xml:space="preserve">13.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P26 · Plan de respuesta a incidentes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P26 · Plan de respuesta a incidentes</dc:title>
  <dc:creator>Fernando García Varela</dc:creator>
  <dc:language>es</dc:language>
  <dc:description>sha256:86ef69a60ed7ee3f95a1718e8fd08fd67f877d5a1baff762e6731d55dd0ea3d9</dc:description>
  <cp:keywords>SEVEN-G</cp:keywords>
</cp:coreProperties>
</file>