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proveedores y plan de salida</w:t>
      </w:r>
    </w:p>
    <w:p>
      <w:r>
        <w:rPr>
          <w:b/>
        </w:rPr>
        <w:t xml:space="preserve">Mantiene el registro de proveedores de IA de la compañía, documenta sus revisiones periódicas y prepara, prueba y cierra la salida de cada proveedor con portabilidad verificada y borrado certificado.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P57 · Registro de proveedores y plan de salida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dependencia de un proveedor se mide en todos los sistemas, no en uno (36 §2, principio 6), y la salida se diseña al entrar, no al terminar (principio 3). Sin un registro único, nadie sabe cuántos sistemas y cuánto valor dependen de un mismo proveedor, qué revisiones han vencido ni qué contratos carecen de cláusulas clave; y sin un plan de salida probado, cambiar de proveedor en una función crítica se vuelve inviable en plazo o coste (RT-TER-01, RT-TER-05, RT-TER-07).</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Registro vivo de compañía. Cada relación proveedor–servicio se da de alta en la etapa 1 del ciclo del proveedor (36 §5) y se actualiza en cada etapa. Las actas de revisión siguen la periodicidad del nivel; el plan de salida se documenta en la integración (fases 4–5), se prueba según el nivel y se activa en la etapa 6 (fase 7). La vista de concentración se revisa en C3 y se informa en C4.</w:t>
            </w:r>
          </w:p>
        </w:tc>
      </w:tr>
      <w:tr>
        <w:tc>
          <w:tcPr>
            <w:tcW w:w="4819" w:type="dxa"/>
          </w:tcPr>
          <w:p>
            <w:pPr>
              <w:pStyle w:val="Celda"/>
            </w:pPr>
            <w:r>
              <w:rPr>
                <w:b/>
              </w:rPr>
              <w:t xml:space="preserve">Quién la rellena</w:t>
            </w:r>
          </w:p>
        </w:tc>
        <w:tc>
          <w:tcPr>
            <w:tcW w:w="4819" w:type="dxa"/>
          </w:tcPr>
          <w:p>
            <w:pPr>
              <w:pStyle w:val="Celda"/>
            </w:pPr>
            <w:r>
              <w:t xml:space="preserve">Compras mantiene el registro (36 §11); el gestor de la relación y el responsable de operación de IA, las revisiones; el responsable técnico de IA, el plan de salida y la prueba de portabilidad; la asesoría jurídica, el cierre contractual y el certificado de borrado.</w:t>
            </w:r>
          </w:p>
        </w:tc>
      </w:tr>
      <w:tr>
        <w:tc>
          <w:tcPr>
            <w:tcW w:w="4819" w:type="dxa"/>
          </w:tcPr>
          <w:p>
            <w:pPr>
              <w:pStyle w:val="Celda"/>
            </w:pPr>
            <w:r>
              <w:rPr>
                <w:b/>
              </w:rPr>
              <w:t xml:space="preserve">Quién la verifica</w:t>
            </w:r>
          </w:p>
        </w:tc>
        <w:tc>
          <w:tcPr>
            <w:tcW w:w="4819" w:type="dxa"/>
          </w:tcPr>
          <w:p>
            <w:pPr>
              <w:pStyle w:val="Celda"/>
            </w:pPr>
            <w:r>
              <w:t xml:space="preserve">La oficina de IA comprueba que el registro está completo y las revisiones al día; el auditor de IA verifica en G3, G5 y G7 que la evaluación, el contrato y la salida corresponden al nivel (36 §11).</w:t>
            </w:r>
          </w:p>
        </w:tc>
      </w:tr>
      <w:tr>
        <w:tc>
          <w:tcPr>
            <w:tcW w:w="4819" w:type="dxa"/>
          </w:tcPr>
          <w:p>
            <w:pPr>
              <w:pStyle w:val="Celda"/>
            </w:pPr>
            <w:r>
              <w:rPr>
                <w:b/>
              </w:rPr>
              <w:t xml:space="preserve">Quién decide o aprueba</w:t>
            </w:r>
          </w:p>
        </w:tc>
        <w:tc>
          <w:tcPr>
            <w:tcW w:w="4819" w:type="dxa"/>
          </w:tcPr>
          <w:p>
            <w:pPr>
              <w:pStyle w:val="Celda"/>
            </w:pPr>
            <w:r>
              <w:t xml:space="preserve">Aprobación del proveedor según el nivel (36 §4.2). Límites de concentración y aceptación de riesgos Altos de terceros: comité de IA (36 §7.2). Información trimestral al consejo o su comisión delegada (36 §10).</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C3 y C4 (concentración) · G3 (G3.20) · G5 (G5.20: proveedor en el registro) · R6 (R6.12) · G7 (G7.12: borrado certificado y baja de accesos).</w:t>
            </w:r>
          </w:p>
        </w:tc>
      </w:tr>
      <w:tr>
        <w:tc>
          <w:tcPr>
            <w:tcW w:w="4819" w:type="dxa"/>
          </w:tcPr>
          <w:p>
            <w:pPr>
              <w:pStyle w:val="Celda"/>
            </w:pPr>
            <w:r>
              <w:rPr>
                <w:b/>
              </w:rPr>
              <w:t xml:space="preserve">Herramienta</w:t>
            </w:r>
          </w:p>
        </w:tc>
        <w:tc>
          <w:tcPr>
            <w:tcW w:w="4819" w:type="dxa"/>
          </w:tcPr>
          <w:p>
            <w:pPr>
              <w:pStyle w:val="Celda"/>
            </w:pPr>
            <w:r>
              <w:t xml:space="preserve">T09 · Registro de proveedores de IA, módulo de T01 sobre la entidad </w:t>
            </w:r>
            <w:r>
              <w:rPr>
                <w:i/>
              </w:rPr>
              <w:t xml:space="preserve">Proveedor</w:t>
            </w:r>
            <w:r>
              <w:t xml:space="preserve"> del modelo de datos común (03 §4). Esta plantilla es su formato de trabajo y usa los mismos campos (36 §9).</w:t>
            </w:r>
          </w:p>
        </w:tc>
      </w:tr>
      <w:tr>
        <w:tc>
          <w:tcPr>
            <w:tcW w:w="4819" w:type="dxa"/>
          </w:tcPr>
          <w:p>
            <w:pPr>
              <w:pStyle w:val="Celda"/>
            </w:pPr>
            <w:r>
              <w:rPr>
                <w:b/>
              </w:rPr>
              <w:t xml:space="preserve">Documento de referencia</w:t>
            </w:r>
          </w:p>
        </w:tc>
        <w:tc>
          <w:tcPr>
            <w:tcW w:w="4819" w:type="dxa"/>
          </w:tcPr>
          <w:p>
            <w:pPr>
              <w:pStyle w:val="Celda"/>
            </w:pPr>
            <w:r>
              <w:t xml:space="preserve">Documento 36 §4.2 (requisitos por nivel), §5 (ciclo del proveedor), §6.2 (DORA), §7 (dependencia, portabilidad y concentración), §9 (campos) y §10 (indicadores).</w:t>
            </w:r>
          </w:p>
        </w:tc>
      </w:tr>
      <w:tr>
        <w:tc>
          <w:tcPr>
            <w:tcW w:w="4819" w:type="dxa"/>
          </w:tcPr>
          <w:p>
            <w:pPr>
              <w:pStyle w:val="Celda"/>
            </w:pPr>
            <w:r>
              <w:rPr>
                <w:b/>
              </w:rPr>
              <w:t xml:space="preserve">Lite frente a Enterprise</w:t>
            </w:r>
          </w:p>
        </w:tc>
        <w:tc>
          <w:tcPr>
            <w:tcW w:w="4819" w:type="dxa"/>
          </w:tcPr>
          <w:p>
            <w:pPr>
              <w:pStyle w:val="Celda"/>
            </w:pPr>
            <w:r>
              <w:t xml:space="preserve">El registro es único para la compañía. La profundidad de la revisión y de la salida depende del nivel N1–N3; los campos marcados </w:t>
            </w:r>
            <w:r>
              <w:rPr>
                <w:b/>
              </w:rPr>
              <w:t xml:space="preserve">(Enterprise)</w:t>
            </w:r>
            <w:r>
              <w:t xml:space="preserve"> pueden omitirse para proveedores N1.</w:t>
            </w:r>
          </w:p>
        </w:tc>
      </w:tr>
    </w:tbl>
    <w:p>
      <w:pPr>
        <w:pStyle w:val="Espacio"/>
      </w:pPr>
    </w:p>
    <w:p>
      <w:r>
        <w:t xml:space="preserve">Reglas de cumplimentación:</w:t>
      </w:r>
    </w:p>
    <w:p>
      <w:pPr>
        <w:pStyle w:val="Lista"/>
      </w:pPr>
      <w:r>
        <w:t xml:space="preserve">• </w:t>
      </w:r>
      <w:r>
        <w:rPr>
          <w:b/>
        </w:rPr>
        <w:t xml:space="preserve">Cada relación proveedor–servicio es un registro</w:t>
      </w:r>
      <w:r>
        <w:t xml:space="preserve">, con código PRV-AAAA-NNN. Un mismo proveedor puede tener niveles distintos para servicios distintos (36 §4.1).</w:t>
      </w:r>
    </w:p>
    <w:p>
      <w:pPr>
        <w:pStyle w:val="Lista"/>
      </w:pPr>
      <w:r>
        <w:t xml:space="preserve">• Salida por nivel (36 §4.2): N1, exportación de datos garantizada; N2, plan de salida documentado; N3, plan de salida con alternativa identificada y ensayo o prueba documentada, y prueba de portabilidad al menos una vez al año o antes de renovar (36 §7.1).</w:t>
      </w:r>
    </w:p>
    <w:p>
      <w:pPr>
        <w:pStyle w:val="Lista"/>
      </w:pPr>
      <w:r>
        <w:t xml:space="preserve">• Revisión por nivel (36 §4.2): N1 anual; N2 semestral con indicadores de servicio; N3 trimestral, con indicadores mensuales y reunión de gobierno de la relación.</w:t>
      </w:r>
    </w:p>
    <w:p>
      <w:pPr>
        <w:pStyle w:val="Lista"/>
      </w:pPr>
      <w:r>
        <w:t xml:space="preserve">• Si la compañía está sujeta a DORA, T09 alimenta el registro de información del art. 28.3 (36 §6.2).</w:t>
      </w:r>
    </w:p>
    <w:p>
      <w:pPr>
        <w:pStyle w:val="Lista"/>
      </w:pPr>
      <w:r>
        <w:t xml:space="preserve">• </w:t>
      </w:r>
      <w:r>
        <w:rPr>
          <w:i/>
        </w:rPr>
        <w:t xml:space="preserve">Este documento no constituye asesoramiento jurídico.</w:t>
      </w:r>
    </w:p>
    <w:p>
      <w:pPr>
        <w:pStyle w:val="Separador"/>
      </w:pPr>
    </w:p>
    <w:p>
      <w:pPr>
        <w:pStyle w:val="Heading1"/>
      </w:pPr>
      <w:r>
        <w:t xml:space="preserve">2. Identificación del registro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o perímetro</w:t>
            </w:r>
          </w:p>
        </w:tc>
        <w:tc>
          <w:tcPr>
            <w:tcW w:w="3213" w:type="dxa"/>
          </w:tcPr>
          <w:p>
            <w:pPr>
              <w:pStyle w:val="Celda"/>
            </w:pPr>
          </w:p>
        </w:tc>
        <w:tc>
          <w:tcPr>
            <w:tcW w:w="3213" w:type="dxa"/>
          </w:tcPr>
          <w:p>
            <w:pPr>
              <w:pStyle w:val="Celda"/>
            </w:pPr>
            <w:r>
              <w:t xml:space="preserve">Entidad o grupo al que se aplica.</w:t>
            </w:r>
          </w:p>
        </w:tc>
      </w:tr>
      <w:tr>
        <w:tc>
          <w:tcPr>
            <w:tcW w:w="3213" w:type="dxa"/>
          </w:tcPr>
          <w:p>
            <w:pPr>
              <w:pStyle w:val="Celda"/>
            </w:pPr>
            <w:r>
              <w:t xml:space="preserve">Responsable del registro</w:t>
            </w:r>
          </w:p>
        </w:tc>
        <w:tc>
          <w:tcPr>
            <w:tcW w:w="3213" w:type="dxa"/>
          </w:tcPr>
          <w:p>
            <w:pPr>
              <w:pStyle w:val="Celda"/>
            </w:pPr>
          </w:p>
        </w:tc>
        <w:tc>
          <w:tcPr>
            <w:tcW w:w="3213" w:type="dxa"/>
          </w:tcPr>
          <w:p>
            <w:pPr>
              <w:pStyle w:val="Celda"/>
            </w:pPr>
            <w:r>
              <w:t xml:space="preserve">Compras, con la oficina de IA.</w:t>
            </w:r>
          </w:p>
        </w:tc>
      </w:tr>
      <w:tr>
        <w:tc>
          <w:tcPr>
            <w:tcW w:w="3213" w:type="dxa"/>
          </w:tcPr>
          <w:p>
            <w:pPr>
              <w:pStyle w:val="Celda"/>
            </w:pPr>
            <w:r>
              <w:t xml:space="preserve">Fecha de corte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Límites de concentración aplicables</w:t>
            </w:r>
          </w:p>
        </w:tc>
        <w:tc>
          <w:tcPr>
            <w:tcW w:w="3213" w:type="dxa"/>
          </w:tcPr>
          <w:p>
            <w:pPr>
              <w:pStyle w:val="Celda"/>
            </w:pPr>
          </w:p>
        </w:tc>
        <w:tc>
          <w:tcPr>
            <w:tcW w:w="3213" w:type="dxa"/>
          </w:tcPr>
          <w:p>
            <w:pPr>
              <w:pStyle w:val="Celda"/>
            </w:pPr>
            <w:r>
              <w:t xml:space="preserve">Aprobados en C2 (documento 13).</w:t>
            </w:r>
          </w:p>
        </w:tc>
      </w:tr>
      <w:tr>
        <w:tc>
          <w:tcPr>
            <w:tcW w:w="3213" w:type="dxa"/>
          </w:tcPr>
          <w:p>
            <w:pPr>
              <w:pStyle w:val="Celda"/>
            </w:pPr>
            <w:r>
              <w:t xml:space="preserve">Sujeta a DORA</w:t>
            </w:r>
          </w:p>
        </w:tc>
        <w:tc>
          <w:tcPr>
            <w:tcW w:w="3213" w:type="dxa"/>
          </w:tcPr>
          <w:p>
            <w:pPr>
              <w:pStyle w:val="Celda"/>
            </w:pPr>
          </w:p>
        </w:tc>
        <w:tc>
          <w:tcPr>
            <w:tcW w:w="3213" w:type="dxa"/>
          </w:tcPr>
          <w:p>
            <w:pPr>
              <w:pStyle w:val="Celda"/>
            </w:pPr>
            <w:r>
              <w:t xml:space="preserve">Sí · No.</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Registro de proveedores (T09)</w:t>
      </w:r>
    </w:p>
    <w:p>
      <w:pPr>
        <w:pStyle w:val="Heading2"/>
      </w:pPr>
      <w:r>
        <w:t xml:space="preserve">3.1 Identificación y servicio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Razón social · grupo · país</w:t>
            </w:r>
          </w:p>
        </w:tc>
        <w:tc>
          <w:tcPr>
            <w:tcW w:w="1205" w:type="dxa"/>
            <w:shd w:val="clear" w:color="auto" w:fill="F2DFCE"/>
          </w:tcPr>
          <w:p>
            <w:pPr>
              <w:pStyle w:val="Celda"/>
            </w:pPr>
            <w:r>
              <w:rPr>
                <w:b/>
              </w:rPr>
              <w:t xml:space="preserve">Tipo de tercero (36 §1.1)</w:t>
            </w:r>
          </w:p>
        </w:tc>
        <w:tc>
          <w:tcPr>
            <w:tcW w:w="1205" w:type="dxa"/>
            <w:shd w:val="clear" w:color="auto" w:fill="F2DFCE"/>
          </w:tcPr>
          <w:p>
            <w:pPr>
              <w:pStyle w:val="Celda"/>
            </w:pPr>
            <w:r>
              <w:rPr>
                <w:b/>
              </w:rPr>
              <w:t xml:space="preserve">Servicio (descripción comprensible)</w:t>
            </w:r>
          </w:p>
        </w:tc>
        <w:tc>
          <w:tcPr>
            <w:tcW w:w="1205" w:type="dxa"/>
            <w:shd w:val="clear" w:color="auto" w:fill="F2DFCE"/>
          </w:tcPr>
          <w:p>
            <w:pPr>
              <w:pStyle w:val="Celda"/>
            </w:pPr>
            <w:r>
              <w:rPr>
                <w:b/>
              </w:rPr>
              <w:t xml:space="preserve">Modelos y versiones</w:t>
            </w:r>
          </w:p>
        </w:tc>
        <w:tc>
          <w:tcPr>
            <w:tcW w:w="1205" w:type="dxa"/>
            <w:shd w:val="clear" w:color="auto" w:fill="F2DFCE"/>
          </w:tcPr>
          <w:p>
            <w:pPr>
              <w:pStyle w:val="Celda"/>
            </w:pPr>
            <w:r>
              <w:rPr>
                <w:b/>
              </w:rPr>
              <w:t xml:space="preserve">Tipo de contratación</w:t>
            </w:r>
          </w:p>
        </w:tc>
        <w:tc>
          <w:tcPr>
            <w:tcW w:w="1205" w:type="dxa"/>
            <w:shd w:val="clear" w:color="auto" w:fill="F2DFCE"/>
          </w:tcPr>
          <w:p>
            <w:pPr>
              <w:pStyle w:val="Celda"/>
            </w:pPr>
            <w:r>
              <w:rPr>
                <w:b/>
              </w:rPr>
              <w:t xml:space="preserve">Sistemas e iniciativas</w:t>
            </w:r>
          </w:p>
        </w:tc>
        <w:tc>
          <w:tcPr>
            <w:tcW w:w="1205" w:type="dxa"/>
            <w:shd w:val="clear" w:color="auto" w:fill="F2DFCE"/>
          </w:tcPr>
          <w:p>
            <w:pPr>
              <w:pStyle w:val="Celda"/>
            </w:pPr>
            <w:r>
              <w:rPr>
                <w:b/>
              </w:rPr>
              <w:t xml:space="preserve">Gestor de la relación</w:t>
            </w:r>
          </w:p>
        </w:tc>
      </w:tr>
      <w:tr>
        <w:tc>
          <w:tcPr>
            <w:tcW w:w="1205" w:type="dxa"/>
          </w:tcPr>
          <w:p>
            <w:pPr>
              <w:pStyle w:val="Celda"/>
            </w:pPr>
            <w:r>
              <w:t xml:space="preserve">PRV-AAAA-NNN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Construir sobre · Comprar · Adaptar · Aliarse</w:t>
            </w:r>
          </w:p>
        </w:tc>
        <w:tc>
          <w:tcPr>
            <w:tcW w:w="1205" w:type="dxa"/>
          </w:tcPr>
          <w:p>
            <w:pPr>
              <w:pStyle w:val="Celda"/>
            </w:pPr>
            <w:r>
              <w:t xml:space="preserve">SIA-AAAA-NNN · IA-AAAA-NNN</w:t>
            </w:r>
          </w:p>
        </w:tc>
        <w:tc>
          <w:tcPr>
            <w:tcW w:w="1205" w:type="dxa"/>
          </w:tcPr>
          <w:p>
            <w:pPr>
              <w:pStyle w:val="Celda"/>
            </w:pPr>
          </w:p>
        </w:tc>
      </w:tr>
      <w:tr>
        <w:tc>
          <w:tcPr>
            <w:tcW w:w="1205" w:type="dxa"/>
          </w:tcPr>
          <w:p>
            <w:pPr>
              <w:pStyle w:val="Celda"/>
            </w:pPr>
            <w:r>
              <w:rPr>
                <w:i/>
              </w:rPr>
              <w:t xml:space="preserve">(ejemplo ilustrativo)</w:t>
            </w:r>
            <w:r>
              <w:t xml:space="preserve"> PRV-2026-003</w:t>
            </w:r>
          </w:p>
        </w:tc>
        <w:tc>
          <w:tcPr>
            <w:tcW w:w="1205" w:type="dxa"/>
          </w:tcPr>
          <w:p>
            <w:pPr>
              <w:pStyle w:val="Celda"/>
            </w:pPr>
            <w:r>
              <w:t xml:space="preserve">Proveedor Alfa, S.A. (ficticio) · Grupo Alfa · Irlanda</w:t>
            </w:r>
          </w:p>
        </w:tc>
        <w:tc>
          <w:tcPr>
            <w:tcW w:w="1205" w:type="dxa"/>
          </w:tcPr>
          <w:p>
            <w:pPr>
              <w:pStyle w:val="Celda"/>
            </w:pPr>
            <w:r>
              <w:t xml:space="preserve">Proveedor de modelos</w:t>
            </w:r>
          </w:p>
        </w:tc>
        <w:tc>
          <w:tcPr>
            <w:tcW w:w="1205" w:type="dxa"/>
          </w:tcPr>
          <w:p>
            <w:pPr>
              <w:pStyle w:val="Celda"/>
            </w:pPr>
            <w:r>
              <w:t xml:space="preserve">Modelo de lenguaje por interfaz de programación para el asistente de consultas</w:t>
            </w:r>
          </w:p>
        </w:tc>
        <w:tc>
          <w:tcPr>
            <w:tcW w:w="1205" w:type="dxa"/>
          </w:tcPr>
          <w:p>
            <w:pPr>
              <w:pStyle w:val="Celda"/>
            </w:pPr>
            <w:r>
              <w:t xml:space="preserve">Modelo general, versión fijada 2026-06</w:t>
            </w:r>
          </w:p>
        </w:tc>
        <w:tc>
          <w:tcPr>
            <w:tcW w:w="1205" w:type="dxa"/>
          </w:tcPr>
          <w:p>
            <w:pPr>
              <w:pStyle w:val="Celda"/>
            </w:pPr>
            <w:r>
              <w:t xml:space="preserve">Construir sobre</w:t>
            </w:r>
          </w:p>
        </w:tc>
        <w:tc>
          <w:tcPr>
            <w:tcW w:w="1205" w:type="dxa"/>
          </w:tcPr>
          <w:p>
            <w:pPr>
              <w:pStyle w:val="Celda"/>
            </w:pPr>
            <w:r>
              <w:t xml:space="preserve">SIA-2026-007 · IA-2026-012</w:t>
            </w:r>
          </w:p>
        </w:tc>
        <w:tc>
          <w:tcPr>
            <w:tcW w:w="1205" w:type="dxa"/>
          </w:tcPr>
          <w:p>
            <w:pPr>
              <w:pStyle w:val="Celda"/>
            </w:pPr>
            <w:r>
              <w:t xml:space="preserve">Responsable técnico del área de clientes</w:t>
            </w:r>
          </w:p>
        </w:tc>
      </w:tr>
    </w:tbl>
    <w:p>
      <w:pPr>
        <w:pStyle w:val="Espacio"/>
      </w:pPr>
    </w:p>
    <w:p>
      <w:pPr>
        <w:pStyle w:val="Heading2"/>
      </w:pPr>
      <w:r>
        <w:t xml:space="preserve">3.2 Clasificación y datos</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Código</w:t>
            </w:r>
          </w:p>
        </w:tc>
        <w:tc>
          <w:tcPr>
            <w:tcW w:w="803" w:type="dxa"/>
            <w:shd w:val="clear" w:color="auto" w:fill="F2DFCE"/>
          </w:tcPr>
          <w:p>
            <w:pPr>
              <w:pStyle w:val="Celda"/>
            </w:pPr>
            <w:r>
              <w:rPr>
                <w:b/>
              </w:rPr>
              <w:t xml:space="preserve">Criticidad</w:t>
            </w:r>
          </w:p>
        </w:tc>
        <w:tc>
          <w:tcPr>
            <w:tcW w:w="803" w:type="dxa"/>
            <w:shd w:val="clear" w:color="auto" w:fill="F2DFCE"/>
          </w:tcPr>
          <w:p>
            <w:pPr>
              <w:pStyle w:val="Celda"/>
            </w:pPr>
            <w:r>
              <w:rPr>
                <w:b/>
              </w:rPr>
              <w:t xml:space="preserve">Datos</w:t>
            </w:r>
          </w:p>
        </w:tc>
        <w:tc>
          <w:tcPr>
            <w:tcW w:w="803" w:type="dxa"/>
            <w:shd w:val="clear" w:color="auto" w:fill="F2DFCE"/>
          </w:tcPr>
          <w:p>
            <w:pPr>
              <w:pStyle w:val="Celda"/>
            </w:pPr>
            <w:r>
              <w:rPr>
                <w:b/>
              </w:rPr>
              <w:t xml:space="preserve">Autonomía</w:t>
            </w:r>
          </w:p>
        </w:tc>
        <w:tc>
          <w:tcPr>
            <w:tcW w:w="803" w:type="dxa"/>
            <w:shd w:val="clear" w:color="auto" w:fill="F2DFCE"/>
          </w:tcPr>
          <w:p>
            <w:pPr>
              <w:pStyle w:val="Celda"/>
            </w:pPr>
            <w:r>
              <w:rPr>
                <w:b/>
              </w:rPr>
              <w:t xml:space="preserve">Sustituibilidad</w:t>
            </w:r>
          </w:p>
        </w:tc>
        <w:tc>
          <w:tcPr>
            <w:tcW w:w="803" w:type="dxa"/>
            <w:shd w:val="clear" w:color="auto" w:fill="F2DFCE"/>
          </w:tcPr>
          <w:p>
            <w:pPr>
              <w:pStyle w:val="Celda"/>
            </w:pPr>
            <w:r>
              <w:rPr>
                <w:b/>
              </w:rPr>
              <w:t xml:space="preserve">Nivel</w:t>
            </w:r>
          </w:p>
        </w:tc>
        <w:tc>
          <w:tcPr>
            <w:tcW w:w="803" w:type="dxa"/>
            <w:shd w:val="clear" w:color="auto" w:fill="F2DFCE"/>
          </w:tcPr>
          <w:p>
            <w:pPr>
              <w:pStyle w:val="Celda"/>
            </w:pPr>
            <w:r>
              <w:rPr>
                <w:b/>
              </w:rPr>
              <w:t xml:space="preserve">Función crítica o importante</w:t>
            </w:r>
          </w:p>
        </w:tc>
        <w:tc>
          <w:tcPr>
            <w:tcW w:w="803" w:type="dxa"/>
            <w:shd w:val="clear" w:color="auto" w:fill="F2DFCE"/>
          </w:tcPr>
          <w:p>
            <w:pPr>
              <w:pStyle w:val="Celda"/>
            </w:pPr>
            <w:r>
              <w:rPr>
                <w:b/>
              </w:rPr>
              <w:t xml:space="preserve">Rol regulatorio (proveedor · compañía)</w:t>
            </w:r>
          </w:p>
        </w:tc>
        <w:tc>
          <w:tcPr>
            <w:tcW w:w="803" w:type="dxa"/>
            <w:shd w:val="clear" w:color="auto" w:fill="F2DFCE"/>
          </w:tcPr>
          <w:p>
            <w:pPr>
              <w:pStyle w:val="Celda"/>
            </w:pPr>
            <w:r>
              <w:rPr>
                <w:b/>
              </w:rPr>
              <w:t xml:space="preserve">Datos personales</w:t>
            </w:r>
          </w:p>
        </w:tc>
        <w:tc>
          <w:tcPr>
            <w:tcW w:w="803" w:type="dxa"/>
            <w:shd w:val="clear" w:color="auto" w:fill="F2DFCE"/>
          </w:tcPr>
          <w:p>
            <w:pPr>
              <w:pStyle w:val="Celda"/>
            </w:pPr>
            <w:r>
              <w:rPr>
                <w:b/>
              </w:rPr>
              <w:t xml:space="preserve">Ubicación y garantía de transferencias</w:t>
            </w:r>
          </w:p>
        </w:tc>
        <w:tc>
          <w:tcPr>
            <w:tcW w:w="803" w:type="dxa"/>
            <w:shd w:val="clear" w:color="auto" w:fill="F2DFCE"/>
          </w:tcPr>
          <w:p>
            <w:pPr>
              <w:pStyle w:val="Celda"/>
            </w:pPr>
            <w:r>
              <w:rPr>
                <w:b/>
              </w:rPr>
              <w:t xml:space="preserve">Retención</w:t>
            </w:r>
          </w:p>
        </w:tc>
        <w:tc>
          <w:tcPr>
            <w:tcW w:w="803" w:type="dxa"/>
            <w:shd w:val="clear" w:color="auto" w:fill="F2DFCE"/>
          </w:tcPr>
          <w:p>
            <w:pPr>
              <w:pStyle w:val="Celda"/>
            </w:pPr>
            <w:r>
              <w:rPr>
                <w:b/>
              </w:rPr>
              <w:t xml:space="preserve">Uso para entrenamiento</w:t>
            </w:r>
          </w:p>
        </w:tc>
      </w:tr>
      <w:tr>
        <w:tc>
          <w:tcPr>
            <w:tcW w:w="803" w:type="dxa"/>
          </w:tcPr>
          <w:p>
            <w:pPr>
              <w:pStyle w:val="Celda"/>
            </w:pP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N1 · N2 · N3</w:t>
            </w:r>
          </w:p>
        </w:tc>
        <w:tc>
          <w:tcPr>
            <w:tcW w:w="803" w:type="dxa"/>
          </w:tcPr>
          <w:p>
            <w:pPr>
              <w:pStyle w:val="Celda"/>
            </w:pPr>
            <w:r>
              <w:t xml:space="preserve">El más alto</w:t>
            </w:r>
          </w:p>
        </w:tc>
        <w:tc>
          <w:tcPr>
            <w:tcW w:w="803" w:type="dxa"/>
          </w:tcPr>
          <w:p>
            <w:pPr>
              <w:pStyle w:val="Celda"/>
            </w:pPr>
            <w:r>
              <w:t xml:space="preserve">Sí · No</w:t>
            </w:r>
          </w:p>
        </w:tc>
        <w:tc>
          <w:tcPr>
            <w:tcW w:w="803" w:type="dxa"/>
          </w:tcPr>
          <w:p>
            <w:pPr>
              <w:pStyle w:val="Celda"/>
            </w:pPr>
          </w:p>
        </w:tc>
        <w:tc>
          <w:tcPr>
            <w:tcW w:w="803" w:type="dxa"/>
          </w:tcPr>
          <w:p>
            <w:pPr>
              <w:pStyle w:val="Celda"/>
            </w:pPr>
            <w:r>
              <w:t xml:space="preserve">Sí · No</w:t>
            </w:r>
          </w:p>
        </w:tc>
        <w:tc>
          <w:tcPr>
            <w:tcW w:w="803" w:type="dxa"/>
          </w:tcPr>
          <w:p>
            <w:pPr>
              <w:pStyle w:val="Celda"/>
            </w:pPr>
          </w:p>
        </w:tc>
        <w:tc>
          <w:tcPr>
            <w:tcW w:w="803" w:type="dxa"/>
          </w:tcPr>
          <w:p>
            <w:pPr>
              <w:pStyle w:val="Celda"/>
            </w:pPr>
          </w:p>
        </w:tc>
        <w:tc>
          <w:tcPr>
            <w:tcW w:w="803" w:type="dxa"/>
          </w:tcPr>
          <w:p>
            <w:pPr>
              <w:pStyle w:val="Celda"/>
            </w:pPr>
            <w:r>
              <w:t xml:space="preserve">Excluido · Autorizado · Sin verificar</w:t>
            </w:r>
          </w:p>
        </w:tc>
      </w:tr>
      <w:tr>
        <w:tc>
          <w:tcPr>
            <w:tcW w:w="803" w:type="dxa"/>
          </w:tcPr>
          <w:p>
            <w:pPr>
              <w:pStyle w:val="Celda"/>
            </w:pPr>
            <w:r>
              <w:rPr>
                <w:i/>
              </w:rPr>
              <w:t xml:space="preserve">(ejemplo ilustrativo)</w:t>
            </w:r>
            <w:r>
              <w:t xml:space="preserve"> PRV-2026-003</w:t>
            </w:r>
          </w:p>
        </w:tc>
        <w:tc>
          <w:tcPr>
            <w:tcW w:w="803" w:type="dxa"/>
          </w:tcPr>
          <w:p>
            <w:pPr>
              <w:pStyle w:val="Celda"/>
            </w:pPr>
            <w:r>
              <w:t xml:space="preserve">N2</w:t>
            </w:r>
          </w:p>
        </w:tc>
        <w:tc>
          <w:tcPr>
            <w:tcW w:w="803" w:type="dxa"/>
          </w:tcPr>
          <w:p>
            <w:pPr>
              <w:pStyle w:val="Celda"/>
            </w:pPr>
            <w:r>
              <w:t xml:space="preserve">N2</w:t>
            </w:r>
          </w:p>
        </w:tc>
        <w:tc>
          <w:tcPr>
            <w:tcW w:w="803" w:type="dxa"/>
          </w:tcPr>
          <w:p>
            <w:pPr>
              <w:pStyle w:val="Celda"/>
            </w:pPr>
            <w:r>
              <w:t xml:space="preserve">N1</w:t>
            </w:r>
          </w:p>
        </w:tc>
        <w:tc>
          <w:tcPr>
            <w:tcW w:w="803" w:type="dxa"/>
          </w:tcPr>
          <w:p>
            <w:pPr>
              <w:pStyle w:val="Celda"/>
            </w:pPr>
            <w:r>
              <w:t xml:space="preserve">N2</w:t>
            </w:r>
          </w:p>
        </w:tc>
        <w:tc>
          <w:tcPr>
            <w:tcW w:w="803" w:type="dxa"/>
          </w:tcPr>
          <w:p>
            <w:pPr>
              <w:pStyle w:val="Celda"/>
            </w:pPr>
            <w:r>
              <w:t xml:space="preserve">N2</w:t>
            </w:r>
          </w:p>
        </w:tc>
        <w:tc>
          <w:tcPr>
            <w:tcW w:w="803" w:type="dxa"/>
          </w:tcPr>
          <w:p>
            <w:pPr>
              <w:pStyle w:val="Celda"/>
            </w:pPr>
            <w:r>
              <w:t xml:space="preserve">No</w:t>
            </w:r>
          </w:p>
        </w:tc>
        <w:tc>
          <w:tcPr>
            <w:tcW w:w="803" w:type="dxa"/>
          </w:tcPr>
          <w:p>
            <w:pPr>
              <w:pStyle w:val="Celda"/>
            </w:pPr>
            <w:r>
              <w:t xml:space="preserve">Proveedor de modelo de propósito general · responsable del despliegue</w:t>
            </w:r>
          </w:p>
        </w:tc>
        <w:tc>
          <w:tcPr>
            <w:tcW w:w="803" w:type="dxa"/>
          </w:tcPr>
          <w:p>
            <w:pPr>
              <w:pStyle w:val="Celda"/>
            </w:pPr>
            <w:r>
              <w:t xml:space="preserve">Sí</w:t>
            </w:r>
          </w:p>
        </w:tc>
        <w:tc>
          <w:tcPr>
            <w:tcW w:w="803" w:type="dxa"/>
          </w:tcPr>
          <w:p>
            <w:pPr>
              <w:pStyle w:val="Celda"/>
            </w:pPr>
            <w:r>
              <w:t xml:space="preserve">UE; sin transferencias</w:t>
            </w:r>
          </w:p>
        </w:tc>
        <w:tc>
          <w:tcPr>
            <w:tcW w:w="803" w:type="dxa"/>
          </w:tcPr>
          <w:p>
            <w:pPr>
              <w:pStyle w:val="Celda"/>
            </w:pPr>
            <w:r>
              <w:t xml:space="preserve">30 días</w:t>
            </w:r>
          </w:p>
        </w:tc>
        <w:tc>
          <w:tcPr>
            <w:tcW w:w="803" w:type="dxa"/>
          </w:tcPr>
          <w:p>
            <w:pPr>
              <w:pStyle w:val="Celda"/>
            </w:pPr>
            <w:r>
              <w:t xml:space="preserve">Excluido</w:t>
            </w:r>
          </w:p>
        </w:tc>
      </w:tr>
    </w:tbl>
    <w:p>
      <w:pPr>
        <w:pStyle w:val="Espacio"/>
      </w:pPr>
    </w:p>
    <w:p>
      <w:pPr>
        <w:pStyle w:val="Heading2"/>
      </w:pPr>
      <w:r>
        <w:t xml:space="preserve">3.3 Contrato y evaluación</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Código</w:t>
            </w:r>
          </w:p>
        </w:tc>
        <w:tc>
          <w:tcPr>
            <w:tcW w:w="964" w:type="dxa"/>
            <w:shd w:val="clear" w:color="auto" w:fill="F2DFCE"/>
          </w:tcPr>
          <w:p>
            <w:pPr>
              <w:pStyle w:val="Celda"/>
            </w:pPr>
            <w:r>
              <w:rPr>
                <w:b/>
              </w:rPr>
              <w:t xml:space="preserve">Referencia del contrato</w:t>
            </w:r>
          </w:p>
        </w:tc>
        <w:tc>
          <w:tcPr>
            <w:tcW w:w="964" w:type="dxa"/>
            <w:shd w:val="clear" w:color="auto" w:fill="F2DFCE"/>
          </w:tcPr>
          <w:p>
            <w:pPr>
              <w:pStyle w:val="Celda"/>
            </w:pPr>
            <w:r>
              <w:rPr>
                <w:b/>
              </w:rPr>
              <w:t xml:space="preserve">Inicio · renovación · fin</w:t>
            </w:r>
          </w:p>
        </w:tc>
        <w:tc>
          <w:tcPr>
            <w:tcW w:w="964" w:type="dxa"/>
            <w:shd w:val="clear" w:color="auto" w:fill="F2DFCE"/>
          </w:tcPr>
          <w:p>
            <w:pPr>
              <w:pStyle w:val="Celda"/>
            </w:pPr>
            <w:r>
              <w:rPr>
                <w:b/>
              </w:rPr>
              <w:t xml:space="preserve">Preaviso</w:t>
            </w:r>
          </w:p>
        </w:tc>
        <w:tc>
          <w:tcPr>
            <w:tcW w:w="964" w:type="dxa"/>
            <w:shd w:val="clear" w:color="auto" w:fill="F2DFCE"/>
          </w:tcPr>
          <w:p>
            <w:pPr>
              <w:pStyle w:val="Celda"/>
            </w:pPr>
            <w:r>
              <w:rPr>
                <w:b/>
              </w:rPr>
              <w:t xml:space="preserve">Estado de las 16 cláusulas (P56 §3)</w:t>
            </w:r>
          </w:p>
        </w:tc>
        <w:tc>
          <w:tcPr>
            <w:tcW w:w="964" w:type="dxa"/>
            <w:shd w:val="clear" w:color="auto" w:fill="F2DFCE"/>
          </w:tcPr>
          <w:p>
            <w:pPr>
              <w:pStyle w:val="Celda"/>
            </w:pPr>
            <w:r>
              <w:rPr>
                <w:b/>
              </w:rPr>
              <w:t xml:space="preserve">Diligencia debida (P55 · P14): fecha y resultado</w:t>
            </w:r>
          </w:p>
        </w:tc>
        <w:tc>
          <w:tcPr>
            <w:tcW w:w="964" w:type="dxa"/>
            <w:shd w:val="clear" w:color="auto" w:fill="F2DFCE"/>
          </w:tcPr>
          <w:p>
            <w:pPr>
              <w:pStyle w:val="Celda"/>
            </w:pPr>
            <w:r>
              <w:rPr>
                <w:b/>
              </w:rPr>
              <w:t xml:space="preserve">Certificaciones e informes y vigencia</w:t>
            </w:r>
          </w:p>
        </w:tc>
        <w:tc>
          <w:tcPr>
            <w:tcW w:w="964" w:type="dxa"/>
            <w:shd w:val="clear" w:color="auto" w:fill="F2DFCE"/>
          </w:tcPr>
          <w:p>
            <w:pPr>
              <w:pStyle w:val="Celda"/>
            </w:pPr>
            <w:r>
              <w:rPr>
                <w:b/>
              </w:rPr>
              <w:t xml:space="preserve">Evaluación de seguridad</w:t>
            </w:r>
          </w:p>
        </w:tc>
        <w:tc>
          <w:tcPr>
            <w:tcW w:w="964" w:type="dxa"/>
            <w:shd w:val="clear" w:color="auto" w:fill="F2DFCE"/>
          </w:tcPr>
          <w:p>
            <w:pPr>
              <w:pStyle w:val="Celda"/>
            </w:pPr>
            <w:r>
              <w:rPr>
                <w:b/>
              </w:rPr>
              <w:t xml:space="preserve">Condiciones impuestas</w:t>
            </w:r>
          </w:p>
        </w:tc>
        <w:tc>
          <w:tcPr>
            <w:tcW w:w="964" w:type="dxa"/>
            <w:shd w:val="clear" w:color="auto" w:fill="F2DFCE"/>
          </w:tcPr>
          <w:p>
            <w:pPr>
              <w:pStyle w:val="Celda"/>
            </w:pPr>
            <w:r>
              <w:rPr>
                <w:b/>
              </w:rPr>
              <w:t xml:space="preserve">Registro de información DORA</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Presentes · parciales · ausentes (números)</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Sí · No · No aplica</w:t>
            </w:r>
          </w:p>
        </w:tc>
      </w:tr>
      <w:tr>
        <w:tc>
          <w:tcPr>
            <w:tcW w:w="964" w:type="dxa"/>
          </w:tcPr>
          <w:p>
            <w:pPr>
              <w:pStyle w:val="Celda"/>
            </w:pPr>
            <w:r>
              <w:rPr>
                <w:i/>
              </w:rPr>
              <w:t xml:space="preserve">(ejemplo ilustrativo)</w:t>
            </w:r>
            <w:r>
              <w:t xml:space="preserve"> PRV-2026-003</w:t>
            </w:r>
          </w:p>
        </w:tc>
        <w:tc>
          <w:tcPr>
            <w:tcW w:w="964" w:type="dxa"/>
          </w:tcPr>
          <w:p>
            <w:pPr>
              <w:pStyle w:val="Celda"/>
            </w:pPr>
            <w:r>
              <w:t xml:space="preserve">Contrato 2026/044 (ficticio)</w:t>
            </w:r>
          </w:p>
        </w:tc>
        <w:tc>
          <w:tcPr>
            <w:tcW w:w="964" w:type="dxa"/>
          </w:tcPr>
          <w:p>
            <w:pPr>
              <w:pStyle w:val="Celda"/>
            </w:pPr>
            <w:r>
              <w:t xml:space="preserve">01-11-2026 · 01-11-2027 · —</w:t>
            </w:r>
          </w:p>
        </w:tc>
        <w:tc>
          <w:tcPr>
            <w:tcW w:w="964" w:type="dxa"/>
          </w:tcPr>
          <w:p>
            <w:pPr>
              <w:pStyle w:val="Celda"/>
            </w:pPr>
            <w:r>
              <w:t xml:space="preserve">90 días</w:t>
            </w:r>
          </w:p>
        </w:tc>
        <w:tc>
          <w:tcPr>
            <w:tcW w:w="964" w:type="dxa"/>
          </w:tcPr>
          <w:p>
            <w:pPr>
              <w:pStyle w:val="Celda"/>
            </w:pPr>
            <w:r>
              <w:t xml:space="preserve">14 presentes; parcial: 8; ausente: 11</w:t>
            </w:r>
          </w:p>
        </w:tc>
        <w:tc>
          <w:tcPr>
            <w:tcW w:w="964" w:type="dxa"/>
          </w:tcPr>
          <w:p>
            <w:pPr>
              <w:pStyle w:val="Celda"/>
            </w:pPr>
            <w:r>
              <w:t xml:space="preserve">10-10-2026 · Conforme con observaciones</w:t>
            </w:r>
          </w:p>
        </w:tc>
        <w:tc>
          <w:tcPr>
            <w:tcW w:w="964" w:type="dxa"/>
          </w:tcPr>
          <w:p>
            <w:pPr>
              <w:pStyle w:val="Celda"/>
            </w:pPr>
            <w:r>
              <w:t xml:space="preserve">ISO/IEC 27001 hasta 03-2028</w:t>
            </w:r>
          </w:p>
        </w:tc>
        <w:tc>
          <w:tcPr>
            <w:tcW w:w="964" w:type="dxa"/>
          </w:tcPr>
          <w:p>
            <w:pPr>
              <w:pStyle w:val="Celda"/>
            </w:pPr>
            <w:r>
              <w:t xml:space="preserve">Documental, conforme</w:t>
            </w:r>
          </w:p>
        </w:tc>
        <w:tc>
          <w:tcPr>
            <w:tcW w:w="964" w:type="dxa"/>
          </w:tcPr>
          <w:p>
            <w:pPr>
              <w:pStyle w:val="Celda"/>
            </w:pPr>
            <w:r>
              <w:t xml:space="preserve">Captura de configuración antes de G5</w:t>
            </w:r>
          </w:p>
        </w:tc>
        <w:tc>
          <w:tcPr>
            <w:tcW w:w="964" w:type="dxa"/>
          </w:tcPr>
          <w:p>
            <w:pPr>
              <w:pStyle w:val="Celda"/>
            </w:pPr>
            <w:r>
              <w:t xml:space="preserve">No aplica</w:t>
            </w:r>
          </w:p>
        </w:tc>
      </w:tr>
    </w:tbl>
    <w:p>
      <w:pPr>
        <w:pStyle w:val="Espacio"/>
      </w:pPr>
    </w:p>
    <w:p>
      <w:pPr>
        <w:pStyle w:val="Heading2"/>
      </w:pPr>
      <w:r>
        <w:t xml:space="preserve">3.4 Riesgo, seguimiento, dependencia y estado</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Código</w:t>
            </w:r>
          </w:p>
        </w:tc>
        <w:tc>
          <w:tcPr>
            <w:tcW w:w="803" w:type="dxa"/>
            <w:shd w:val="clear" w:color="auto" w:fill="F2DFCE"/>
          </w:tcPr>
          <w:p>
            <w:pPr>
              <w:pStyle w:val="Celda"/>
            </w:pPr>
            <w:r>
              <w:rPr>
                <w:b/>
              </w:rPr>
              <w:t xml:space="preserve">Riesgos vinculados (T06)</w:t>
            </w:r>
          </w:p>
        </w:tc>
        <w:tc>
          <w:tcPr>
            <w:tcW w:w="803" w:type="dxa"/>
            <w:shd w:val="clear" w:color="auto" w:fill="F2DFCE"/>
          </w:tcPr>
          <w:p>
            <w:pPr>
              <w:pStyle w:val="Celda"/>
            </w:pPr>
            <w:r>
              <w:rPr>
                <w:b/>
              </w:rPr>
              <w:t xml:space="preserve">Nivel residual principal</w:t>
            </w:r>
          </w:p>
        </w:tc>
        <w:tc>
          <w:tcPr>
            <w:tcW w:w="803" w:type="dxa"/>
            <w:shd w:val="clear" w:color="auto" w:fill="F2DFCE"/>
          </w:tcPr>
          <w:p>
            <w:pPr>
              <w:pStyle w:val="Celda"/>
            </w:pPr>
            <w:r>
              <w:rPr>
                <w:b/>
              </w:rPr>
              <w:t xml:space="preserve">Indicadores de servicio</w:t>
            </w:r>
          </w:p>
        </w:tc>
        <w:tc>
          <w:tcPr>
            <w:tcW w:w="803" w:type="dxa"/>
            <w:shd w:val="clear" w:color="auto" w:fill="F2DFCE"/>
          </w:tcPr>
          <w:p>
            <w:pPr>
              <w:pStyle w:val="Celda"/>
            </w:pPr>
            <w:r>
              <w:rPr>
                <w:b/>
              </w:rPr>
              <w:t xml:space="preserve">Incidentes imputables</w:t>
            </w:r>
          </w:p>
        </w:tc>
        <w:tc>
          <w:tcPr>
            <w:tcW w:w="803" w:type="dxa"/>
            <w:shd w:val="clear" w:color="auto" w:fill="F2DFCE"/>
          </w:tcPr>
          <w:p>
            <w:pPr>
              <w:pStyle w:val="Celda"/>
            </w:pPr>
            <w:r>
              <w:rPr>
                <w:b/>
              </w:rPr>
              <w:t xml:space="preserve">Cambios de modelo notificados</w:t>
            </w:r>
          </w:p>
        </w:tc>
        <w:tc>
          <w:tcPr>
            <w:tcW w:w="803" w:type="dxa"/>
            <w:shd w:val="clear" w:color="auto" w:fill="F2DFCE"/>
          </w:tcPr>
          <w:p>
            <w:pPr>
              <w:pStyle w:val="Celda"/>
            </w:pPr>
            <w:r>
              <w:rPr>
                <w:b/>
              </w:rPr>
              <w:t xml:space="preserve">Última · próxima revisión</w:t>
            </w:r>
          </w:p>
        </w:tc>
        <w:tc>
          <w:tcPr>
            <w:tcW w:w="803" w:type="dxa"/>
            <w:shd w:val="clear" w:color="auto" w:fill="F2DFCE"/>
          </w:tcPr>
          <w:p>
            <w:pPr>
              <w:pStyle w:val="Celda"/>
            </w:pPr>
            <w:r>
              <w:rPr>
                <w:b/>
              </w:rPr>
              <w:t xml:space="preserve">Sustituibilidad estimada</w:t>
            </w:r>
          </w:p>
        </w:tc>
        <w:tc>
          <w:tcPr>
            <w:tcW w:w="803" w:type="dxa"/>
            <w:shd w:val="clear" w:color="auto" w:fill="F2DFCE"/>
          </w:tcPr>
          <w:p>
            <w:pPr>
              <w:pStyle w:val="Celda"/>
            </w:pPr>
            <w:r>
              <w:rPr>
                <w:b/>
              </w:rPr>
              <w:t xml:space="preserve">Alternativa identificada</w:t>
            </w:r>
          </w:p>
        </w:tc>
        <w:tc>
          <w:tcPr>
            <w:tcW w:w="803" w:type="dxa"/>
            <w:shd w:val="clear" w:color="auto" w:fill="F2DFCE"/>
          </w:tcPr>
          <w:p>
            <w:pPr>
              <w:pStyle w:val="Celda"/>
            </w:pPr>
            <w:r>
              <w:rPr>
                <w:b/>
              </w:rPr>
              <w:t xml:space="preserve">Plan de salida (fecha de prueba)</w:t>
            </w:r>
          </w:p>
        </w:tc>
        <w:tc>
          <w:tcPr>
            <w:tcW w:w="803" w:type="dxa"/>
            <w:shd w:val="clear" w:color="auto" w:fill="F2DFCE"/>
          </w:tcPr>
          <w:p>
            <w:pPr>
              <w:pStyle w:val="Celda"/>
            </w:pPr>
            <w:r>
              <w:rPr>
                <w:b/>
              </w:rPr>
              <w:t xml:space="preserve">Valor de cartera dependiente</w:t>
            </w:r>
          </w:p>
        </w:tc>
        <w:tc>
          <w:tcPr>
            <w:tcW w:w="803" w:type="dxa"/>
            <w:shd w:val="clear" w:color="auto" w:fill="F2DFCE"/>
          </w:tcPr>
          <w:p>
            <w:pPr>
              <w:pStyle w:val="Celda"/>
            </w:pPr>
            <w:r>
              <w:rPr>
                <w:b/>
              </w:rPr>
              <w:t xml:space="preserve">Estado</w:t>
            </w:r>
          </w:p>
        </w:tc>
      </w:tr>
      <w:tr>
        <w:tc>
          <w:tcPr>
            <w:tcW w:w="803" w:type="dxa"/>
          </w:tcPr>
          <w:p>
            <w:pPr>
              <w:pStyle w:val="Celda"/>
            </w:pPr>
          </w:p>
        </w:tc>
        <w:tc>
          <w:tcPr>
            <w:tcW w:w="803" w:type="dxa"/>
          </w:tcPr>
          <w:p>
            <w:pPr>
              <w:pStyle w:val="Celda"/>
            </w:pPr>
            <w:r>
              <w:t xml:space="preserve">RT-TER-NN · IA-AAAA-NNN · Rnn</w:t>
            </w:r>
          </w:p>
        </w:tc>
        <w:tc>
          <w:tcPr>
            <w:tcW w:w="803" w:type="dxa"/>
          </w:tcPr>
          <w:p>
            <w:pPr>
              <w:pStyle w:val="Celda"/>
            </w:pPr>
            <w:r>
              <w:t xml:space="preserve">Bajo · Medio · Alto · Crítico</w:t>
            </w:r>
          </w:p>
        </w:tc>
        <w:tc>
          <w:tcPr>
            <w:tcW w:w="803" w:type="dxa"/>
          </w:tcPr>
          <w:p>
            <w:pPr>
              <w:pStyle w:val="Celda"/>
            </w:pPr>
          </w:p>
        </w:tc>
        <w:tc>
          <w:tcPr>
            <w:tcW w:w="803" w:type="dxa"/>
          </w:tcPr>
          <w:p>
            <w:pPr>
              <w:pStyle w:val="Celda"/>
            </w:pPr>
            <w:r>
              <w:t xml:space="preserve">INC-AAAA-NNN</w:t>
            </w: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r>
              <w:t xml:space="preserve">Sí · No</w:t>
            </w:r>
          </w:p>
        </w:tc>
        <w:tc>
          <w:tcPr>
            <w:tcW w:w="803" w:type="dxa"/>
          </w:tcPr>
          <w:p>
            <w:pPr>
              <w:pStyle w:val="Celda"/>
            </w:pPr>
          </w:p>
        </w:tc>
        <w:tc>
          <w:tcPr>
            <w:tcW w:w="803" w:type="dxa"/>
          </w:tcPr>
          <w:p>
            <w:pPr>
              <w:pStyle w:val="Celda"/>
            </w:pPr>
            <w:r>
              <w:t xml:space="preserve">En evaluación · Aprobado · Aprobado con condiciones · Rechazado · En salida · Finalizado</w:t>
            </w:r>
          </w:p>
        </w:tc>
      </w:tr>
      <w:tr>
        <w:tc>
          <w:tcPr>
            <w:tcW w:w="803" w:type="dxa"/>
          </w:tcPr>
          <w:p>
            <w:pPr>
              <w:pStyle w:val="Celda"/>
            </w:pPr>
            <w:r>
              <w:rPr>
                <w:i/>
              </w:rPr>
              <w:t xml:space="preserve">(ejemplo ilustrativo)</w:t>
            </w:r>
            <w:r>
              <w:t xml:space="preserve"> PRV-2026-003</w:t>
            </w:r>
          </w:p>
        </w:tc>
        <w:tc>
          <w:tcPr>
            <w:tcW w:w="803" w:type="dxa"/>
          </w:tcPr>
          <w:p>
            <w:pPr>
              <w:pStyle w:val="Celda"/>
            </w:pPr>
            <w:r>
              <w:t xml:space="preserve">RT-TER-01, RT-TER-03</w:t>
            </w:r>
          </w:p>
        </w:tc>
        <w:tc>
          <w:tcPr>
            <w:tcW w:w="803" w:type="dxa"/>
          </w:tcPr>
          <w:p>
            <w:pPr>
              <w:pStyle w:val="Celda"/>
            </w:pPr>
            <w:r>
              <w:t xml:space="preserve">Medio</w:t>
            </w:r>
          </w:p>
        </w:tc>
        <w:tc>
          <w:tcPr>
            <w:tcW w:w="803" w:type="dxa"/>
          </w:tcPr>
          <w:p>
            <w:pPr>
              <w:pStyle w:val="Celda"/>
            </w:pPr>
            <w:r>
              <w:t xml:space="preserve">Disponibilidad 99,8 %</w:t>
            </w:r>
          </w:p>
        </w:tc>
        <w:tc>
          <w:tcPr>
            <w:tcW w:w="803" w:type="dxa"/>
          </w:tcPr>
          <w:p>
            <w:pPr>
              <w:pStyle w:val="Celda"/>
            </w:pPr>
            <w:r>
              <w:t xml:space="preserve">Ninguno</w:t>
            </w:r>
          </w:p>
        </w:tc>
        <w:tc>
          <w:tcPr>
            <w:tcW w:w="803" w:type="dxa"/>
          </w:tcPr>
          <w:p>
            <w:pPr>
              <w:pStyle w:val="Celda"/>
            </w:pPr>
            <w:r>
              <w:t xml:space="preserve">1 (evaluado antes de su efecto)</w:t>
            </w:r>
          </w:p>
        </w:tc>
        <w:tc>
          <w:tcPr>
            <w:tcW w:w="803" w:type="dxa"/>
          </w:tcPr>
          <w:p>
            <w:pPr>
              <w:pStyle w:val="Celda"/>
            </w:pPr>
            <w:r>
              <w:t xml:space="preserve">15-01-2027 · 15-07-2027</w:t>
            </w:r>
          </w:p>
        </w:tc>
        <w:tc>
          <w:tcPr>
            <w:tcW w:w="803" w:type="dxa"/>
          </w:tcPr>
          <w:p>
            <w:pPr>
              <w:pStyle w:val="Celda"/>
            </w:pPr>
            <w:r>
              <w:t xml:space="preserve">6 meses</w:t>
            </w:r>
          </w:p>
        </w:tc>
        <w:tc>
          <w:tcPr>
            <w:tcW w:w="803" w:type="dxa"/>
          </w:tcPr>
          <w:p>
            <w:pPr>
              <w:pStyle w:val="Celda"/>
            </w:pPr>
            <w:r>
              <w:t xml:space="preserve">Proveedor Beta (ficticio)</w:t>
            </w:r>
          </w:p>
        </w:tc>
        <w:tc>
          <w:tcPr>
            <w:tcW w:w="803" w:type="dxa"/>
          </w:tcPr>
          <w:p>
            <w:pPr>
              <w:pStyle w:val="Celda"/>
            </w:pPr>
            <w:r>
              <w:t xml:space="preserve">Sí (sin prueba; N2)</w:t>
            </w:r>
          </w:p>
        </w:tc>
        <w:tc>
          <w:tcPr>
            <w:tcW w:w="803" w:type="dxa"/>
          </w:tcPr>
          <w:p>
            <w:pPr>
              <w:pStyle w:val="Celda"/>
            </w:pPr>
            <w:r>
              <w:t xml:space="preserve">8 % del valor validado</w:t>
            </w:r>
          </w:p>
        </w:tc>
        <w:tc>
          <w:tcPr>
            <w:tcW w:w="803" w:type="dxa"/>
          </w:tcPr>
          <w:p>
            <w:pPr>
              <w:pStyle w:val="Celda"/>
            </w:pPr>
            <w:r>
              <w:t xml:space="preserve">Aprobado con condiciones</w:t>
            </w:r>
          </w:p>
        </w:tc>
      </w:tr>
    </w:tbl>
    <w:p>
      <w:pPr>
        <w:pStyle w:val="Espacio"/>
      </w:pPr>
    </w:p>
    <w:p>
      <w:pPr>
        <w:pStyle w:val="Heading2"/>
      </w:pPr>
      <w:r>
        <w:t xml:space="preserve">3.5 Subencargados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Código PRV</w:t>
            </w:r>
          </w:p>
        </w:tc>
        <w:tc>
          <w:tcPr>
            <w:tcW w:w="1606" w:type="dxa"/>
            <w:shd w:val="clear" w:color="auto" w:fill="F2DFCE"/>
          </w:tcPr>
          <w:p>
            <w:pPr>
              <w:pStyle w:val="Celda"/>
            </w:pPr>
            <w:r>
              <w:rPr>
                <w:b/>
              </w:rPr>
              <w:t xml:space="preserve">Subencargado</w:t>
            </w:r>
          </w:p>
        </w:tc>
        <w:tc>
          <w:tcPr>
            <w:tcW w:w="1606" w:type="dxa"/>
            <w:shd w:val="clear" w:color="auto" w:fill="F2DFCE"/>
          </w:tcPr>
          <w:p>
            <w:pPr>
              <w:pStyle w:val="Celda"/>
            </w:pPr>
            <w:r>
              <w:rPr>
                <w:b/>
              </w:rPr>
              <w:t xml:space="preserve">Ubicación</w:t>
            </w:r>
          </w:p>
        </w:tc>
        <w:tc>
          <w:tcPr>
            <w:tcW w:w="1606" w:type="dxa"/>
            <w:shd w:val="clear" w:color="auto" w:fill="F2DFCE"/>
          </w:tcPr>
          <w:p>
            <w:pPr>
              <w:pStyle w:val="Celda"/>
            </w:pPr>
            <w:r>
              <w:rPr>
                <w:b/>
              </w:rPr>
              <w:t xml:space="preserve">Función</w:t>
            </w:r>
          </w:p>
        </w:tc>
        <w:tc>
          <w:tcPr>
            <w:tcW w:w="1606" w:type="dxa"/>
            <w:shd w:val="clear" w:color="auto" w:fill="F2DFCE"/>
          </w:tcPr>
          <w:p>
            <w:pPr>
              <w:pStyle w:val="Celda"/>
            </w:pPr>
            <w:r>
              <w:rPr>
                <w:b/>
              </w:rPr>
              <w:t xml:space="preserve">¿Subcontrata una función crítica?</w:t>
            </w:r>
          </w:p>
        </w:tc>
        <w:tc>
          <w:tcPr>
            <w:tcW w:w="1606" w:type="dxa"/>
            <w:shd w:val="clear" w:color="auto" w:fill="F2DFCE"/>
          </w:tcPr>
          <w:p>
            <w:pPr>
              <w:pStyle w:val="Celda"/>
            </w:pPr>
            <w:r>
              <w:rPr>
                <w:b/>
              </w:rPr>
              <w:t xml:space="preserve">¿Común a otros proveedores N2 o N3?</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Sí · No</w:t>
            </w:r>
          </w:p>
        </w:tc>
        <w:tc>
          <w:tcPr>
            <w:tcW w:w="1606" w:type="dxa"/>
          </w:tcPr>
          <w:p>
            <w:pPr>
              <w:pStyle w:val="Celda"/>
            </w:pPr>
            <w:r>
              <w:t xml:space="preserve">Sí · No</w:t>
            </w:r>
          </w:p>
        </w:tc>
      </w:tr>
    </w:tbl>
    <w:p>
      <w:pPr>
        <w:pStyle w:val="Espacio"/>
      </w:pPr>
    </w:p>
    <w:p>
      <w:pPr>
        <w:pStyle w:val="Heading2"/>
      </w:pPr>
      <w:r>
        <w:t xml:space="preserve">3.6 Historial</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Código PRV</w:t>
            </w:r>
          </w:p>
        </w:tc>
        <w:tc>
          <w:tcPr>
            <w:tcW w:w="1928" w:type="dxa"/>
            <w:shd w:val="clear" w:color="auto" w:fill="F2DFCE"/>
          </w:tcPr>
          <w:p>
            <w:pPr>
              <w:pStyle w:val="Celda"/>
            </w:pPr>
            <w:r>
              <w:rPr>
                <w:b/>
              </w:rPr>
              <w:t xml:space="preserve">Evento</w:t>
            </w:r>
          </w:p>
        </w:tc>
        <w:tc>
          <w:tcPr>
            <w:tcW w:w="1928" w:type="dxa"/>
            <w:shd w:val="clear" w:color="auto" w:fill="F2DFCE"/>
          </w:tcPr>
          <w:p>
            <w:pPr>
              <w:pStyle w:val="Celda"/>
            </w:pPr>
            <w:r>
              <w:rPr>
                <w:b/>
              </w:rPr>
              <w:t xml:space="preserve">Autor</w:t>
            </w:r>
          </w:p>
        </w:tc>
        <w:tc>
          <w:tcPr>
            <w:tcW w:w="1928" w:type="dxa"/>
            <w:shd w:val="clear" w:color="auto" w:fill="F2DFCE"/>
          </w:tcPr>
          <w:p>
            <w:pPr>
              <w:pStyle w:val="Celda"/>
            </w:pPr>
            <w:r>
              <w:rPr>
                <w:b/>
              </w:rPr>
              <w:t xml:space="preserve">Motivo</w:t>
            </w:r>
          </w:p>
        </w:tc>
      </w:tr>
      <w:tr>
        <w:tc>
          <w:tcPr>
            <w:tcW w:w="1928" w:type="dxa"/>
          </w:tcPr>
          <w:p>
            <w:pPr>
              <w:pStyle w:val="Celda"/>
            </w:pPr>
          </w:p>
        </w:tc>
        <w:tc>
          <w:tcPr>
            <w:tcW w:w="1928" w:type="dxa"/>
          </w:tcPr>
          <w:p>
            <w:pPr>
              <w:pStyle w:val="Celda"/>
            </w:pPr>
          </w:p>
        </w:tc>
        <w:tc>
          <w:tcPr>
            <w:tcW w:w="1928" w:type="dxa"/>
          </w:tcPr>
          <w:p>
            <w:pPr>
              <w:pStyle w:val="Celda"/>
            </w:pPr>
            <w:r>
              <w:t xml:space="preserve">Alta · Cambio de nivel · Revisión · Disparador · Incidente · Cambio de estado · Salida</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Concentración y dependencia de cartera</w:t>
      </w:r>
    </w:p>
    <w:p>
      <w:r>
        <w:t xml:space="preserve">Indicadores de 36 §7.2, medidos en cartera (33 §10). Cuando se supera un límite, el comité de IA decide entre diversificar, reforzar la salida o aceptar el riesgo (33 §7).</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Indicador</w:t>
            </w:r>
          </w:p>
        </w:tc>
        <w:tc>
          <w:tcPr>
            <w:tcW w:w="1928" w:type="dxa"/>
            <w:shd w:val="clear" w:color="auto" w:fill="F2DFCE"/>
          </w:tcPr>
          <w:p>
            <w:pPr>
              <w:pStyle w:val="Celda"/>
            </w:pPr>
            <w:r>
              <w:rPr>
                <w:b/>
              </w:rPr>
              <w:t xml:space="preserve">Valor por proveedor</w:t>
            </w:r>
          </w:p>
        </w:tc>
        <w:tc>
          <w:tcPr>
            <w:tcW w:w="1928" w:type="dxa"/>
            <w:shd w:val="clear" w:color="auto" w:fill="F2DFCE"/>
          </w:tcPr>
          <w:p>
            <w:pPr>
              <w:pStyle w:val="Celda"/>
            </w:pPr>
            <w:r>
              <w:rPr>
                <w:b/>
              </w:rPr>
              <w:t xml:space="preserve">Límite aprobado (C2)</w:t>
            </w:r>
          </w:p>
        </w:tc>
        <w:tc>
          <w:tcPr>
            <w:tcW w:w="1928" w:type="dxa"/>
            <w:shd w:val="clear" w:color="auto" w:fill="F2DFCE"/>
          </w:tcPr>
          <w:p>
            <w:pPr>
              <w:pStyle w:val="Celda"/>
            </w:pPr>
            <w:r>
              <w:rPr>
                <w:b/>
              </w:rPr>
              <w:t xml:space="preserve">Situación</w:t>
            </w:r>
          </w:p>
        </w:tc>
        <w:tc>
          <w:tcPr>
            <w:tcW w:w="1928" w:type="dxa"/>
            <w:shd w:val="clear" w:color="auto" w:fill="F2DFCE"/>
          </w:tcPr>
          <w:p>
            <w:pPr>
              <w:pStyle w:val="Celda"/>
            </w:pPr>
            <w:r>
              <w:rPr>
                <w:b/>
              </w:rPr>
              <w:t xml:space="preserve">Decisión del comité de IA</w:t>
            </w:r>
          </w:p>
        </w:tc>
      </w:tr>
      <w:tr>
        <w:tc>
          <w:tcPr>
            <w:tcW w:w="1928" w:type="dxa"/>
          </w:tcPr>
          <w:p>
            <w:pPr>
              <w:pStyle w:val="Celda"/>
            </w:pPr>
            <w:r>
              <w:t xml:space="preserve">Sistemas en producción por proveedor de modelos y de plataforma</w:t>
            </w:r>
          </w:p>
        </w:tc>
        <w:tc>
          <w:tcPr>
            <w:tcW w:w="1928" w:type="dxa"/>
          </w:tcPr>
          <w:p>
            <w:pPr>
              <w:pStyle w:val="Celda"/>
            </w:pPr>
          </w:p>
        </w:tc>
        <w:tc>
          <w:tcPr>
            <w:tcW w:w="1928" w:type="dxa"/>
          </w:tcPr>
          <w:p>
            <w:pPr>
              <w:pStyle w:val="Celda"/>
            </w:pPr>
          </w:p>
        </w:tc>
        <w:tc>
          <w:tcPr>
            <w:tcW w:w="1928" w:type="dxa"/>
          </w:tcPr>
          <w:p>
            <w:pPr>
              <w:pStyle w:val="Celda"/>
            </w:pPr>
            <w:r>
              <w:t xml:space="preserve">Dentro · Superado</w:t>
            </w:r>
          </w:p>
        </w:tc>
        <w:tc>
          <w:tcPr>
            <w:tcW w:w="1928" w:type="dxa"/>
          </w:tcPr>
          <w:p>
            <w:pPr>
              <w:pStyle w:val="Celda"/>
            </w:pPr>
          </w:p>
        </w:tc>
      </w:tr>
      <w:tr>
        <w:tc>
          <w:tcPr>
            <w:tcW w:w="1928" w:type="dxa"/>
          </w:tcPr>
          <w:p>
            <w:pPr>
              <w:pStyle w:val="Celda"/>
            </w:pPr>
            <w:r>
              <w:t xml:space="preserve">Valor dependiente (proporción del valor validado)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Funciones críticas o importantes dependientes</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Proveedores N3 sin salida probada (número y antigüedad)</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Subencargados comunes a varios proveedores N2 o N3</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Información trimestral al consejo o su comisión delegada (36 §10): concentración, proveedores N3 sin salida probada, incidentes S1 y S2 imputables a terceros y aceptaciones de riesgos de terceros de nivel Alto.</w:t>
      </w:r>
    </w:p>
    <w:p>
      <w:pPr>
        <w:pStyle w:val="Separador"/>
      </w:pPr>
    </w:p>
    <w:p>
      <w:pPr>
        <w:pStyle w:val="Heading1"/>
      </w:pPr>
      <w:r>
        <w:t xml:space="preserve">5. Acta de revisión periódica del proveedor</w:t>
      </w:r>
    </w:p>
    <w:p>
      <w:r>
        <w:t xml:space="preserve">Una por revisión y por relación (36 §5, etapa 5). Periodicidad según el nivel (sección 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PRV y proveedor</w:t>
            </w:r>
          </w:p>
        </w:tc>
        <w:tc>
          <w:tcPr>
            <w:tcW w:w="3213" w:type="dxa"/>
          </w:tcPr>
          <w:p>
            <w:pPr>
              <w:pStyle w:val="Celda"/>
            </w:pPr>
          </w:p>
        </w:tc>
        <w:tc>
          <w:tcPr>
            <w:tcW w:w="3213" w:type="dxa"/>
          </w:tcPr>
          <w:p>
            <w:pPr>
              <w:pStyle w:val="Celda"/>
            </w:pPr>
          </w:p>
        </w:tc>
      </w:tr>
      <w:tr>
        <w:tc>
          <w:tcPr>
            <w:tcW w:w="3213" w:type="dxa"/>
          </w:tcPr>
          <w:p>
            <w:pPr>
              <w:pStyle w:val="Celda"/>
            </w:pPr>
            <w:r>
              <w:t xml:space="preserve">Fecha y tipo de revisión</w:t>
            </w:r>
          </w:p>
        </w:tc>
        <w:tc>
          <w:tcPr>
            <w:tcW w:w="3213" w:type="dxa"/>
          </w:tcPr>
          <w:p>
            <w:pPr>
              <w:pStyle w:val="Celda"/>
            </w:pPr>
          </w:p>
        </w:tc>
        <w:tc>
          <w:tcPr>
            <w:tcW w:w="3213" w:type="dxa"/>
          </w:tcPr>
          <w:p>
            <w:pPr>
              <w:pStyle w:val="Celda"/>
            </w:pPr>
            <w:r>
              <w:t xml:space="preserve">Periódica · Por disparador · Previa a la renovación.</w:t>
            </w:r>
          </w:p>
        </w:tc>
      </w:tr>
      <w:tr>
        <w:tc>
          <w:tcPr>
            <w:tcW w:w="3213" w:type="dxa"/>
          </w:tcPr>
          <w:p>
            <w:pPr>
              <w:pStyle w:val="Celda"/>
            </w:pPr>
            <w:r>
              <w:t xml:space="preserve">Asistentes</w:t>
            </w:r>
          </w:p>
        </w:tc>
        <w:tc>
          <w:tcPr>
            <w:tcW w:w="3213" w:type="dxa"/>
          </w:tcPr>
          <w:p>
            <w:pPr>
              <w:pStyle w:val="Celda"/>
            </w:pPr>
          </w:p>
        </w:tc>
        <w:tc>
          <w:tcPr>
            <w:tcW w:w="3213" w:type="dxa"/>
          </w:tcPr>
          <w:p>
            <w:pPr>
              <w:pStyle w:val="Celda"/>
            </w:pPr>
            <w:r>
              <w:t xml:space="preserve">Gestor de la relación, responsable de operación de IA y, en N3, representantes del proveedor (reunión de gobierno de la relación).</w:t>
            </w:r>
          </w:p>
        </w:tc>
      </w:tr>
      <w:tr>
        <w:tc>
          <w:tcPr>
            <w:tcW w:w="3213" w:type="dxa"/>
          </w:tcPr>
          <w:p>
            <w:pPr>
              <w:pStyle w:val="Celda"/>
            </w:pPr>
            <w:r>
              <w:t xml:space="preserve">Indicadores de servicio del periodo</w:t>
            </w:r>
          </w:p>
        </w:tc>
        <w:tc>
          <w:tcPr>
            <w:tcW w:w="3213" w:type="dxa"/>
          </w:tcPr>
          <w:p>
            <w:pPr>
              <w:pStyle w:val="Celda"/>
            </w:pPr>
          </w:p>
        </w:tc>
        <w:tc>
          <w:tcPr>
            <w:tcW w:w="3213" w:type="dxa"/>
          </w:tcPr>
          <w:p>
            <w:pPr>
              <w:pStyle w:val="Celda"/>
            </w:pPr>
            <w:r>
              <w:t xml:space="preserve">Frente a los niveles de la cláusula 9.</w:t>
            </w:r>
          </w:p>
        </w:tc>
      </w:tr>
      <w:tr>
        <w:tc>
          <w:tcPr>
            <w:tcW w:w="3213" w:type="dxa"/>
          </w:tcPr>
          <w:p>
            <w:pPr>
              <w:pStyle w:val="Celda"/>
            </w:pPr>
            <w:r>
              <w:t xml:space="preserve">Incidentes imputables</w:t>
            </w:r>
          </w:p>
        </w:tc>
        <w:tc>
          <w:tcPr>
            <w:tcW w:w="3213" w:type="dxa"/>
          </w:tcPr>
          <w:p>
            <w:pPr>
              <w:pStyle w:val="Celda"/>
            </w:pPr>
          </w:p>
        </w:tc>
        <w:tc>
          <w:tcPr>
            <w:tcW w:w="3213" w:type="dxa"/>
          </w:tcPr>
          <w:p>
            <w:pPr>
              <w:pStyle w:val="Celda"/>
            </w:pPr>
            <w:r>
              <w:t xml:space="preserve">INC-AAAA-NNN y severidad.</w:t>
            </w:r>
          </w:p>
        </w:tc>
      </w:tr>
      <w:tr>
        <w:tc>
          <w:tcPr>
            <w:tcW w:w="3213" w:type="dxa"/>
          </w:tcPr>
          <w:p>
            <w:pPr>
              <w:pStyle w:val="Celda"/>
            </w:pPr>
            <w:r>
              <w:t xml:space="preserve">Cambios de modelo, versiones y retiradas</w:t>
            </w:r>
          </w:p>
        </w:tc>
        <w:tc>
          <w:tcPr>
            <w:tcW w:w="3213" w:type="dxa"/>
          </w:tcPr>
          <w:p>
            <w:pPr>
              <w:pStyle w:val="Celda"/>
            </w:pPr>
          </w:p>
        </w:tc>
        <w:tc>
          <w:tcPr>
            <w:tcW w:w="3213" w:type="dxa"/>
          </w:tcPr>
          <w:p>
            <w:pPr>
              <w:pStyle w:val="Celda"/>
            </w:pPr>
            <w:r>
              <w:t xml:space="preserve">¿Se notificaron y evaluaron antes de su efecto?</w:t>
            </w:r>
          </w:p>
        </w:tc>
      </w:tr>
      <w:tr>
        <w:tc>
          <w:tcPr>
            <w:tcW w:w="3213" w:type="dxa"/>
          </w:tcPr>
          <w:p>
            <w:pPr>
              <w:pStyle w:val="Celda"/>
            </w:pPr>
            <w:r>
              <w:t xml:space="preserve">Cambios de subencargados o ubicación</w:t>
            </w:r>
          </w:p>
        </w:tc>
        <w:tc>
          <w:tcPr>
            <w:tcW w:w="3213" w:type="dxa"/>
          </w:tcPr>
          <w:p>
            <w:pPr>
              <w:pStyle w:val="Celda"/>
            </w:pPr>
          </w:p>
        </w:tc>
        <w:tc>
          <w:tcPr>
            <w:tcW w:w="3213" w:type="dxa"/>
          </w:tcPr>
          <w:p>
            <w:pPr>
              <w:pStyle w:val="Celda"/>
            </w:pPr>
          </w:p>
        </w:tc>
      </w:tr>
      <w:tr>
        <w:tc>
          <w:tcPr>
            <w:tcW w:w="3213" w:type="dxa"/>
          </w:tcPr>
          <w:p>
            <w:pPr>
              <w:pStyle w:val="Celda"/>
            </w:pPr>
            <w:r>
              <w:t xml:space="preserve">Cumplimiento del contrato</w:t>
            </w:r>
          </w:p>
        </w:tc>
        <w:tc>
          <w:tcPr>
            <w:tcW w:w="3213" w:type="dxa"/>
          </w:tcPr>
          <w:p>
            <w:pPr>
              <w:pStyle w:val="Celda"/>
            </w:pPr>
          </w:p>
        </w:tc>
        <w:tc>
          <w:tcPr>
            <w:tcW w:w="3213" w:type="dxa"/>
          </w:tcPr>
          <w:p>
            <w:pPr>
              <w:pStyle w:val="Celda"/>
            </w:pPr>
            <w:r>
              <w:t xml:space="preserve">Cláusulas incumplidas o parciales.</w:t>
            </w:r>
          </w:p>
        </w:tc>
      </w:tr>
      <w:tr>
        <w:tc>
          <w:tcPr>
            <w:tcW w:w="3213" w:type="dxa"/>
          </w:tcPr>
          <w:p>
            <w:pPr>
              <w:pStyle w:val="Celda"/>
            </w:pPr>
            <w:r>
              <w:t xml:space="preserve">Funciones de IA nuevas (IA embebida)</w:t>
            </w:r>
          </w:p>
        </w:tc>
        <w:tc>
          <w:tcPr>
            <w:tcW w:w="3213" w:type="dxa"/>
          </w:tcPr>
          <w:p>
            <w:pPr>
              <w:pStyle w:val="Celda"/>
            </w:pPr>
          </w:p>
        </w:tc>
        <w:tc>
          <w:tcPr>
            <w:tcW w:w="3213" w:type="dxa"/>
          </w:tcPr>
          <w:p>
            <w:pPr>
              <w:pStyle w:val="Celda"/>
            </w:pPr>
            <w:r>
              <w:t xml:space="preserve">Revisión de actualizaciones y configuración (36 §8.1, paso 6).</w:t>
            </w:r>
          </w:p>
        </w:tc>
      </w:tr>
      <w:tr>
        <w:tc>
          <w:tcPr>
            <w:tcW w:w="3213" w:type="dxa"/>
          </w:tcPr>
          <w:p>
            <w:pPr>
              <w:pStyle w:val="Celda"/>
            </w:pPr>
            <w:r>
              <w:t xml:space="preserve">Disparadores de reevaluación</w:t>
            </w:r>
          </w:p>
        </w:tc>
        <w:tc>
          <w:tcPr>
            <w:tcW w:w="3213" w:type="dxa"/>
          </w:tcPr>
          <w:p>
            <w:pPr>
              <w:pStyle w:val="Celda"/>
            </w:pPr>
          </w:p>
        </w:tc>
        <w:tc>
          <w:tcPr>
            <w:tcW w:w="3213" w:type="dxa"/>
          </w:tcPr>
          <w:p>
            <w:pPr>
              <w:pStyle w:val="Celda"/>
            </w:pPr>
            <w:r>
              <w:t xml:space="preserve">Cambio de modelo o versión principal · cambio de subencargados o ubicación · incidente S1 o S2 · cambio de propiedad · cambio de uso o de autonomía · nueva obligación regulatoria · deterioro de indicadores · aviso de retirada de un modelo (36 §5).</w:t>
            </w:r>
          </w:p>
        </w:tc>
      </w:tr>
      <w:tr>
        <w:tc>
          <w:tcPr>
            <w:tcW w:w="3213" w:type="dxa"/>
          </w:tcPr>
          <w:p>
            <w:pPr>
              <w:pStyle w:val="Celda"/>
            </w:pPr>
            <w:r>
              <w:t xml:space="preserve">Reevaluación del nivel</w:t>
            </w:r>
          </w:p>
        </w:tc>
        <w:tc>
          <w:tcPr>
            <w:tcW w:w="3213" w:type="dxa"/>
          </w:tcPr>
          <w:p>
            <w:pPr>
              <w:pStyle w:val="Celda"/>
            </w:pPr>
          </w:p>
        </w:tc>
        <w:tc>
          <w:tcPr>
            <w:tcW w:w="3213" w:type="dxa"/>
          </w:tcPr>
          <w:p>
            <w:pPr>
              <w:pStyle w:val="Celda"/>
            </w:pPr>
            <w:r>
              <w:t xml:space="preserve">Se mantiene · Cambia a N*n* (actualizar P14 y, si procede, P55).</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Continuar · Continuar con condiciones · Activar el plan de salida.</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Acuerdo o acción</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Plazo</w:t>
            </w:r>
          </w:p>
        </w:tc>
        <w:tc>
          <w:tcPr>
            <w:tcW w:w="1928" w:type="dxa"/>
            <w:shd w:val="clear" w:color="auto" w:fill="F2DFCE"/>
          </w:tcPr>
          <w:p>
            <w:pPr>
              <w:pStyle w:val="Celda"/>
            </w:pPr>
            <w:r>
              <w:rPr>
                <w:b/>
              </w:rPr>
              <w:t xml:space="preserve">Estado</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Abierta · Cumplida · Vencida</w:t>
            </w:r>
          </w:p>
        </w:tc>
      </w:tr>
      <w:tr>
        <w:tc>
          <w:tcPr>
            <w:tcW w:w="1928" w:type="dxa"/>
          </w:tcPr>
          <w:p>
            <w:pPr>
              <w:pStyle w:val="Celda"/>
            </w:pPr>
            <w:r>
              <w:rPr>
                <w:i/>
              </w:rPr>
              <w:t xml:space="preserve">(ejemplo ilustrativo)</w:t>
            </w:r>
            <w:r>
              <w:t xml:space="preserve"> 1</w:t>
            </w:r>
          </w:p>
        </w:tc>
        <w:tc>
          <w:tcPr>
            <w:tcW w:w="1928" w:type="dxa"/>
          </w:tcPr>
          <w:p>
            <w:pPr>
              <w:pStyle w:val="Celda"/>
            </w:pPr>
            <w:r>
              <w:t xml:space="preserve">Evaluar la nueva versión anunciada con el conjunto de evaluación propio antes de su efecto</w:t>
            </w:r>
          </w:p>
        </w:tc>
        <w:tc>
          <w:tcPr>
            <w:tcW w:w="1928" w:type="dxa"/>
          </w:tcPr>
          <w:p>
            <w:pPr>
              <w:pStyle w:val="Celda"/>
            </w:pPr>
            <w:r>
              <w:t xml:space="preserve">Responsable técnico de IA</w:t>
            </w:r>
          </w:p>
        </w:tc>
        <w:tc>
          <w:tcPr>
            <w:tcW w:w="1928" w:type="dxa"/>
          </w:tcPr>
          <w:p>
            <w:pPr>
              <w:pStyle w:val="Celda"/>
            </w:pPr>
            <w:r>
              <w:t xml:space="preserve">30-06-2027</w:t>
            </w:r>
          </w:p>
        </w:tc>
        <w:tc>
          <w:tcPr>
            <w:tcW w:w="1928" w:type="dxa"/>
          </w:tcPr>
          <w:p>
            <w:pPr>
              <w:pStyle w:val="Celda"/>
            </w:pPr>
            <w:r>
              <w:t xml:space="preserve">Abierta</w:t>
            </w:r>
          </w:p>
        </w:tc>
      </w:tr>
    </w:tbl>
    <w:p>
      <w:pPr>
        <w:pStyle w:val="Espacio"/>
      </w:pPr>
    </w:p>
    <w:p>
      <w:pPr>
        <w:pStyle w:val="Separador"/>
      </w:pPr>
    </w:p>
    <w:p>
      <w:pPr>
        <w:pStyle w:val="Heading1"/>
      </w:pPr>
      <w:r>
        <w:t xml:space="preserve">6. Plan de salida</w:t>
      </w:r>
    </w:p>
    <w:p>
      <w:r>
        <w:t xml:space="preserve">Uno por relación N2 o N3 (36 §4.2). Se documenta en la integración y se revisa en cada revisión periódica.</w:t>
      </w:r>
    </w:p>
    <w:p>
      <w:pPr>
        <w:pStyle w:val="Heading2"/>
      </w:pPr>
      <w:r>
        <w:t xml:space="preserve">6.1 Planteamiento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PRV y servicio</w:t>
            </w:r>
          </w:p>
        </w:tc>
        <w:tc>
          <w:tcPr>
            <w:tcW w:w="3213" w:type="dxa"/>
          </w:tcPr>
          <w:p>
            <w:pPr>
              <w:pStyle w:val="Celda"/>
            </w:pPr>
          </w:p>
        </w:tc>
        <w:tc>
          <w:tcPr>
            <w:tcW w:w="3213" w:type="dxa"/>
          </w:tcPr>
          <w:p>
            <w:pPr>
              <w:pStyle w:val="Celda"/>
            </w:pPr>
          </w:p>
        </w:tc>
      </w:tr>
      <w:tr>
        <w:tc>
          <w:tcPr>
            <w:tcW w:w="3213" w:type="dxa"/>
          </w:tcPr>
          <w:p>
            <w:pPr>
              <w:pStyle w:val="Celda"/>
            </w:pPr>
            <w:r>
              <w:t xml:space="preserve">Causas de activación</w:t>
            </w:r>
          </w:p>
        </w:tc>
        <w:tc>
          <w:tcPr>
            <w:tcW w:w="3213" w:type="dxa"/>
          </w:tcPr>
          <w:p>
            <w:pPr>
              <w:pStyle w:val="Celda"/>
            </w:pPr>
          </w:p>
        </w:tc>
        <w:tc>
          <w:tcPr>
            <w:tcW w:w="3213" w:type="dxa"/>
          </w:tcPr>
          <w:p>
            <w:pPr>
              <w:pStyle w:val="Celda"/>
            </w:pPr>
            <w:r>
              <w:t xml:space="preserve">Terminación, incumplimiento grave, cambio regulatorio, disparador no resuelto, decisión de retirar en G7 (P30).</w:t>
            </w:r>
          </w:p>
        </w:tc>
      </w:tr>
      <w:tr>
        <w:tc>
          <w:tcPr>
            <w:tcW w:w="3213" w:type="dxa"/>
          </w:tcPr>
          <w:p>
            <w:pPr>
              <w:pStyle w:val="Celda"/>
            </w:pPr>
            <w:r>
              <w:t xml:space="preserve">Alternativa identificada</w:t>
            </w:r>
          </w:p>
        </w:tc>
        <w:tc>
          <w:tcPr>
            <w:tcW w:w="3213" w:type="dxa"/>
          </w:tcPr>
          <w:p>
            <w:pPr>
              <w:pStyle w:val="Celda"/>
            </w:pPr>
          </w:p>
        </w:tc>
        <w:tc>
          <w:tcPr>
            <w:tcW w:w="3213" w:type="dxa"/>
          </w:tcPr>
          <w:p>
            <w:pPr>
              <w:pStyle w:val="Celda"/>
            </w:pPr>
            <w:r>
              <w:t xml:space="preserve">Proveedor, modelo o solución interna. Obligatoria en N3.</w:t>
            </w:r>
          </w:p>
        </w:tc>
      </w:tr>
      <w:tr>
        <w:tc>
          <w:tcPr>
            <w:tcW w:w="3213" w:type="dxa"/>
          </w:tcPr>
          <w:p>
            <w:pPr>
              <w:pStyle w:val="Celda"/>
            </w:pPr>
            <w:r>
              <w:t xml:space="preserve">Plazo objetivo de sustitución</w:t>
            </w:r>
          </w:p>
        </w:tc>
        <w:tc>
          <w:tcPr>
            <w:tcW w:w="3213" w:type="dxa"/>
          </w:tcPr>
          <w:p>
            <w:pPr>
              <w:pStyle w:val="Celda"/>
            </w:pPr>
          </w:p>
        </w:tc>
        <w:tc>
          <w:tcPr>
            <w:tcW w:w="3213" w:type="dxa"/>
          </w:tcPr>
          <w:p>
            <w:pPr>
              <w:pStyle w:val="Celda"/>
            </w:pPr>
            <w:r>
              <w:t xml:space="preserve">Coherente con la sustituibilidad del nivel (36 §4.1).</w:t>
            </w:r>
          </w:p>
        </w:tc>
      </w:tr>
      <w:tr>
        <w:tc>
          <w:tcPr>
            <w:tcW w:w="3213" w:type="dxa"/>
          </w:tcPr>
          <w:p>
            <w:pPr>
              <w:pStyle w:val="Celda"/>
            </w:pPr>
            <w:r>
              <w:t xml:space="preserve">Coste de salida estimado</w:t>
            </w:r>
          </w:p>
        </w:tc>
        <w:tc>
          <w:tcPr>
            <w:tcW w:w="3213" w:type="dxa"/>
          </w:tcPr>
          <w:p>
            <w:pPr>
              <w:pStyle w:val="Celda"/>
            </w:pPr>
          </w:p>
        </w:tc>
        <w:tc>
          <w:tcPr>
            <w:tcW w:w="3213" w:type="dxa"/>
          </w:tcPr>
          <w:p>
            <w:pPr>
              <w:pStyle w:val="Celda"/>
            </w:pPr>
            <w:r>
              <w:t xml:space="preserve">Categorías del documento 42; se incluye en el coste total de P10.</w:t>
            </w:r>
          </w:p>
        </w:tc>
      </w:tr>
      <w:tr>
        <w:tc>
          <w:tcPr>
            <w:tcW w:w="3213" w:type="dxa"/>
          </w:tcPr>
          <w:p>
            <w:pPr>
              <w:pStyle w:val="Celda"/>
            </w:pPr>
            <w:r>
              <w:t xml:space="preserve">Continuidad durante la transición</w:t>
            </w:r>
          </w:p>
        </w:tc>
        <w:tc>
          <w:tcPr>
            <w:tcW w:w="3213" w:type="dxa"/>
          </w:tcPr>
          <w:p>
            <w:pPr>
              <w:pStyle w:val="Celda"/>
            </w:pPr>
          </w:p>
        </w:tc>
        <w:tc>
          <w:tcPr>
            <w:tcW w:w="3213" w:type="dxa"/>
          </w:tcPr>
          <w:p>
            <w:pPr>
              <w:pStyle w:val="Celda"/>
            </w:pPr>
            <w:r>
              <w:t xml:space="preserve">Periodo de transición contractual (cláusula 15) y medidas del servicio.</w:t>
            </w:r>
          </w:p>
        </w:tc>
      </w:tr>
    </w:tbl>
    <w:p>
      <w:pPr>
        <w:pStyle w:val="Espacio"/>
      </w:pPr>
    </w:p>
    <w:p>
      <w:pPr>
        <w:pStyle w:val="Heading2"/>
      </w:pPr>
      <w:r>
        <w:t xml:space="preserve">6.2 Qué se recupera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Elemento</w:t>
            </w:r>
          </w:p>
        </w:tc>
        <w:tc>
          <w:tcPr>
            <w:tcW w:w="2410" w:type="dxa"/>
            <w:shd w:val="clear" w:color="auto" w:fill="F2DFCE"/>
          </w:tcPr>
          <w:p>
            <w:pPr>
              <w:pStyle w:val="Celda"/>
            </w:pPr>
            <w:r>
              <w:rPr>
                <w:b/>
              </w:rPr>
              <w:t xml:space="preserve">Formato de exportación</w:t>
            </w:r>
          </w:p>
        </w:tc>
        <w:tc>
          <w:tcPr>
            <w:tcW w:w="2410" w:type="dxa"/>
            <w:shd w:val="clear" w:color="auto" w:fill="F2DFCE"/>
          </w:tcPr>
          <w:p>
            <w:pPr>
              <w:pStyle w:val="Celda"/>
            </w:pPr>
            <w:r>
              <w:rPr>
                <w:b/>
              </w:rPr>
              <w:t xml:space="preserve">Responsable</w:t>
            </w:r>
          </w:p>
        </w:tc>
        <w:tc>
          <w:tcPr>
            <w:tcW w:w="2410" w:type="dxa"/>
            <w:shd w:val="clear" w:color="auto" w:fill="F2DFCE"/>
          </w:tcPr>
          <w:p>
            <w:pPr>
              <w:pStyle w:val="Celda"/>
            </w:pPr>
            <w:r>
              <w:rPr>
                <w:b/>
              </w:rPr>
              <w:t xml:space="preserve">Comprobado (fecha)</w:t>
            </w:r>
          </w:p>
        </w:tc>
      </w:tr>
      <w:tr>
        <w:tc>
          <w:tcPr>
            <w:tcW w:w="2410" w:type="dxa"/>
          </w:tcPr>
          <w:p>
            <w:pPr>
              <w:pStyle w:val="Celda"/>
            </w:pPr>
            <w:r>
              <w:t xml:space="preserve">Datos de la compañía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Configuraciones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Instrucciones y flujos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Registros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Índices, memorias y bases de conocimiento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Conjunto de evaluación propio y resultados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Documentación y conocimiento del integrador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6.3 Pasos de la salida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t>
            </w:r>
          </w:p>
        </w:tc>
        <w:tc>
          <w:tcPr>
            <w:tcW w:w="1928" w:type="dxa"/>
            <w:shd w:val="clear" w:color="auto" w:fill="F2DFCE"/>
          </w:tcPr>
          <w:p>
            <w:pPr>
              <w:pStyle w:val="Celda"/>
            </w:pPr>
            <w:r>
              <w:rPr>
                <w:b/>
              </w:rPr>
              <w:t xml:space="preserve">Paso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rPr>
              <w:t xml:space="preserve">Plazo</w:t>
            </w:r>
          </w:p>
        </w:tc>
        <w:tc>
          <w:tcPr>
            <w:tcW w:w="1928" w:type="dxa"/>
            <w:shd w:val="clear" w:color="auto" w:fill="F2DFCE"/>
          </w:tcPr>
          <w:p>
            <w:pPr>
              <w:pStyle w:val="Celda"/>
            </w:pPr>
            <w:r>
              <w:rPr>
                <w:b/>
              </w:rPr>
              <w:t xml:space="preserve">Evidencia</w:t>
            </w:r>
          </w:p>
        </w:tc>
      </w:tr>
      <w:tr>
        <w:tc>
          <w:tcPr>
            <w:tcW w:w="1928" w:type="dxa"/>
          </w:tcPr>
          <w:p>
            <w:pPr>
              <w:pStyle w:val="Celda"/>
            </w:pPr>
            <w:r>
              <w:t xml:space="preserve">1</w:t>
            </w:r>
          </w:p>
        </w:tc>
        <w:tc>
          <w:tcPr>
            <w:tcW w:w="1928" w:type="dxa"/>
          </w:tcPr>
          <w:p>
            <w:pPr>
              <w:pStyle w:val="Celda"/>
            </w:pPr>
            <w:r>
              <w:t xml:space="preserve">Notificación al proveedor y activación de la transición</w:t>
            </w:r>
          </w:p>
        </w:tc>
        <w:tc>
          <w:tcPr>
            <w:tcW w:w="1928" w:type="dxa"/>
          </w:tcPr>
          <w:p>
            <w:pPr>
              <w:pStyle w:val="Celda"/>
            </w:pPr>
            <w:r>
              <w:t xml:space="preserve">Asesoría jurídica</w:t>
            </w: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r>
              <w:t xml:space="preserve">Exportación y comprobación de integridad</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r>
      <w:tr>
        <w:tc>
          <w:tcPr>
            <w:tcW w:w="1928" w:type="dxa"/>
          </w:tcPr>
          <w:p>
            <w:pPr>
              <w:pStyle w:val="Celda"/>
            </w:pPr>
            <w:r>
              <w:t xml:space="preserve">3</w:t>
            </w:r>
          </w:p>
        </w:tc>
        <w:tc>
          <w:tcPr>
            <w:tcW w:w="1928" w:type="dxa"/>
          </w:tcPr>
          <w:p>
            <w:pPr>
              <w:pStyle w:val="Celda"/>
            </w:pPr>
            <w:r>
              <w:t xml:space="preserve">Puesta en marcha de la alternativa y validación</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r>
              <w:t xml:space="preserve">P22 si hay cambio relevante</w:t>
            </w:r>
          </w:p>
        </w:tc>
      </w:tr>
      <w:tr>
        <w:tc>
          <w:tcPr>
            <w:tcW w:w="1928" w:type="dxa"/>
          </w:tcPr>
          <w:p>
            <w:pPr>
              <w:pStyle w:val="Celda"/>
            </w:pPr>
            <w:r>
              <w:t xml:space="preserve">4</w:t>
            </w:r>
          </w:p>
        </w:tc>
        <w:tc>
          <w:tcPr>
            <w:tcW w:w="1928" w:type="dxa"/>
          </w:tcPr>
          <w:p>
            <w:pPr>
              <w:pStyle w:val="Celda"/>
            </w:pPr>
            <w:r>
              <w:t xml:space="preserve">Revocación de accesos, identidades y credenciales</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r>
      <w:tr>
        <w:tc>
          <w:tcPr>
            <w:tcW w:w="1928" w:type="dxa"/>
          </w:tcPr>
          <w:p>
            <w:pPr>
              <w:pStyle w:val="Celda"/>
            </w:pPr>
            <w:r>
              <w:t xml:space="preserve">5</w:t>
            </w:r>
          </w:p>
        </w:tc>
        <w:tc>
          <w:tcPr>
            <w:tcW w:w="1928" w:type="dxa"/>
          </w:tcPr>
          <w:p>
            <w:pPr>
              <w:pStyle w:val="Celda"/>
            </w:pPr>
            <w:r>
              <w:t xml:space="preserve">Borrado por el proveedor y sus subencargados; certificado</w:t>
            </w:r>
          </w:p>
        </w:tc>
        <w:tc>
          <w:tcPr>
            <w:tcW w:w="1928" w:type="dxa"/>
          </w:tcPr>
          <w:p>
            <w:pPr>
              <w:pStyle w:val="Celda"/>
            </w:pPr>
            <w:r>
              <w:t xml:space="preserve">Asesoría jurídica</w:t>
            </w:r>
          </w:p>
        </w:tc>
        <w:tc>
          <w:tcPr>
            <w:tcW w:w="1928" w:type="dxa"/>
          </w:tcPr>
          <w:p>
            <w:pPr>
              <w:pStyle w:val="Celda"/>
            </w:pPr>
          </w:p>
        </w:tc>
        <w:tc>
          <w:tcPr>
            <w:tcW w:w="1928" w:type="dxa"/>
          </w:tcPr>
          <w:p>
            <w:pPr>
              <w:pStyle w:val="Celda"/>
            </w:pPr>
            <w:r>
              <w:t xml:space="preserve">Sección 8</w:t>
            </w:r>
          </w:p>
        </w:tc>
      </w:tr>
      <w:tr>
        <w:tc>
          <w:tcPr>
            <w:tcW w:w="1928" w:type="dxa"/>
          </w:tcPr>
          <w:p>
            <w:pPr>
              <w:pStyle w:val="Celda"/>
            </w:pPr>
            <w:r>
              <w:t xml:space="preserve">6</w:t>
            </w:r>
          </w:p>
        </w:tc>
        <w:tc>
          <w:tcPr>
            <w:tcW w:w="1928" w:type="dxa"/>
          </w:tcPr>
          <w:p>
            <w:pPr>
              <w:pStyle w:val="Celda"/>
            </w:pPr>
            <w:r>
              <w:t xml:space="preserve">Cierre de la relación y lecciones</w:t>
            </w:r>
          </w:p>
        </w:tc>
        <w:tc>
          <w:tcPr>
            <w:tcW w:w="1928" w:type="dxa"/>
          </w:tcPr>
          <w:p>
            <w:pPr>
              <w:pStyle w:val="Celda"/>
            </w:pPr>
            <w:r>
              <w:t xml:space="preserve">Gestor de la relación</w:t>
            </w:r>
          </w:p>
        </w:tc>
        <w:tc>
          <w:tcPr>
            <w:tcW w:w="1928" w:type="dxa"/>
          </w:tcPr>
          <w:p>
            <w:pPr>
              <w:pStyle w:val="Celda"/>
            </w:pPr>
          </w:p>
        </w:tc>
        <w:tc>
          <w:tcPr>
            <w:tcW w:w="1928" w:type="dxa"/>
          </w:tcPr>
          <w:p>
            <w:pPr>
              <w:pStyle w:val="Celda"/>
            </w:pPr>
            <w:r>
              <w:t xml:space="preserve">Sección 9</w:t>
            </w:r>
          </w:p>
        </w:tc>
      </w:tr>
    </w:tbl>
    <w:p>
      <w:pPr>
        <w:pStyle w:val="Espacio"/>
      </w:pPr>
    </w:p>
    <w:p>
      <w:pPr>
        <w:pStyle w:val="Separador"/>
      </w:pPr>
    </w:p>
    <w:p>
      <w:pPr>
        <w:pStyle w:val="Heading1"/>
      </w:pPr>
      <w:r>
        <w:t xml:space="preserve">7. Prueba de portabilidad</w:t>
      </w:r>
    </w:p>
    <w:p>
      <w:r>
        <w:t xml:space="preserve">Obligatoria para servicios N3 al menos una vez al año o antes de renovar (36 §7.1); en N2, </w:t>
      </w:r>
      <w:r>
        <w:rPr>
          <w:b/>
        </w:rPr>
        <w:t xml:space="preserve">debería</w:t>
      </w:r>
      <w:r>
        <w:t xml:space="preserve"> hacerse antes de renovar.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PRV</w:t>
            </w:r>
          </w:p>
        </w:tc>
        <w:tc>
          <w:tcPr>
            <w:tcW w:w="3213" w:type="dxa"/>
          </w:tcPr>
          <w:p>
            <w:pPr>
              <w:pStyle w:val="Celda"/>
            </w:pPr>
          </w:p>
        </w:tc>
        <w:tc>
          <w:tcPr>
            <w:tcW w:w="3213" w:type="dxa"/>
          </w:tcPr>
          <w:p>
            <w:pPr>
              <w:pStyle w:val="Celda"/>
            </w:pPr>
          </w:p>
        </w:tc>
      </w:tr>
      <w:tr>
        <w:tc>
          <w:tcPr>
            <w:tcW w:w="3213" w:type="dxa"/>
          </w:tcPr>
          <w:p>
            <w:pPr>
              <w:pStyle w:val="Celda"/>
            </w:pPr>
            <w:r>
              <w:t xml:space="preserve">Fecha de la prueba</w:t>
            </w:r>
          </w:p>
        </w:tc>
        <w:tc>
          <w:tcPr>
            <w:tcW w:w="3213" w:type="dxa"/>
          </w:tcPr>
          <w:p>
            <w:pPr>
              <w:pStyle w:val="Celda"/>
            </w:pPr>
          </w:p>
        </w:tc>
        <w:tc>
          <w:tcPr>
            <w:tcW w:w="3213" w:type="dxa"/>
          </w:tcPr>
          <w:p>
            <w:pPr>
              <w:pStyle w:val="Celda"/>
            </w:pPr>
          </w:p>
        </w:tc>
      </w:tr>
      <w:tr>
        <w:tc>
          <w:tcPr>
            <w:tcW w:w="3213" w:type="dxa"/>
          </w:tcPr>
          <w:p>
            <w:pPr>
              <w:pStyle w:val="Celda"/>
            </w:pPr>
            <w:r>
              <w:t xml:space="preserve">Conjunto de evaluación propio usado</w:t>
            </w:r>
          </w:p>
        </w:tc>
        <w:tc>
          <w:tcPr>
            <w:tcW w:w="3213" w:type="dxa"/>
          </w:tcPr>
          <w:p>
            <w:pPr>
              <w:pStyle w:val="Celda"/>
            </w:pPr>
          </w:p>
        </w:tc>
        <w:tc>
          <w:tcPr>
            <w:tcW w:w="3213" w:type="dxa"/>
          </w:tcPr>
          <w:p>
            <w:pPr>
              <w:pStyle w:val="Celda"/>
            </w:pPr>
            <w:r>
              <w:t xml:space="preserve">Versión y tamaño.</w:t>
            </w:r>
          </w:p>
        </w:tc>
      </w:tr>
      <w:tr>
        <w:tc>
          <w:tcPr>
            <w:tcW w:w="3213" w:type="dxa"/>
          </w:tcPr>
          <w:p>
            <w:pPr>
              <w:pStyle w:val="Celda"/>
            </w:pPr>
            <w:r>
              <w:t xml:space="preserve">Alternativa probada</w:t>
            </w:r>
          </w:p>
        </w:tc>
        <w:tc>
          <w:tcPr>
            <w:tcW w:w="3213" w:type="dxa"/>
          </w:tcPr>
          <w:p>
            <w:pPr>
              <w:pStyle w:val="Celda"/>
            </w:pPr>
          </w:p>
        </w:tc>
        <w:tc>
          <w:tcPr>
            <w:tcW w:w="3213" w:type="dxa"/>
          </w:tcPr>
          <w:p>
            <w:pPr>
              <w:pStyle w:val="Celda"/>
            </w:pPr>
            <w:r>
              <w:t xml:space="preserve">Modelo o proveedor.</w:t>
            </w:r>
          </w:p>
        </w:tc>
      </w:tr>
      <w:tr>
        <w:tc>
          <w:tcPr>
            <w:tcW w:w="3213" w:type="dxa"/>
          </w:tcPr>
          <w:p>
            <w:pPr>
              <w:pStyle w:val="Celda"/>
            </w:pPr>
            <w:r>
              <w:t xml:space="preserve">Diferencia de resultados</w:t>
            </w:r>
          </w:p>
        </w:tc>
        <w:tc>
          <w:tcPr>
            <w:tcW w:w="3213" w:type="dxa"/>
          </w:tcPr>
          <w:p>
            <w:pPr>
              <w:pStyle w:val="Celda"/>
            </w:pPr>
          </w:p>
        </w:tc>
        <w:tc>
          <w:tcPr>
            <w:tcW w:w="3213" w:type="dxa"/>
          </w:tcPr>
          <w:p>
            <w:pPr>
              <w:pStyle w:val="Celda"/>
            </w:pPr>
            <w:r>
              <w:t xml:space="preserve">Métricas de calidad frente al proveedor actual.</w:t>
            </w:r>
          </w:p>
        </w:tc>
      </w:tr>
      <w:tr>
        <w:tc>
          <w:tcPr>
            <w:tcW w:w="3213" w:type="dxa"/>
          </w:tcPr>
          <w:p>
            <w:pPr>
              <w:pStyle w:val="Celda"/>
            </w:pPr>
            <w:r>
              <w:t xml:space="preserve">Diferencia de coste</w:t>
            </w:r>
          </w:p>
        </w:tc>
        <w:tc>
          <w:tcPr>
            <w:tcW w:w="3213" w:type="dxa"/>
          </w:tcPr>
          <w:p>
            <w:pPr>
              <w:pStyle w:val="Celda"/>
            </w:pPr>
          </w:p>
        </w:tc>
        <w:tc>
          <w:tcPr>
            <w:tcW w:w="3213" w:type="dxa"/>
          </w:tcPr>
          <w:p>
            <w:pPr>
              <w:pStyle w:val="Celda"/>
            </w:pPr>
            <w:r>
              <w:t xml:space="preserve">Coste por uso o total anual.</w:t>
            </w:r>
          </w:p>
        </w:tc>
      </w:tr>
      <w:tr>
        <w:tc>
          <w:tcPr>
            <w:tcW w:w="3213" w:type="dxa"/>
          </w:tcPr>
          <w:p>
            <w:pPr>
              <w:pStyle w:val="Celda"/>
            </w:pPr>
            <w:r>
              <w:t xml:space="preserve">Esfuerzo de migración</w:t>
            </w:r>
          </w:p>
        </w:tc>
        <w:tc>
          <w:tcPr>
            <w:tcW w:w="3213" w:type="dxa"/>
          </w:tcPr>
          <w:p>
            <w:pPr>
              <w:pStyle w:val="Celda"/>
            </w:pPr>
          </w:p>
        </w:tc>
        <w:tc>
          <w:tcPr>
            <w:tcW w:w="3213" w:type="dxa"/>
          </w:tcPr>
          <w:p>
            <w:pPr>
              <w:pStyle w:val="Celda"/>
            </w:pPr>
            <w:r>
              <w:t xml:space="preserve">Personas, plazo y cambios necesarios.</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Salida viable · Viable con condiciones · No viable (se informa al comité de IA).</w:t>
            </w:r>
          </w:p>
        </w:tc>
      </w:tr>
      <w:tr>
        <w:tc>
          <w:tcPr>
            <w:tcW w:w="3213" w:type="dxa"/>
          </w:tcPr>
          <w:p>
            <w:pPr>
              <w:pStyle w:val="Celda"/>
            </w:pPr>
            <w:r>
              <w:t xml:space="preserve">Próxima prueba</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i/>
              </w:rPr>
              <w:t xml:space="preserve">(ejemplo ilustrativo)</w:t>
            </w:r>
          </w:p>
        </w:tc>
        <w:tc>
          <w:tcPr>
            <w:tcW w:w="4819" w:type="dxa"/>
            <w:shd w:val="clear" w:color="auto" w:fill="F2DFCE"/>
          </w:tcPr>
          <w:p>
            <w:pPr>
              <w:pStyle w:val="Celda"/>
            </w:pPr>
            <w:r>
              <w:rPr>
                <w:b/>
              </w:rPr>
              <w:t xml:space="preserve">Contenido</w:t>
            </w:r>
          </w:p>
        </w:tc>
      </w:tr>
      <w:tr>
        <w:tc>
          <w:tcPr>
            <w:tcW w:w="4819" w:type="dxa"/>
          </w:tcPr>
          <w:p>
            <w:pPr>
              <w:pStyle w:val="Celda"/>
            </w:pPr>
            <w:r>
              <w:t xml:space="preserve">Resultado</w:t>
            </w:r>
          </w:p>
        </w:tc>
        <w:tc>
          <w:tcPr>
            <w:tcW w:w="4819" w:type="dxa"/>
          </w:tcPr>
          <w:p>
            <w:pPr>
              <w:pStyle w:val="Celda"/>
            </w:pPr>
            <w:r>
              <w:t xml:space="preserve">Calidad del modelo alternativo 3 puntos inferior en el conjunto de evaluación; coste un 10 % menor; migración estimada en seis semanas. Salida viable con condiciones: ajustar instrucciones.</w:t>
            </w:r>
          </w:p>
        </w:tc>
      </w:tr>
    </w:tbl>
    <w:p>
      <w:pPr>
        <w:pStyle w:val="Espacio"/>
      </w:pPr>
    </w:p>
    <w:p>
      <w:pPr>
        <w:pStyle w:val="Separador"/>
      </w:pPr>
    </w:p>
    <w:p>
      <w:pPr>
        <w:pStyle w:val="Heading1"/>
      </w:pPr>
      <w:r>
        <w:t xml:space="preserve">8. Certificado de borrado (modelo)</w:t>
      </w:r>
    </w:p>
    <w:p>
      <w:r>
        <w:t xml:space="preserve">Texto de partida que firma el proveedor al terminar (cláusula 15 de P56). Debe revisarlo la asesoría jurídica.</w:t>
      </w:r>
    </w:p>
    <w:p>
      <w:r>
        <w:rPr>
          <w:b/>
        </w:rPr>
        <w:t xml:space="preserve">[El Proveedor]</w:t>
      </w:r>
      <w:r>
        <w:t xml:space="preserve">, representado por </w:t>
      </w:r>
      <w:r>
        <w:rPr>
          <w:b/>
        </w:rPr>
        <w:t xml:space="preserve">[nombre y cargo]</w:t>
      </w:r>
      <w:r>
        <w:t xml:space="preserve">, certifica que el </w:t>
      </w:r>
      <w:r>
        <w:rPr>
          <w:b/>
        </w:rPr>
        <w:t xml:space="preserve">[fecha]</w:t>
      </w:r>
      <w:r>
        <w:t xml:space="preserve"> ha borrado de forma irreversible los Datos de la Compañía relacionados con el contrato </w:t>
      </w:r>
      <w:r>
        <w:rPr>
          <w:b/>
        </w:rPr>
        <w:t xml:space="preserve">[referencia]</w:t>
      </w:r>
      <w:r>
        <w:t xml:space="preserve">, incluidas Entradas, Resultados, registros, índices, memorias y copias de seguridad, en sus sistemas y en los de sus Subencargados </w:t>
      </w:r>
      <w:r>
        <w:rPr>
          <w:b/>
        </w:rPr>
        <w:t xml:space="preserve">[relación]</w:t>
      </w:r>
      <w:r>
        <w:t xml:space="preserve">, mediante </w:t>
      </w:r>
      <w:r>
        <w:rPr>
          <w:b/>
        </w:rPr>
        <w:t xml:space="preserve">[método]</w:t>
      </w:r>
      <w:r>
        <w:t xml:space="preserve">, salvo los datos que deba conservar por obligación legal, que se detallan en </w:t>
      </w:r>
      <w:r>
        <w:rPr>
          <w:b/>
        </w:rPr>
        <w:t xml:space="preserve">[apéndice]</w:t>
      </w:r>
      <w:r>
        <w:t xml:space="preserve"> con su fundamento y plazo. Todos los accesos de la Compañía han sido revocados.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Verificación por la compañía</w:t>
            </w:r>
          </w:p>
        </w:tc>
        <w:tc>
          <w:tcPr>
            <w:tcW w:w="4819" w:type="dxa"/>
            <w:shd w:val="clear" w:color="auto" w:fill="F2DFCE"/>
          </w:tcPr>
          <w:p>
            <w:pPr>
              <w:pStyle w:val="Celda"/>
            </w:pPr>
            <w:r>
              <w:rPr>
                <w:b/>
              </w:rPr>
              <w:t xml:space="preserve">Contenido</w:t>
            </w:r>
          </w:p>
        </w:tc>
      </w:tr>
      <w:tr>
        <w:tc>
          <w:tcPr>
            <w:tcW w:w="4819" w:type="dxa"/>
          </w:tcPr>
          <w:p>
            <w:pPr>
              <w:pStyle w:val="Celda"/>
            </w:pPr>
            <w:r>
              <w:t xml:space="preserve">Certificado recibido (fecha)</w:t>
            </w:r>
          </w:p>
        </w:tc>
        <w:tc>
          <w:tcPr>
            <w:tcW w:w="4819" w:type="dxa"/>
          </w:tcPr>
          <w:p>
            <w:pPr>
              <w:pStyle w:val="Celda"/>
            </w:pPr>
          </w:p>
        </w:tc>
      </w:tr>
      <w:tr>
        <w:tc>
          <w:tcPr>
            <w:tcW w:w="4819" w:type="dxa"/>
          </w:tcPr>
          <w:p>
            <w:pPr>
              <w:pStyle w:val="Celda"/>
            </w:pPr>
            <w:r>
              <w:t xml:space="preserve">Cubre subencargados y copias de seguridad</w:t>
            </w:r>
          </w:p>
        </w:tc>
        <w:tc>
          <w:tcPr>
            <w:tcW w:w="4819" w:type="dxa"/>
          </w:tcPr>
          <w:p>
            <w:pPr>
              <w:pStyle w:val="Celda"/>
            </w:pPr>
            <w:r>
              <w:t xml:space="preserve">Sí · No</w:t>
            </w:r>
          </w:p>
        </w:tc>
      </w:tr>
      <w:tr>
        <w:tc>
          <w:tcPr>
            <w:tcW w:w="4819" w:type="dxa"/>
          </w:tcPr>
          <w:p>
            <w:pPr>
              <w:pStyle w:val="Celda"/>
            </w:pPr>
            <w:r>
              <w:t xml:space="preserve">Datos conservados por obligación legal justificados</w:t>
            </w:r>
          </w:p>
        </w:tc>
        <w:tc>
          <w:tcPr>
            <w:tcW w:w="4819" w:type="dxa"/>
          </w:tcPr>
          <w:p>
            <w:pPr>
              <w:pStyle w:val="Celda"/>
            </w:pPr>
            <w:r>
              <w:t xml:space="preserve">Sí · No · No aplica</w:t>
            </w:r>
          </w:p>
        </w:tc>
      </w:tr>
      <w:tr>
        <w:tc>
          <w:tcPr>
            <w:tcW w:w="4819" w:type="dxa"/>
          </w:tcPr>
          <w:p>
            <w:pPr>
              <w:pStyle w:val="Celda"/>
            </w:pPr>
            <w:r>
              <w:t xml:space="preserve">Accesos revocados comprobados</w:t>
            </w:r>
          </w:p>
        </w:tc>
        <w:tc>
          <w:tcPr>
            <w:tcW w:w="4819" w:type="dxa"/>
          </w:tcPr>
          <w:p>
            <w:pPr>
              <w:pStyle w:val="Celda"/>
            </w:pPr>
            <w:r>
              <w:t xml:space="preserve">Sí · No</w:t>
            </w:r>
          </w:p>
        </w:tc>
      </w:tr>
      <w:tr>
        <w:tc>
          <w:tcPr>
            <w:tcW w:w="4819" w:type="dxa"/>
          </w:tcPr>
          <w:p>
            <w:pPr>
              <w:pStyle w:val="Celda"/>
            </w:pPr>
            <w:r>
              <w:t xml:space="preserve">Verificado por (protección de datos)</w:t>
            </w:r>
          </w:p>
        </w:tc>
        <w:tc>
          <w:tcPr>
            <w:tcW w:w="4819" w:type="dxa"/>
          </w:tcPr>
          <w:p>
            <w:pPr>
              <w:pStyle w:val="Celda"/>
            </w:pPr>
          </w:p>
        </w:tc>
      </w:tr>
    </w:tbl>
    <w:p>
      <w:pPr>
        <w:pStyle w:val="Espacio"/>
      </w:pPr>
    </w:p>
    <w:p>
      <w:pPr>
        <w:pStyle w:val="Separador"/>
      </w:pPr>
    </w:p>
    <w:p>
      <w:pPr>
        <w:pStyle w:val="Heading1"/>
      </w:pPr>
      <w:r>
        <w:t xml:space="preserve">9. Acta de cierre de la relación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PRV y fecha de cierre</w:t>
            </w:r>
          </w:p>
        </w:tc>
        <w:tc>
          <w:tcPr>
            <w:tcW w:w="3213" w:type="dxa"/>
          </w:tcPr>
          <w:p>
            <w:pPr>
              <w:pStyle w:val="Celda"/>
            </w:pPr>
          </w:p>
        </w:tc>
        <w:tc>
          <w:tcPr>
            <w:tcW w:w="3213" w:type="dxa"/>
          </w:tcPr>
          <w:p>
            <w:pPr>
              <w:pStyle w:val="Celda"/>
            </w:pPr>
          </w:p>
        </w:tc>
      </w:tr>
      <w:tr>
        <w:tc>
          <w:tcPr>
            <w:tcW w:w="3213" w:type="dxa"/>
          </w:tcPr>
          <w:p>
            <w:pPr>
              <w:pStyle w:val="Celda"/>
            </w:pPr>
            <w:r>
              <w:t xml:space="preserve">Motivo de la salida</w:t>
            </w:r>
          </w:p>
        </w:tc>
        <w:tc>
          <w:tcPr>
            <w:tcW w:w="3213" w:type="dxa"/>
          </w:tcPr>
          <w:p>
            <w:pPr>
              <w:pStyle w:val="Celda"/>
            </w:pPr>
          </w:p>
        </w:tc>
        <w:tc>
          <w:tcPr>
            <w:tcW w:w="3213" w:type="dxa"/>
          </w:tcPr>
          <w:p>
            <w:pPr>
              <w:pStyle w:val="Celda"/>
            </w:pPr>
          </w:p>
        </w:tc>
      </w:tr>
      <w:tr>
        <w:tc>
          <w:tcPr>
            <w:tcW w:w="3213" w:type="dxa"/>
          </w:tcPr>
          <w:p>
            <w:pPr>
              <w:pStyle w:val="Celda"/>
            </w:pPr>
            <w:r>
              <w:t xml:space="preserve">Transición completada</w:t>
            </w:r>
          </w:p>
        </w:tc>
        <w:tc>
          <w:tcPr>
            <w:tcW w:w="3213" w:type="dxa"/>
          </w:tcPr>
          <w:p>
            <w:pPr>
              <w:pStyle w:val="Celda"/>
            </w:pPr>
          </w:p>
        </w:tc>
        <w:tc>
          <w:tcPr>
            <w:tcW w:w="3213" w:type="dxa"/>
          </w:tcPr>
          <w:p>
            <w:pPr>
              <w:pStyle w:val="Celda"/>
            </w:pPr>
            <w:r>
              <w:t xml:space="preserve">Sí · No; incidencias.</w:t>
            </w:r>
          </w:p>
        </w:tc>
      </w:tr>
      <w:tr>
        <w:tc>
          <w:tcPr>
            <w:tcW w:w="3213" w:type="dxa"/>
          </w:tcPr>
          <w:p>
            <w:pPr>
              <w:pStyle w:val="Celda"/>
            </w:pPr>
            <w:r>
              <w:t xml:space="preserve">Certificado de borrado</w:t>
            </w:r>
          </w:p>
        </w:tc>
        <w:tc>
          <w:tcPr>
            <w:tcW w:w="3213" w:type="dxa"/>
          </w:tcPr>
          <w:p>
            <w:pPr>
              <w:pStyle w:val="Celda"/>
            </w:pPr>
          </w:p>
        </w:tc>
        <w:tc>
          <w:tcPr>
            <w:tcW w:w="3213" w:type="dxa"/>
          </w:tcPr>
          <w:p>
            <w:pPr>
              <w:pStyle w:val="Celda"/>
            </w:pPr>
            <w:r>
              <w:t xml:space="preserve">Referencia (sección 8).</w:t>
            </w:r>
          </w:p>
        </w:tc>
      </w:tr>
      <w:tr>
        <w:tc>
          <w:tcPr>
            <w:tcW w:w="3213" w:type="dxa"/>
          </w:tcPr>
          <w:p>
            <w:pPr>
              <w:pStyle w:val="Celda"/>
            </w:pPr>
            <w:r>
              <w:t xml:space="preserve">Accesos revocados</w:t>
            </w:r>
          </w:p>
        </w:tc>
        <w:tc>
          <w:tcPr>
            <w:tcW w:w="3213" w:type="dxa"/>
          </w:tcPr>
          <w:p>
            <w:pPr>
              <w:pStyle w:val="Celda"/>
            </w:pPr>
          </w:p>
        </w:tc>
        <w:tc>
          <w:tcPr>
            <w:tcW w:w="3213" w:type="dxa"/>
          </w:tcPr>
          <w:p>
            <w:pPr>
              <w:pStyle w:val="Celda"/>
            </w:pPr>
            <w:r>
              <w:t xml:space="preserve">Fecha.</w:t>
            </w:r>
          </w:p>
        </w:tc>
      </w:tr>
      <w:tr>
        <w:tc>
          <w:tcPr>
            <w:tcW w:w="3213" w:type="dxa"/>
          </w:tcPr>
          <w:p>
            <w:pPr>
              <w:pStyle w:val="Celda"/>
            </w:pPr>
            <w:r>
              <w:t xml:space="preserve">Coste real de salida frente al estimado</w:t>
            </w:r>
          </w:p>
        </w:tc>
        <w:tc>
          <w:tcPr>
            <w:tcW w:w="3213" w:type="dxa"/>
          </w:tcPr>
          <w:p>
            <w:pPr>
              <w:pStyle w:val="Celda"/>
            </w:pPr>
          </w:p>
        </w:tc>
        <w:tc>
          <w:tcPr>
            <w:tcW w:w="3213" w:type="dxa"/>
          </w:tcPr>
          <w:p>
            <w:pPr>
              <w:pStyle w:val="Celda"/>
            </w:pPr>
          </w:p>
        </w:tc>
      </w:tr>
      <w:tr>
        <w:tc>
          <w:tcPr>
            <w:tcW w:w="3213" w:type="dxa"/>
          </w:tcPr>
          <w:p>
            <w:pPr>
              <w:pStyle w:val="Celda"/>
            </w:pPr>
            <w:r>
              <w:t xml:space="preserve">Lecciones aprendidas</w:t>
            </w:r>
          </w:p>
        </w:tc>
        <w:tc>
          <w:tcPr>
            <w:tcW w:w="3213" w:type="dxa"/>
          </w:tcPr>
          <w:p>
            <w:pPr>
              <w:pStyle w:val="Celda"/>
            </w:pPr>
          </w:p>
        </w:tc>
        <w:tc>
          <w:tcPr>
            <w:tcW w:w="3213" w:type="dxa"/>
          </w:tcPr>
          <w:p>
            <w:pPr>
              <w:pStyle w:val="Celda"/>
            </w:pPr>
            <w:r>
              <w:t xml:space="preserve">También en P30 si la salida acompaña a una retirada.</w:t>
            </w:r>
          </w:p>
        </w:tc>
      </w:tr>
      <w:tr>
        <w:tc>
          <w:tcPr>
            <w:tcW w:w="3213" w:type="dxa"/>
          </w:tcPr>
          <w:p>
            <w:pPr>
              <w:pStyle w:val="Celda"/>
            </w:pPr>
            <w:r>
              <w:t xml:space="preserve">Estado final en T09</w:t>
            </w:r>
          </w:p>
        </w:tc>
        <w:tc>
          <w:tcPr>
            <w:tcW w:w="3213" w:type="dxa"/>
          </w:tcPr>
          <w:p>
            <w:pPr>
              <w:pStyle w:val="Celda"/>
            </w:pPr>
          </w:p>
        </w:tc>
        <w:tc>
          <w:tcPr>
            <w:tcW w:w="3213" w:type="dxa"/>
          </w:tcPr>
          <w:p>
            <w:pPr>
              <w:pStyle w:val="Celda"/>
            </w:pPr>
            <w:r>
              <w:t xml:space="preserve">Finalizado.</w:t>
            </w: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Cada proveedor en uso tiene un registro por servicio con nivel justificado por los cuatro factores (G3.20).</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Todo proveedor de un sistema en producción está en el registro con contrato firmado (G5.20).</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Ninguna revisión periódica está vencida; los cambios del proveedor se han revisado (R6.12).</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proveedores N2 tienen plan de salida documentado y los N3 alternativa y prueba documentada.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indicadores de concentración se comparan con los límites de C2 y las superaciones tienen decisión del comité de IA.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En cada retirada consta el borrado certificado y la baja de accesos (G7.12).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Si aplica DORA, el registro de información está al día.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Los proveedores se evalúan con los niveles N1–N3 (D6.08 del documento 11).</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Mantiene el registro</w:t>
            </w:r>
          </w:p>
        </w:tc>
        <w:tc>
          <w:tcPr>
            <w:tcW w:w="1928" w:type="dxa"/>
          </w:tcPr>
          <w:p>
            <w:pPr>
              <w:pStyle w:val="Celda"/>
            </w:pPr>
            <w:r>
              <w:t xml:space="preserve">Compras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relación</w:t>
            </w:r>
          </w:p>
        </w:tc>
        <w:tc>
          <w:tcPr>
            <w:tcW w:w="1928" w:type="dxa"/>
          </w:tcPr>
          <w:p>
            <w:pPr>
              <w:pStyle w:val="Celda"/>
            </w:pPr>
            <w:r>
              <w:t xml:space="preserve">Gestor de la relación · 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Elabora el plan de salida y la prueba de portabilidad</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 Auditor de IA (G3, G5 y G7)</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sobre concentración y riesgos Altos</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gestiona la relación con el proveedor no verifica sus revisiones ni la prueba de portabilidad; el borrado lo certifica el proveedor y lo verifica protección de datos.</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Campos del registro de 36 §9, concentración de 36 §7.2, acta de revisión periódica (36 §5), plan de salida, prueba de portabilidad (36 §7.1), certificado de borrado y acta de cierre. Formato de trabajo de T09.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P57 · Registro de proveedores y plan de salida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P57 · Registro de proveedores y plan de salida</dc:title>
  <dc:creator>Fernando García Varela</dc:creator>
  <dc:language>es</dc:language>
  <dc:description>sha256:c85763ee23fa0e24b7432b7c08a894dcca29e99822f8e8d870c8698d89509de2</dc:description>
  <cp:keywords>SEVEN-G</cp:keywords>
</cp:coreProperties>
</file>