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Presupuesto de consumo y conciliación de costes</w:t>
      </w:r>
    </w:p>
    <w:p>
      <w:r>
        <w:rPr>
          <w:b/>
        </w:rPr>
        <w:t xml:space="preserve">Fija el presupuesto de consumo de cada caso con sus alertas y su cascada de degradación, registra las claves de reparto de los costes compartidos, concilia el coste de IA con la contabilidad y calcula el coste de parar.</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P63 · Presupuesto de consumo y conciliación de costes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El coste de la IA generativa y de los agentes es variable y puede dispararse en días. Si el consumo no tiene presupuesto, alertas y una respuesta definida, al agotarse el dinero solo quedan dos malas opciones: cortar el servicio o seguir gastando. Si los costes compartidos se reparten sin claves aprobadas, el coste de cada caso se discute en cada comité y el neto deja de ser comparable. Y si el coste de IA no se concilia con la contabilidad, el consejo no puede fiarse de ninguna cifra de valor neto. Esta plantilla deja esas tres cosas registradas y verificables.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Presupuesto, alertas, límites y cascada (secciones 3 a 7): se aprueban en G5 y se revisan en cada R6. Seguimiento (sección 8): cada mes. Claves de reparto (sección 9): en C3, una vez por ejercicio. Conciliación (sección 10): en cada cierre mensual. Coste de parar (sección 11): al registrar una parada o una retirada.</w:t>
            </w:r>
          </w:p>
        </w:tc>
      </w:tr>
      <w:tr>
        <w:tc>
          <w:tcPr>
            <w:tcW w:w="4819" w:type="dxa"/>
          </w:tcPr>
          <w:p>
            <w:pPr>
              <w:pStyle w:val="Celda"/>
            </w:pPr>
            <w:r>
              <w:rPr>
                <w:b/>
              </w:rPr>
              <w:t xml:space="preserve">Quién la rellena</w:t>
            </w:r>
          </w:p>
        </w:tc>
        <w:tc>
          <w:tcPr>
            <w:tcW w:w="4819" w:type="dxa"/>
          </w:tcPr>
          <w:p>
            <w:pPr>
              <w:pStyle w:val="Celda"/>
            </w:pPr>
            <w:r>
              <w:t xml:space="preserve">Secciones 3 a 8: responsable de operación de IA con el responsable técnico. Secciones 9 y 10: control de gestión con la oficina de IA. Sección 11: responsable de producto de IA con control de gestión.</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 (42 §11.2).</w:t>
            </w:r>
          </w:p>
        </w:tc>
      </w:tr>
      <w:tr>
        <w:tc>
          <w:tcPr>
            <w:tcW w:w="4819" w:type="dxa"/>
          </w:tcPr>
          <w:p>
            <w:pPr>
              <w:pStyle w:val="Celda"/>
            </w:pPr>
            <w:r>
              <w:rPr>
                <w:b/>
              </w:rPr>
              <w:t xml:space="preserve">Quién decide o aprueba</w:t>
            </w:r>
          </w:p>
        </w:tc>
        <w:tc>
          <w:tcPr>
            <w:tcW w:w="4819" w:type="dxa"/>
          </w:tcPr>
          <w:p>
            <w:pPr>
              <w:pStyle w:val="Celda"/>
            </w:pPr>
            <w:r>
              <w:t xml:space="preserve">El presupuesto de consumo se aprueba con la decisión de G5 (órgano de 01 §7.5). Las claves de reparto, el comité de IA con control de gestión en C3. Los suplementos de presupuesto, el patrocinador de IA con la oficina de IA.</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G5, R6, C3, cierre mensual y cierre anual; parada o retirada.</w:t>
            </w:r>
          </w:p>
        </w:tc>
      </w:tr>
      <w:tr>
        <w:tc>
          <w:tcPr>
            <w:tcW w:w="4819" w:type="dxa"/>
          </w:tcPr>
          <w:p>
            <w:pPr>
              <w:pStyle w:val="Celda"/>
            </w:pPr>
            <w:r>
              <w:rPr>
                <w:b/>
              </w:rPr>
              <w:t xml:space="preserve">Herramienta</w:t>
            </w:r>
          </w:p>
        </w:tc>
        <w:tc>
          <w:tcPr>
            <w:tcW w:w="4819" w:type="dxa"/>
          </w:tcPr>
          <w:p>
            <w:pPr>
              <w:pStyle w:val="Celda"/>
            </w:pPr>
            <w:r>
              <w:t xml:space="preserve">T13 · Calculadora de costes por caso (módulos de parámetros, consumo, costes compartidos, conciliación y paradas, 42 §12).</w:t>
            </w:r>
          </w:p>
        </w:tc>
      </w:tr>
      <w:tr>
        <w:tc>
          <w:tcPr>
            <w:tcW w:w="4819" w:type="dxa"/>
          </w:tcPr>
          <w:p>
            <w:pPr>
              <w:pStyle w:val="Celda"/>
            </w:pPr>
            <w:r>
              <w:rPr>
                <w:b/>
              </w:rPr>
              <w:t xml:space="preserve">Documento de referencia</w:t>
            </w:r>
          </w:p>
        </w:tc>
        <w:tc>
          <w:tcPr>
            <w:tcW w:w="4819" w:type="dxa"/>
          </w:tcPr>
          <w:p>
            <w:pPr>
              <w:pStyle w:val="Celda"/>
            </w:pPr>
            <w:r>
              <w:t xml:space="preserve">Documento 42 (§6, §7, §8, §10, §11); documento 52 §10.3 (cascada de degradación por coste); P24 y P25.</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En la cascada, Lite define al menos N1 y N4; Enterprise la define completa y la prueba antes de G5 (52 §14).</w:t>
            </w:r>
          </w:p>
        </w:tc>
      </w:tr>
    </w:tbl>
    <w:p>
      <w:pPr>
        <w:pStyle w:val="Espacio"/>
      </w:pPr>
    </w:p>
    <w:p>
      <w:r>
        <w:t xml:space="preserve">Reglas de cumplimentación:</w:t>
      </w:r>
    </w:p>
    <w:p>
      <w:pPr>
        <w:pStyle w:val="Lista"/>
      </w:pPr>
      <w:r>
        <w:t xml:space="preserve">• </w:t>
      </w:r>
      <w:r>
        <w:rPr>
          <w:b/>
        </w:rPr>
        <w:t xml:space="preserve">El coste no se rebaja:</w:t>
      </w:r>
      <w:r>
        <w:t xml:space="preserve"> se imputa completo desde el primer día; un coste desconocido es "sin dato" y el neto también (42 §2).</w:t>
      </w:r>
    </w:p>
    <w:p>
      <w:pPr>
        <w:pStyle w:val="Lista"/>
      </w:pPr>
      <w:r>
        <w:t xml:space="preserve">• </w:t>
      </w:r>
      <w:r>
        <w:rPr>
          <w:b/>
        </w:rPr>
        <w:t xml:space="preserve">Sin etiqueta no hay recurso:</w:t>
      </w:r>
      <w:r>
        <w:t xml:space="preserve"> cada recurso, clave de acceso a modelos y licencia lleva la etiqueta de su iniciativa (42 §7). El etiquetado se verifica en G5.</w:t>
      </w:r>
    </w:p>
    <w:p>
      <w:pPr>
        <w:pStyle w:val="Lista"/>
      </w:pPr>
      <w:r>
        <w:t xml:space="preserve">• </w:t>
      </w:r>
      <w:r>
        <w:rPr>
          <w:b/>
        </w:rPr>
        <w:t xml:space="preserve">Las claves de reparto no se cambian a mitad de ejercicio</w:t>
      </w:r>
      <w:r>
        <w:t xml:space="preserve"> salvo error, y el cambio se registra.</w:t>
      </w:r>
    </w:p>
    <w:p>
      <w:pPr>
        <w:pStyle w:val="Lista"/>
      </w:pPr>
      <w:r>
        <w:t xml:space="preserve">• </w:t>
      </w:r>
      <w:r>
        <w:rPr>
          <w:b/>
        </w:rPr>
        <w:t xml:space="preserve">La cascada reduce coste, no controles:</w:t>
      </w:r>
      <w:r>
        <w:t xml:space="preserve"> ninguna degradación desactiva filtros, supervisión humana, límites de agentes ni registros (52 §10.3, regla 6).</w:t>
      </w:r>
    </w:p>
    <w:p>
      <w:pPr>
        <w:pStyle w:val="Lista"/>
      </w:pPr>
      <w:r>
        <w:t xml:space="preserve">• Los umbrales de esta plantilla son orientativos; la compañía los fija en C2 (documento 13).</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 En las secciones 9 y 10, «cartera» o la plataforma (</w:t>
            </w:r>
            <w:r>
              <w:rPr>
                <w:rFonts w:ascii="Consolas" w:hAnsi="Consolas"/>
                <w:sz w:val="18"/>
              </w:rPr>
              <w:t xml:space="preserve">PLAT-</w:t>
            </w:r>
            <w:r>
              <w:t xml:space="preserve"> en la etiqueta, 42 §7.1).</w:t>
            </w: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SIA-AAAA-NNN (P05).</w:t>
            </w:r>
          </w:p>
        </w:tc>
      </w:tr>
      <w:tr>
        <w:tc>
          <w:tcPr>
            <w:tcW w:w="3213" w:type="dxa"/>
          </w:tcPr>
          <w:p>
            <w:pPr>
              <w:pStyle w:val="Celda"/>
            </w:pPr>
            <w:r>
              <w:t xml:space="preserve">Tipo de sistema</w:t>
            </w:r>
          </w:p>
        </w:tc>
        <w:tc>
          <w:tcPr>
            <w:tcW w:w="3213" w:type="dxa"/>
          </w:tcPr>
          <w:p>
            <w:pPr>
              <w:pStyle w:val="Celda"/>
            </w:pPr>
          </w:p>
        </w:tc>
        <w:tc>
          <w:tcPr>
            <w:tcW w:w="3213" w:type="dxa"/>
          </w:tcPr>
          <w:p>
            <w:pPr>
              <w:pStyle w:val="Celda"/>
            </w:pPr>
            <w:r>
              <w:t xml:space="preserve">ML predictivo · IA generativa · Agente · IA de terceros embebida.</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Ejercicio y periodo</w:t>
            </w:r>
          </w:p>
        </w:tc>
        <w:tc>
          <w:tcPr>
            <w:tcW w:w="3213" w:type="dxa"/>
          </w:tcPr>
          <w:p>
            <w:pPr>
              <w:pStyle w:val="Celda"/>
            </w:pPr>
          </w:p>
        </w:tc>
        <w:tc>
          <w:tcPr>
            <w:tcW w:w="3213" w:type="dxa"/>
          </w:tcPr>
          <w:p>
            <w:pPr>
              <w:pStyle w:val="Celda"/>
            </w:pPr>
            <w:r>
              <w:t xml:space="preserve">Por ejemplo, 2027 · marzo.</w:t>
            </w:r>
          </w:p>
        </w:tc>
      </w:tr>
      <w:tr>
        <w:tc>
          <w:tcPr>
            <w:tcW w:w="3213" w:type="dxa"/>
          </w:tcPr>
          <w:p>
            <w:pPr>
              <w:pStyle w:val="Celda"/>
            </w:pPr>
            <w:r>
              <w:t xml:space="preserve">Versión de los parámetros de T13</w:t>
            </w:r>
          </w:p>
        </w:tc>
        <w:tc>
          <w:tcPr>
            <w:tcW w:w="3213" w:type="dxa"/>
          </w:tcPr>
          <w:p>
            <w:pPr>
              <w:pStyle w:val="Celda"/>
            </w:pPr>
          </w:p>
        </w:tc>
        <w:tc>
          <w:tcPr>
            <w:tcW w:w="3213" w:type="dxa"/>
          </w:tcPr>
          <w:p>
            <w:pPr>
              <w:pStyle w:val="Celda"/>
            </w:pPr>
            <w:r>
              <w:t xml:space="preserve">Parámetros versionados por ejercicio.</w:t>
            </w:r>
          </w:p>
        </w:tc>
      </w:tr>
      <w:tr>
        <w:tc>
          <w:tcPr>
            <w:tcW w:w="3213" w:type="dxa"/>
          </w:tcPr>
          <w:p>
            <w:pPr>
              <w:pStyle w:val="Celda"/>
            </w:pPr>
            <w:r>
              <w:t xml:space="preserve">Versión del documento, autor y fecha</w:t>
            </w:r>
          </w:p>
        </w:tc>
        <w:tc>
          <w:tcPr>
            <w:tcW w:w="3213" w:type="dxa"/>
          </w:tcPr>
          <w:p>
            <w:pPr>
              <w:pStyle w:val="Celda"/>
            </w:pPr>
          </w:p>
        </w:tc>
        <w:tc>
          <w:tcPr>
            <w:tcW w:w="3213" w:type="dxa"/>
          </w:tcPr>
          <w:p>
            <w:pPr>
              <w:pStyle w:val="Celda"/>
            </w:pPr>
            <w:r>
              <w:t xml:space="preserve">DD-MM-AAAA.</w:t>
            </w:r>
          </w:p>
        </w:tc>
      </w:tr>
    </w:tbl>
    <w:p>
      <w:pPr>
        <w:pStyle w:val="Espacio"/>
      </w:pPr>
    </w:p>
    <w:p>
      <w:pPr>
        <w:pStyle w:val="Separador"/>
      </w:pPr>
    </w:p>
    <w:p>
      <w:pPr>
        <w:pStyle w:val="Heading1"/>
      </w:pPr>
      <w:r>
        <w:t xml:space="preserve">3. Etiquetado y claves de acceso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Etiqueta o clave</w:t>
            </w:r>
          </w:p>
        </w:tc>
        <w:tc>
          <w:tcPr>
            <w:tcW w:w="3213" w:type="dxa"/>
            <w:shd w:val="clear" w:color="auto" w:fill="F2DFCE"/>
          </w:tcPr>
          <w:p>
            <w:pPr>
              <w:pStyle w:val="Celda"/>
            </w:pPr>
            <w:r>
              <w:rPr>
                <w:b/>
              </w:rPr>
              <w:t xml:space="preserve">Valor</w:t>
            </w:r>
          </w:p>
        </w:tc>
        <w:tc>
          <w:tcPr>
            <w:tcW w:w="3213" w:type="dxa"/>
            <w:shd w:val="clear" w:color="auto" w:fill="F2DFCE"/>
          </w:tcPr>
          <w:p>
            <w:pPr>
              <w:pStyle w:val="Celda"/>
            </w:pPr>
            <w:r>
              <w:rPr>
                <w:b/>
              </w:rPr>
              <w:t xml:space="preserve">Verificado en G5 (Sí · No)</w:t>
            </w:r>
          </w:p>
        </w:tc>
      </w:tr>
      <w:tr>
        <w:tc>
          <w:tcPr>
            <w:tcW w:w="3213" w:type="dxa"/>
          </w:tcPr>
          <w:p>
            <w:pPr>
              <w:pStyle w:val="Celda"/>
            </w:pPr>
            <w:r>
              <w:rPr>
                <w:rFonts w:ascii="Consolas" w:hAnsi="Consolas"/>
                <w:sz w:val="18"/>
              </w:rPr>
              <w:t xml:space="preserve">iniciativa</w:t>
            </w:r>
          </w:p>
        </w:tc>
        <w:tc>
          <w:tcPr>
            <w:tcW w:w="3213" w:type="dxa"/>
          </w:tcPr>
          <w:p>
            <w:pPr>
              <w:pStyle w:val="Celda"/>
            </w:pPr>
          </w:p>
        </w:tc>
        <w:tc>
          <w:tcPr>
            <w:tcW w:w="3213" w:type="dxa"/>
          </w:tcPr>
          <w:p>
            <w:pPr>
              <w:pStyle w:val="Celda"/>
            </w:pPr>
          </w:p>
        </w:tc>
      </w:tr>
      <w:tr>
        <w:tc>
          <w:tcPr>
            <w:tcW w:w="3213" w:type="dxa"/>
          </w:tcPr>
          <w:p>
            <w:pPr>
              <w:pStyle w:val="Celda"/>
            </w:pPr>
            <w:r>
              <w:rPr>
                <w:rFonts w:ascii="Consolas" w:hAnsi="Consolas"/>
                <w:sz w:val="18"/>
              </w:rPr>
              <w:t xml:space="preserve">sistema</w:t>
            </w:r>
          </w:p>
        </w:tc>
        <w:tc>
          <w:tcPr>
            <w:tcW w:w="3213" w:type="dxa"/>
          </w:tcPr>
          <w:p>
            <w:pPr>
              <w:pStyle w:val="Celda"/>
            </w:pPr>
          </w:p>
        </w:tc>
        <w:tc>
          <w:tcPr>
            <w:tcW w:w="3213" w:type="dxa"/>
          </w:tcPr>
          <w:p>
            <w:pPr>
              <w:pStyle w:val="Celda"/>
            </w:pPr>
          </w:p>
        </w:tc>
      </w:tr>
      <w:tr>
        <w:tc>
          <w:tcPr>
            <w:tcW w:w="3213" w:type="dxa"/>
          </w:tcPr>
          <w:p>
            <w:pPr>
              <w:pStyle w:val="Celda"/>
            </w:pPr>
            <w:r>
              <w:rPr>
                <w:rFonts w:ascii="Consolas" w:hAnsi="Consolas"/>
                <w:sz w:val="18"/>
              </w:rPr>
              <w:t xml:space="preserve">entorno</w:t>
            </w:r>
          </w:p>
        </w:tc>
        <w:tc>
          <w:tcPr>
            <w:tcW w:w="3213" w:type="dxa"/>
          </w:tcPr>
          <w:p>
            <w:pPr>
              <w:pStyle w:val="Celda"/>
            </w:pPr>
            <w:r>
              <w:t xml:space="preserve">desarrollo · pruebas · preproducción · producción</w:t>
            </w:r>
          </w:p>
        </w:tc>
        <w:tc>
          <w:tcPr>
            <w:tcW w:w="3213" w:type="dxa"/>
          </w:tcPr>
          <w:p>
            <w:pPr>
              <w:pStyle w:val="Celda"/>
            </w:pPr>
          </w:p>
        </w:tc>
      </w:tr>
      <w:tr>
        <w:tc>
          <w:tcPr>
            <w:tcW w:w="3213" w:type="dxa"/>
          </w:tcPr>
          <w:p>
            <w:pPr>
              <w:pStyle w:val="Celda"/>
            </w:pPr>
            <w:r>
              <w:rPr>
                <w:rFonts w:ascii="Consolas" w:hAnsi="Consolas"/>
                <w:sz w:val="18"/>
              </w:rPr>
              <w:t xml:space="preserve">centro_coste</w:t>
            </w:r>
          </w:p>
        </w:tc>
        <w:tc>
          <w:tcPr>
            <w:tcW w:w="3213" w:type="dxa"/>
          </w:tcPr>
          <w:p>
            <w:pPr>
              <w:pStyle w:val="Celda"/>
            </w:pPr>
          </w:p>
        </w:tc>
        <w:tc>
          <w:tcPr>
            <w:tcW w:w="3213" w:type="dxa"/>
          </w:tcPr>
          <w:p>
            <w:pPr>
              <w:pStyle w:val="Celda"/>
            </w:pPr>
          </w:p>
        </w:tc>
      </w:tr>
      <w:tr>
        <w:tc>
          <w:tcPr>
            <w:tcW w:w="3213" w:type="dxa"/>
          </w:tcPr>
          <w:p>
            <w:pPr>
              <w:pStyle w:val="Celda"/>
            </w:pPr>
            <w:r>
              <w:t xml:space="preserve">Clave de acceso a modelos por caso y entorno</w:t>
            </w:r>
          </w:p>
        </w:tc>
        <w:tc>
          <w:tcPr>
            <w:tcW w:w="3213" w:type="dxa"/>
          </w:tcPr>
          <w:p>
            <w:pPr>
              <w:pStyle w:val="Celda"/>
            </w:pPr>
          </w:p>
        </w:tc>
        <w:tc>
          <w:tcPr>
            <w:tcW w:w="3213" w:type="dxa"/>
          </w:tcPr>
          <w:p>
            <w:pPr>
              <w:pStyle w:val="Celda"/>
            </w:pPr>
          </w:p>
        </w:tc>
      </w:tr>
      <w:tr>
        <w:tc>
          <w:tcPr>
            <w:tcW w:w="3213" w:type="dxa"/>
          </w:tcPr>
          <w:p>
            <w:pPr>
              <w:pStyle w:val="Celda"/>
            </w:pPr>
            <w:r>
              <w:t xml:space="preserve">Credenciales y presupuesto propios de cada agente</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4. Presupuesto de consumo del caso</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Categoría de coste variable</w:t>
            </w:r>
          </w:p>
        </w:tc>
        <w:tc>
          <w:tcPr>
            <w:tcW w:w="1606" w:type="dxa"/>
            <w:shd w:val="clear" w:color="auto" w:fill="F2DFCE"/>
          </w:tcPr>
          <w:p>
            <w:pPr>
              <w:pStyle w:val="Celda"/>
            </w:pPr>
            <w:r>
              <w:rPr>
                <w:b/>
              </w:rPr>
              <w:t xml:space="preserve">Presupuesto mensual (€)</w:t>
            </w:r>
          </w:p>
        </w:tc>
        <w:tc>
          <w:tcPr>
            <w:tcW w:w="1606" w:type="dxa"/>
            <w:shd w:val="clear" w:color="auto" w:fill="F2DFCE"/>
          </w:tcPr>
          <w:p>
            <w:pPr>
              <w:pStyle w:val="Celda"/>
            </w:pPr>
            <w:r>
              <w:rPr>
                <w:b/>
              </w:rPr>
              <w:t xml:space="preserve">Presupuesto anual (€)</w:t>
            </w:r>
          </w:p>
        </w:tc>
        <w:tc>
          <w:tcPr>
            <w:tcW w:w="1606" w:type="dxa"/>
            <w:shd w:val="clear" w:color="auto" w:fill="F2DFCE"/>
          </w:tcPr>
          <w:p>
            <w:pPr>
              <w:pStyle w:val="Celda"/>
            </w:pPr>
            <w:r>
              <w:rPr>
                <w:b/>
              </w:rPr>
              <w:t xml:space="preserve">Hipótesis de volumen</w:t>
            </w:r>
          </w:p>
        </w:tc>
        <w:tc>
          <w:tcPr>
            <w:tcW w:w="1606" w:type="dxa"/>
            <w:shd w:val="clear" w:color="auto" w:fill="F2DFCE"/>
          </w:tcPr>
          <w:p>
            <w:pPr>
              <w:pStyle w:val="Celda"/>
            </w:pPr>
            <w:r>
              <w:rPr>
                <w:b/>
              </w:rPr>
              <w:t xml:space="preserve">Fuente del consumo</w:t>
            </w:r>
          </w:p>
        </w:tc>
        <w:tc>
          <w:tcPr>
            <w:tcW w:w="1606" w:type="dxa"/>
            <w:shd w:val="clear" w:color="auto" w:fill="F2DFCE"/>
          </w:tcPr>
          <w:p>
            <w:pPr>
              <w:pStyle w:val="Celda"/>
            </w:pPr>
            <w:r>
              <w:rPr>
                <w:b/>
              </w:rPr>
              <w:t xml:space="preserve">Perfil no lineal (cierres, campañas)</w:t>
            </w:r>
          </w:p>
        </w:tc>
      </w:tr>
      <w:tr>
        <w:tc>
          <w:tcPr>
            <w:tcW w:w="1606" w:type="dxa"/>
          </w:tcPr>
          <w:p>
            <w:pPr>
              <w:pStyle w:val="Celda"/>
            </w:pPr>
            <w:r>
              <w:t xml:space="preserve">Consumo de modelos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Pasarela de modelos o facturación del proveedor</w:t>
            </w:r>
          </w:p>
        </w:tc>
        <w:tc>
          <w:tcPr>
            <w:tcW w:w="1606" w:type="dxa"/>
          </w:tcPr>
          <w:p>
            <w:pPr>
              <w:pStyle w:val="Celda"/>
            </w:pPr>
          </w:p>
        </w:tc>
      </w:tr>
      <w:tr>
        <w:tc>
          <w:tcPr>
            <w:tcW w:w="1606" w:type="dxa"/>
          </w:tcPr>
          <w:p>
            <w:pPr>
              <w:pStyle w:val="Celda"/>
            </w:pPr>
            <w:r>
              <w:t xml:space="preserve">Cómputo e infraestructura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Facturación de nube</w:t>
            </w:r>
          </w:p>
        </w:tc>
        <w:tc>
          <w:tcPr>
            <w:tcW w:w="1606" w:type="dxa"/>
          </w:tcPr>
          <w:p>
            <w:pPr>
              <w:pStyle w:val="Celda"/>
            </w:pPr>
          </w:p>
        </w:tc>
      </w:tr>
      <w:tr>
        <w:tc>
          <w:tcPr>
            <w:tcW w:w="1606" w:type="dxa"/>
          </w:tcPr>
          <w:p>
            <w:pPr>
              <w:pStyle w:val="Celda"/>
            </w:pPr>
            <w:r>
              <w:t xml:space="preserve">Otros costes variables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i/>
              </w:rPr>
              <w:t xml:space="preserve">(ejemplo ilustrativo)</w:t>
            </w:r>
            <w:r>
              <w:t xml:space="preserve"> Consumo de modelos del asistente de atención</w:t>
            </w:r>
          </w:p>
        </w:tc>
        <w:tc>
          <w:tcPr>
            <w:tcW w:w="1606" w:type="dxa"/>
          </w:tcPr>
          <w:p>
            <w:pPr>
              <w:pStyle w:val="Celda"/>
            </w:pPr>
            <w:r>
              <w:t xml:space="preserve">12.000</w:t>
            </w:r>
          </w:p>
        </w:tc>
        <w:tc>
          <w:tcPr>
            <w:tcW w:w="1606" w:type="dxa"/>
          </w:tcPr>
          <w:p>
            <w:pPr>
              <w:pStyle w:val="Celda"/>
            </w:pPr>
            <w:r>
              <w:t xml:space="preserve">144.000</w:t>
            </w:r>
          </w:p>
        </w:tc>
        <w:tc>
          <w:tcPr>
            <w:tcW w:w="1606" w:type="dxa"/>
          </w:tcPr>
          <w:p>
            <w:pPr>
              <w:pStyle w:val="Celda"/>
            </w:pPr>
            <w:r>
              <w:t xml:space="preserve">60.000 consultas al mes</w:t>
            </w:r>
          </w:p>
        </w:tc>
        <w:tc>
          <w:tcPr>
            <w:tcW w:w="1606" w:type="dxa"/>
          </w:tcPr>
          <w:p>
            <w:pPr>
              <w:pStyle w:val="Celda"/>
            </w:pPr>
            <w:r>
              <w:t xml:space="preserve">Pasarela de modelos</w:t>
            </w:r>
          </w:p>
        </w:tc>
        <w:tc>
          <w:tcPr>
            <w:tcW w:w="1606" w:type="dxa"/>
          </w:tcPr>
          <w:p>
            <w:pPr>
              <w:pStyle w:val="Celda"/>
            </w:pPr>
            <w:r>
              <w:t xml:space="preserve">Pico en la última semana del mes</w:t>
            </w:r>
          </w:p>
        </w:tc>
      </w:tr>
    </w:tbl>
    <w:p>
      <w:pPr>
        <w:pStyle w:val="Espacio"/>
      </w:pPr>
    </w:p>
    <w:p>
      <w:r>
        <w:rPr>
          <w:b/>
        </w:rPr>
        <w:t xml:space="preserve">Previsión de cierre del mes = consumo acumulado ÷ días transcurridos × días del mes.</w:t>
      </w:r>
      <w:r>
        <w:t xml:space="preserve"> Se recalcula a diario en agentes y en casos con exposición directa, y semanalmente en el resto (42 §8.1).</w:t>
      </w:r>
    </w:p>
    <w:p>
      <w:pPr>
        <w:pStyle w:val="Separador"/>
      </w:pPr>
    </w:p>
    <w:p>
      <w:pPr>
        <w:pStyle w:val="Heading1"/>
      </w:pPr>
      <w:r>
        <w:t xml:space="preserve">5. Alertas y respuesta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Umbral</w:t>
            </w:r>
          </w:p>
        </w:tc>
        <w:tc>
          <w:tcPr>
            <w:tcW w:w="1928" w:type="dxa"/>
            <w:shd w:val="clear" w:color="auto" w:fill="F2DFCE"/>
          </w:tcPr>
          <w:p>
            <w:pPr>
              <w:pStyle w:val="Celda"/>
            </w:pPr>
            <w:r>
              <w:rPr>
                <w:b/>
              </w:rPr>
              <w:t xml:space="preserve">Valor aprobado</w:t>
            </w:r>
          </w:p>
        </w:tc>
        <w:tc>
          <w:tcPr>
            <w:tcW w:w="1928" w:type="dxa"/>
            <w:shd w:val="clear" w:color="auto" w:fill="F2DFCE"/>
          </w:tcPr>
          <w:p>
            <w:pPr>
              <w:pStyle w:val="Celda"/>
            </w:pPr>
            <w:r>
              <w:rPr>
                <w:b/>
              </w:rPr>
              <w:t xml:space="preserve">Alerta a</w:t>
            </w:r>
          </w:p>
        </w:tc>
        <w:tc>
          <w:tcPr>
            <w:tcW w:w="1928" w:type="dxa"/>
            <w:shd w:val="clear" w:color="auto" w:fill="F2DFCE"/>
          </w:tcPr>
          <w:p>
            <w:pPr>
              <w:pStyle w:val="Celda"/>
            </w:pPr>
            <w:r>
              <w:rPr>
                <w:b/>
              </w:rPr>
              <w:t xml:space="preserve">Respuesta</w:t>
            </w:r>
          </w:p>
        </w:tc>
        <w:tc>
          <w:tcPr>
            <w:tcW w:w="1928" w:type="dxa"/>
            <w:shd w:val="clear" w:color="auto" w:fill="F2DFCE"/>
          </w:tcPr>
          <w:p>
            <w:pPr>
              <w:pStyle w:val="Celda"/>
            </w:pPr>
            <w:r>
              <w:rPr>
                <w:b/>
              </w:rPr>
              <w:t xml:space="preserve">Enlace a P25</w:t>
            </w:r>
          </w:p>
        </w:tc>
      </w:tr>
      <w:tr>
        <w:tc>
          <w:tcPr>
            <w:tcW w:w="1928" w:type="dxa"/>
          </w:tcPr>
          <w:p>
            <w:pPr>
              <w:pStyle w:val="Celda"/>
            </w:pPr>
            <w:r>
              <w:t xml:space="preserve">Consumo sobre presupuesto (orientativo 50 %)</w:t>
            </w:r>
          </w:p>
        </w:tc>
        <w:tc>
          <w:tcPr>
            <w:tcW w:w="1928" w:type="dxa"/>
          </w:tcPr>
          <w:p>
            <w:pPr>
              <w:pStyle w:val="Celda"/>
            </w:pPr>
          </w:p>
        </w:tc>
        <w:tc>
          <w:tcPr>
            <w:tcW w:w="1928" w:type="dxa"/>
          </w:tcPr>
          <w:p>
            <w:pPr>
              <w:pStyle w:val="Celda"/>
            </w:pPr>
            <w:r>
              <w:t xml:space="preserve">Responsable de operación</w:t>
            </w:r>
          </w:p>
        </w:tc>
        <w:tc>
          <w:tcPr>
            <w:tcW w:w="1928" w:type="dxa"/>
          </w:tcPr>
          <w:p>
            <w:pPr>
              <w:pStyle w:val="Celda"/>
            </w:pPr>
            <w:r>
              <w:t xml:space="preserve">Revisar la previsión.</w:t>
            </w:r>
          </w:p>
        </w:tc>
        <w:tc>
          <w:tcPr>
            <w:tcW w:w="1928" w:type="dxa"/>
          </w:tcPr>
          <w:p>
            <w:pPr>
              <w:pStyle w:val="Celda"/>
            </w:pPr>
          </w:p>
        </w:tc>
      </w:tr>
      <w:tr>
        <w:tc>
          <w:tcPr>
            <w:tcW w:w="1928" w:type="dxa"/>
          </w:tcPr>
          <w:p>
            <w:pPr>
              <w:pStyle w:val="Celda"/>
            </w:pPr>
            <w:r>
              <w:t xml:space="preserve">Consumo sobre presupuesto (orientativo 80 %) o previsión de cierre &gt; 100 %</w:t>
            </w:r>
          </w:p>
        </w:tc>
        <w:tc>
          <w:tcPr>
            <w:tcW w:w="1928" w:type="dxa"/>
          </w:tcPr>
          <w:p>
            <w:pPr>
              <w:pStyle w:val="Celda"/>
            </w:pPr>
          </w:p>
        </w:tc>
        <w:tc>
          <w:tcPr>
            <w:tcW w:w="1928" w:type="dxa"/>
          </w:tcPr>
          <w:p>
            <w:pPr>
              <w:pStyle w:val="Celda"/>
            </w:pPr>
            <w:r>
              <w:t xml:space="preserve">Responsable de operación y de producto</w:t>
            </w:r>
          </w:p>
        </w:tc>
        <w:tc>
          <w:tcPr>
            <w:tcW w:w="1928" w:type="dxa"/>
          </w:tcPr>
          <w:p>
            <w:pPr>
              <w:pStyle w:val="Celda"/>
            </w:pPr>
            <w:r>
              <w:t xml:space="preserve">Analizar la causa y decidir medidas; activar N1 si está definido.</w:t>
            </w:r>
          </w:p>
        </w:tc>
        <w:tc>
          <w:tcPr>
            <w:tcW w:w="1928" w:type="dxa"/>
          </w:tcPr>
          <w:p>
            <w:pPr>
              <w:pStyle w:val="Celda"/>
            </w:pPr>
          </w:p>
        </w:tc>
      </w:tr>
      <w:tr>
        <w:tc>
          <w:tcPr>
            <w:tcW w:w="1928" w:type="dxa"/>
          </w:tcPr>
          <w:p>
            <w:pPr>
              <w:pStyle w:val="Celda"/>
            </w:pPr>
            <w:r>
              <w:t xml:space="preserve">Consumo sobre presupuesto (orientativo 100 %)</w:t>
            </w:r>
          </w:p>
        </w:tc>
        <w:tc>
          <w:tcPr>
            <w:tcW w:w="1928" w:type="dxa"/>
          </w:tcPr>
          <w:p>
            <w:pPr>
              <w:pStyle w:val="Celda"/>
            </w:pPr>
          </w:p>
        </w:tc>
        <w:tc>
          <w:tcPr>
            <w:tcW w:w="1928" w:type="dxa"/>
          </w:tcPr>
          <w:p>
            <w:pPr>
              <w:pStyle w:val="Celda"/>
            </w:pPr>
            <w:r>
              <w:t xml:space="preserve">Patrocinador y oficina de IA</w:t>
            </w:r>
          </w:p>
        </w:tc>
        <w:tc>
          <w:tcPr>
            <w:tcW w:w="1928" w:type="dxa"/>
          </w:tcPr>
          <w:p>
            <w:pPr>
              <w:pStyle w:val="Celda"/>
            </w:pPr>
            <w:r>
              <w:t xml:space="preserve">Nivel de la cascada que corresponda o suplemento con motivo.</w:t>
            </w:r>
          </w:p>
        </w:tc>
        <w:tc>
          <w:tcPr>
            <w:tcW w:w="1928" w:type="dxa"/>
          </w:tcPr>
          <w:p>
            <w:pPr>
              <w:pStyle w:val="Celda"/>
            </w:pPr>
          </w:p>
        </w:tc>
      </w:tr>
      <w:tr>
        <w:tc>
          <w:tcPr>
            <w:tcW w:w="1928" w:type="dxa"/>
          </w:tcPr>
          <w:p>
            <w:pPr>
              <w:pStyle w:val="Celda"/>
            </w:pPr>
            <w:r>
              <w:t xml:space="preserve">Consumo anómalo</w:t>
            </w:r>
          </w:p>
        </w:tc>
        <w:tc>
          <w:tcPr>
            <w:tcW w:w="1928" w:type="dxa"/>
          </w:tcPr>
          <w:p>
            <w:pPr>
              <w:pStyle w:val="Celda"/>
            </w:pPr>
          </w:p>
        </w:tc>
        <w:tc>
          <w:tcPr>
            <w:tcW w:w="1928" w:type="dxa"/>
          </w:tcPr>
          <w:p>
            <w:pPr>
              <w:pStyle w:val="Celda"/>
            </w:pPr>
            <w:r>
              <w:t xml:space="preserve">Responsable de operación y seguridad</w:t>
            </w:r>
          </w:p>
        </w:tc>
        <w:tc>
          <w:tcPr>
            <w:tcW w:w="1928" w:type="dxa"/>
          </w:tcPr>
          <w:p>
            <w:pPr>
              <w:pStyle w:val="Celda"/>
            </w:pPr>
            <w:r>
              <w:t xml:space="preserve">Tratarlo como posible incidente (documento 37).</w:t>
            </w:r>
          </w:p>
        </w:tc>
        <w:tc>
          <w:tcPr>
            <w:tcW w:w="1928" w:type="dxa"/>
          </w:tcPr>
          <w:p>
            <w:pPr>
              <w:pStyle w:val="Celda"/>
            </w:pPr>
          </w:p>
        </w:tc>
      </w:tr>
    </w:tbl>
    <w:p>
      <w:pPr>
        <w:pStyle w:val="Espacio"/>
      </w:pPr>
    </w:p>
    <w:p>
      <w:pPr>
        <w:pStyle w:val="Separador"/>
      </w:pPr>
    </w:p>
    <w:p>
      <w:pPr>
        <w:pStyle w:val="Heading1"/>
      </w:pPr>
      <w:r>
        <w:t xml:space="preserve">6. Límites técnicos por agente</w:t>
      </w:r>
    </w:p>
    <w:p>
      <w:r>
        <w:t xml:space="preserve">Solo si el sistema incluye agentes. Se configuran en P18 y se comprueban en G5 (42 §8.3).</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Agente</w:t>
            </w:r>
          </w:p>
        </w:tc>
        <w:tc>
          <w:tcPr>
            <w:tcW w:w="1606" w:type="dxa"/>
            <w:shd w:val="clear" w:color="auto" w:fill="F2DFCE"/>
          </w:tcPr>
          <w:p>
            <w:pPr>
              <w:pStyle w:val="Celda"/>
            </w:pPr>
            <w:r>
              <w:rPr>
                <w:b/>
              </w:rPr>
              <w:t xml:space="preserve">Coste máximo por ejecución</w:t>
            </w:r>
          </w:p>
        </w:tc>
        <w:tc>
          <w:tcPr>
            <w:tcW w:w="1606" w:type="dxa"/>
            <w:shd w:val="clear" w:color="auto" w:fill="F2DFCE"/>
          </w:tcPr>
          <w:p>
            <w:pPr>
              <w:pStyle w:val="Celda"/>
            </w:pPr>
            <w:r>
              <w:rPr>
                <w:b/>
              </w:rPr>
              <w:t xml:space="preserve">Llamadas máximas por ejecución</w:t>
            </w:r>
          </w:p>
        </w:tc>
        <w:tc>
          <w:tcPr>
            <w:tcW w:w="1606" w:type="dxa"/>
            <w:shd w:val="clear" w:color="auto" w:fill="F2DFCE"/>
          </w:tcPr>
          <w:p>
            <w:pPr>
              <w:pStyle w:val="Celda"/>
            </w:pPr>
            <w:r>
              <w:rPr>
                <w:b/>
              </w:rPr>
              <w:t xml:space="preserve">Gasto máximo diario y mensual</w:t>
            </w:r>
          </w:p>
        </w:tc>
        <w:tc>
          <w:tcPr>
            <w:tcW w:w="1606" w:type="dxa"/>
            <w:shd w:val="clear" w:color="auto" w:fill="F2DFCE"/>
          </w:tcPr>
          <w:p>
            <w:pPr>
              <w:pStyle w:val="Celda"/>
            </w:pPr>
            <w:r>
              <w:rPr>
                <w:b/>
              </w:rPr>
              <w:t xml:space="preserve">Ejecuciones concurrentes</w:t>
            </w:r>
          </w:p>
        </w:tc>
        <w:tc>
          <w:tcPr>
            <w:tcW w:w="1606" w:type="dxa"/>
            <w:shd w:val="clear" w:color="auto" w:fill="F2DFCE"/>
          </w:tcPr>
          <w:p>
            <w:pPr>
              <w:pStyle w:val="Celda"/>
            </w:pPr>
            <w:r>
              <w:rPr>
                <w:b/>
              </w:rPr>
              <w:t xml:space="preserve">Acción al alcanzar el límite</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Detener · Derivar a una persona · Modo degradado, con registro</w:t>
            </w:r>
          </w:p>
        </w:tc>
      </w:tr>
    </w:tbl>
    <w:p>
      <w:pPr>
        <w:pStyle w:val="Espacio"/>
      </w:pPr>
    </w:p>
    <w:p>
      <w:r>
        <w:t xml:space="preserve">El interruptor de parada del agente puede activarse también por motivo de coste.</w:t>
      </w:r>
    </w:p>
    <w:p>
      <w:pPr>
        <w:pStyle w:val="Separador"/>
      </w:pPr>
    </w:p>
    <w:p>
      <w:pPr>
        <w:pStyle w:val="Heading1"/>
      </w:pPr>
      <w:r>
        <w:t xml:space="preserve">7. Cascada de degradación por coste</w:t>
      </w:r>
    </w:p>
    <w:p>
      <w:r>
        <w:t xml:space="preserve">Definida en P24, con la calidad mínima de P25 y el modelo de respaldo registrado en P16 (52 §10.3).</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Qué se hace en este sistema</w:t>
            </w:r>
          </w:p>
        </w:tc>
        <w:tc>
          <w:tcPr>
            <w:tcW w:w="1606" w:type="dxa"/>
            <w:shd w:val="clear" w:color="auto" w:fill="F2DFCE"/>
          </w:tcPr>
          <w:p>
            <w:pPr>
              <w:pStyle w:val="Celda"/>
            </w:pPr>
            <w:r>
              <w:rPr>
                <w:b/>
              </w:rPr>
              <w:t xml:space="preserve">Disparador</w:t>
            </w:r>
          </w:p>
        </w:tc>
        <w:tc>
          <w:tcPr>
            <w:tcW w:w="1606" w:type="dxa"/>
            <w:shd w:val="clear" w:color="auto" w:fill="F2DFCE"/>
          </w:tcPr>
          <w:p>
            <w:pPr>
              <w:pStyle w:val="Celda"/>
            </w:pPr>
            <w:r>
              <w:rPr>
                <w:b/>
              </w:rPr>
              <w:t xml:space="preserve">Quién lo activa</w:t>
            </w:r>
          </w:p>
        </w:tc>
        <w:tc>
          <w:tcPr>
            <w:tcW w:w="1606" w:type="dxa"/>
            <w:shd w:val="clear" w:color="auto" w:fill="F2DFCE"/>
          </w:tcPr>
          <w:p>
            <w:pPr>
              <w:pStyle w:val="Celda"/>
            </w:pPr>
            <w:r>
              <w:rPr>
                <w:b/>
              </w:rPr>
              <w:t xml:space="preserve">Condición cumplida (Sí · No · No aplica)</w:t>
            </w:r>
          </w:p>
        </w:tc>
        <w:tc>
          <w:tcPr>
            <w:tcW w:w="1606" w:type="dxa"/>
            <w:shd w:val="clear" w:color="auto" w:fill="F2DFCE"/>
          </w:tcPr>
          <w:p>
            <w:pPr>
              <w:pStyle w:val="Celda"/>
            </w:pPr>
            <w:r>
              <w:rPr>
                <w:b/>
              </w:rPr>
              <w:t xml:space="preserve">Calidad mínima durante el nivel</w:t>
            </w:r>
          </w:p>
        </w:tc>
      </w:tr>
      <w:tr>
        <w:tc>
          <w:tcPr>
            <w:tcW w:w="1606" w:type="dxa"/>
          </w:tcPr>
          <w:p>
            <w:pPr>
              <w:pStyle w:val="Celda"/>
            </w:pPr>
            <w:r>
              <w:t xml:space="preserve">N0 · Operación normal</w:t>
            </w:r>
          </w:p>
        </w:tc>
        <w:tc>
          <w:tcPr>
            <w:tcW w:w="1606" w:type="dxa"/>
          </w:tcPr>
          <w:p>
            <w:pPr>
              <w:pStyle w:val="Celda"/>
            </w:pPr>
            <w:r>
              <w:t xml:space="preserve">Modelo principal y configuración de G5</w:t>
            </w:r>
          </w:p>
        </w:tc>
        <w:tc>
          <w:tcPr>
            <w:tcW w:w="1606" w:type="dxa"/>
          </w:tcPr>
          <w:p>
            <w:pPr>
              <w:pStyle w:val="Celda"/>
            </w:pPr>
            <w:r>
              <w:t xml:space="preserve">—</w:t>
            </w:r>
          </w:p>
        </w:tc>
        <w:tc>
          <w:tcPr>
            <w:tcW w:w="1606" w:type="dxa"/>
          </w:tcPr>
          <w:p>
            <w:pPr>
              <w:pStyle w:val="Celda"/>
            </w:pPr>
            <w:r>
              <w:t xml:space="preserve">—</w:t>
            </w:r>
          </w:p>
        </w:tc>
        <w:tc>
          <w:tcPr>
            <w:tcW w:w="1606" w:type="dxa"/>
          </w:tcPr>
          <w:p>
            <w:pPr>
              <w:pStyle w:val="Celda"/>
            </w:pPr>
            <w:r>
              <w:t xml:space="preserve">—</w:t>
            </w:r>
          </w:p>
        </w:tc>
        <w:tc>
          <w:tcPr>
            <w:tcW w:w="1606" w:type="dxa"/>
          </w:tcPr>
          <w:p>
            <w:pPr>
              <w:pStyle w:val="Celda"/>
            </w:pPr>
            <w:r>
              <w:t xml:space="preserve">—</w:t>
            </w:r>
          </w:p>
        </w:tc>
      </w:tr>
      <w:tr>
        <w:tc>
          <w:tcPr>
            <w:tcW w:w="1606" w:type="dxa"/>
          </w:tcPr>
          <w:p>
            <w:pPr>
              <w:pStyle w:val="Celda"/>
            </w:pPr>
            <w:r>
              <w:t xml:space="preserve">N1 · Optimización sin cambio de modelo</w:t>
            </w:r>
          </w:p>
        </w:tc>
        <w:tc>
          <w:tcPr>
            <w:tcW w:w="1606" w:type="dxa"/>
          </w:tcPr>
          <w:p>
            <w:pPr>
              <w:pStyle w:val="Celda"/>
            </w:pPr>
          </w:p>
        </w:tc>
        <w:tc>
          <w:tcPr>
            <w:tcW w:w="1606" w:type="dxa"/>
          </w:tcPr>
          <w:p>
            <w:pPr>
              <w:pStyle w:val="Celda"/>
            </w:pPr>
            <w:r>
              <w:rPr>
                <w:i/>
              </w:rPr>
              <w:t xml:space="preserve">(ejemplo ilustrativo)</w:t>
            </w:r>
            <w:r>
              <w:t xml:space="preserve"> 80 % del presupuesto</w:t>
            </w:r>
          </w:p>
        </w:tc>
        <w:tc>
          <w:tcPr>
            <w:tcW w:w="1606" w:type="dxa"/>
          </w:tcPr>
          <w:p>
            <w:pPr>
              <w:pStyle w:val="Celda"/>
            </w:pPr>
          </w:p>
        </w:tc>
        <w:tc>
          <w:tcPr>
            <w:tcW w:w="1606" w:type="dxa"/>
          </w:tcPr>
          <w:p>
            <w:pPr>
              <w:pStyle w:val="Celda"/>
            </w:pPr>
            <w:r>
              <w:t xml:space="preserve">Parámetros dentro de los rangos de G5</w:t>
            </w:r>
          </w:p>
        </w:tc>
        <w:tc>
          <w:tcPr>
            <w:tcW w:w="1606" w:type="dxa"/>
          </w:tcPr>
          <w:p>
            <w:pPr>
              <w:pStyle w:val="Celda"/>
            </w:pPr>
          </w:p>
        </w:tc>
      </w:tr>
      <w:tr>
        <w:tc>
          <w:tcPr>
            <w:tcW w:w="1606" w:type="dxa"/>
          </w:tcPr>
          <w:p>
            <w:pPr>
              <w:pStyle w:val="Celda"/>
            </w:pPr>
            <w:r>
              <w:t xml:space="preserve">N2 · Modelo de respaldo </w:t>
            </w:r>
            <w:r>
              <w:rPr>
                <w:b/>
              </w:rPr>
              <w:t xml:space="preserve">(Enterprise; opcional en Lite)</w:t>
            </w:r>
          </w:p>
        </w:tc>
        <w:tc>
          <w:tcPr>
            <w:tcW w:w="1606" w:type="dxa"/>
          </w:tcPr>
          <w:p>
            <w:pPr>
              <w:pStyle w:val="Celda"/>
            </w:pPr>
          </w:p>
        </w:tc>
        <w:tc>
          <w:tcPr>
            <w:tcW w:w="1606" w:type="dxa"/>
          </w:tcPr>
          <w:p>
            <w:pPr>
              <w:pStyle w:val="Celda"/>
            </w:pPr>
            <w:r>
              <w:rPr>
                <w:i/>
              </w:rPr>
              <w:t xml:space="preserve">(ejemplo ilustrativo)</w:t>
            </w:r>
            <w:r>
              <w:t xml:space="preserve"> 100 % del presupuesto</w:t>
            </w:r>
          </w:p>
        </w:tc>
        <w:tc>
          <w:tcPr>
            <w:tcW w:w="1606" w:type="dxa"/>
          </w:tcPr>
          <w:p>
            <w:pPr>
              <w:pStyle w:val="Celda"/>
            </w:pPr>
          </w:p>
        </w:tc>
        <w:tc>
          <w:tcPr>
            <w:tcW w:w="1606" w:type="dxa"/>
          </w:tcPr>
          <w:p>
            <w:pPr>
              <w:pStyle w:val="Celda"/>
            </w:pPr>
            <w:r>
              <w:t xml:space="preserve">Evaluado antes de G5 con el conjunto de referencia y las pruebas de sesgo; versión en P16</w:t>
            </w:r>
          </w:p>
        </w:tc>
        <w:tc>
          <w:tcPr>
            <w:tcW w:w="1606" w:type="dxa"/>
          </w:tcPr>
          <w:p>
            <w:pPr>
              <w:pStyle w:val="Celda"/>
            </w:pPr>
          </w:p>
        </w:tc>
      </w:tr>
      <w:tr>
        <w:tc>
          <w:tcPr>
            <w:tcW w:w="1606" w:type="dxa"/>
          </w:tcPr>
          <w:p>
            <w:pPr>
              <w:pStyle w:val="Celda"/>
            </w:pPr>
            <w:r>
              <w:t xml:space="preserve">N3 · Alcance reducido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Criterio de reparto en P24 y personas disponibles</w:t>
            </w:r>
          </w:p>
        </w:tc>
        <w:tc>
          <w:tcPr>
            <w:tcW w:w="1606" w:type="dxa"/>
          </w:tcPr>
          <w:p>
            <w:pPr>
              <w:pStyle w:val="Celda"/>
            </w:pPr>
          </w:p>
        </w:tc>
      </w:tr>
      <w:tr>
        <w:tc>
          <w:tcPr>
            <w:tcW w:w="1606" w:type="dxa"/>
          </w:tcPr>
          <w:p>
            <w:pPr>
              <w:pStyle w:val="Celda"/>
            </w:pPr>
            <w:r>
              <w:t xml:space="preserve">N4 · Alternativa sin IA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Plan de reversión probado (P19)</w:t>
            </w: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¿El sistema decide o recomienda sobre personas, soporta una función crítica o es de alto riesgo?</w:t>
            </w:r>
          </w:p>
        </w:tc>
        <w:tc>
          <w:tcPr>
            <w:tcW w:w="3213" w:type="dxa"/>
          </w:tcPr>
          <w:p>
            <w:pPr>
              <w:pStyle w:val="Celda"/>
            </w:pPr>
          </w:p>
        </w:tc>
        <w:tc>
          <w:tcPr>
            <w:tcW w:w="3213" w:type="dxa"/>
          </w:tcPr>
          <w:p>
            <w:pPr>
              <w:pStyle w:val="Celda"/>
            </w:pPr>
            <w:r>
              <w:t xml:space="preserve">Si es Sí, no se usa N2 salvo validación específica para ese uso; se pasa a N3, N4 o suplemento (52 §10.3, regla 2).</w:t>
            </w:r>
          </w:p>
        </w:tc>
      </w:tr>
      <w:tr>
        <w:tc>
          <w:tcPr>
            <w:tcW w:w="3213" w:type="dxa"/>
          </w:tcPr>
          <w:p>
            <w:pPr>
              <w:pStyle w:val="Celda"/>
            </w:pPr>
            <w:r>
              <w:t xml:space="preserve">Prueba de la cascada antes de G5</w:t>
            </w:r>
          </w:p>
        </w:tc>
        <w:tc>
          <w:tcPr>
            <w:tcW w:w="3213" w:type="dxa"/>
          </w:tcPr>
          <w:p>
            <w:pPr>
              <w:pStyle w:val="Celda"/>
            </w:pPr>
          </w:p>
        </w:tc>
        <w:tc>
          <w:tcPr>
            <w:tcW w:w="3213" w:type="dxa"/>
          </w:tcPr>
          <w:p>
            <w:pPr>
              <w:pStyle w:val="Celda"/>
            </w:pPr>
            <w:r>
              <w:t xml:space="preserve">Fecha y resultado, junto con la prueba de reversión.</w:t>
            </w:r>
          </w:p>
        </w:tc>
      </w:tr>
    </w:tbl>
    <w:p>
      <w:pPr>
        <w:pStyle w:val="Espacio"/>
      </w:pPr>
    </w:p>
    <w:p>
      <w:pPr>
        <w:pStyle w:val="Separador"/>
      </w:pPr>
    </w:p>
    <w:p>
      <w:pPr>
        <w:pStyle w:val="Heading1"/>
      </w:pPr>
      <w:r>
        <w:t xml:space="preserve">8. Seguimiento mensual del consumo</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Mes</w:t>
            </w:r>
          </w:p>
        </w:tc>
        <w:tc>
          <w:tcPr>
            <w:tcW w:w="1205" w:type="dxa"/>
            <w:shd w:val="clear" w:color="auto" w:fill="F2DFCE"/>
          </w:tcPr>
          <w:p>
            <w:pPr>
              <w:pStyle w:val="Celda"/>
            </w:pPr>
            <w:r>
              <w:rPr>
                <w:b/>
              </w:rPr>
              <w:t xml:space="preserve">Presupuesto (€)</w:t>
            </w:r>
          </w:p>
        </w:tc>
        <w:tc>
          <w:tcPr>
            <w:tcW w:w="1205" w:type="dxa"/>
            <w:shd w:val="clear" w:color="auto" w:fill="F2DFCE"/>
          </w:tcPr>
          <w:p>
            <w:pPr>
              <w:pStyle w:val="Celda"/>
            </w:pPr>
            <w:r>
              <w:rPr>
                <w:b/>
              </w:rPr>
              <w:t xml:space="preserve">Consumo real (€)</w:t>
            </w:r>
          </w:p>
        </w:tc>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Días en N1 · N2 · N3 · N4</w:t>
            </w:r>
          </w:p>
        </w:tc>
        <w:tc>
          <w:tcPr>
            <w:tcW w:w="1205" w:type="dxa"/>
            <w:shd w:val="clear" w:color="auto" w:fill="F2DFCE"/>
          </w:tcPr>
          <w:p>
            <w:pPr>
              <w:pStyle w:val="Celda"/>
            </w:pPr>
            <w:r>
              <w:rPr>
                <w:b/>
              </w:rPr>
              <w:t xml:space="preserve">Calidad medida en el modo frente al mínimo (OPE-18)</w:t>
            </w:r>
          </w:p>
        </w:tc>
        <w:tc>
          <w:tcPr>
            <w:tcW w:w="1205" w:type="dxa"/>
            <w:shd w:val="clear" w:color="auto" w:fill="F2DFCE"/>
          </w:tcPr>
          <w:p>
            <w:pPr>
              <w:pStyle w:val="Celda"/>
            </w:pPr>
            <w:r>
              <w:rPr>
                <w:b/>
              </w:rPr>
              <w:t xml:space="preserve">Suplementos aprobados</w:t>
            </w:r>
          </w:p>
        </w:tc>
        <w:tc>
          <w:tcPr>
            <w:tcW w:w="1205" w:type="dxa"/>
            <w:shd w:val="clear" w:color="auto" w:fill="F2DFCE"/>
          </w:tcPr>
          <w:p>
            <w:pPr>
              <w:pStyle w:val="Celda"/>
            </w:pPr>
            <w:r>
              <w:rPr>
                <w:b/>
              </w:rPr>
              <w:t xml:space="preserve">Causa y acción</w:t>
            </w:r>
          </w:p>
        </w:tc>
      </w:tr>
      <w:tr>
        <w:tc>
          <w:tcPr>
            <w:tcW w:w="1205" w:type="dxa"/>
          </w:tcPr>
          <w:p>
            <w:pPr>
              <w:pStyle w:val="Celda"/>
            </w:pPr>
            <w:r>
              <w:rPr>
                <w:i/>
              </w:rPr>
              <w:t xml:space="preserve">(ejemplo ilustrativo)</w:t>
            </w:r>
            <w:r>
              <w:t xml:space="preserve"> Marzo 2027</w:t>
            </w:r>
          </w:p>
        </w:tc>
        <w:tc>
          <w:tcPr>
            <w:tcW w:w="1205" w:type="dxa"/>
          </w:tcPr>
          <w:p>
            <w:pPr>
              <w:pStyle w:val="Celda"/>
            </w:pPr>
            <w:r>
              <w:t xml:space="preserve">12.000</w:t>
            </w:r>
          </w:p>
        </w:tc>
        <w:tc>
          <w:tcPr>
            <w:tcW w:w="1205" w:type="dxa"/>
          </w:tcPr>
          <w:p>
            <w:pPr>
              <w:pStyle w:val="Celda"/>
            </w:pPr>
            <w:r>
              <w:t xml:space="preserve">12.600</w:t>
            </w:r>
          </w:p>
        </w:tc>
        <w:tc>
          <w:tcPr>
            <w:tcW w:w="1205" w:type="dxa"/>
          </w:tcPr>
          <w:p>
            <w:pPr>
              <w:pStyle w:val="Celda"/>
            </w:pPr>
            <w:r>
              <w:t xml:space="preserve">105 %</w:t>
            </w:r>
          </w:p>
        </w:tc>
        <w:tc>
          <w:tcPr>
            <w:tcW w:w="1205" w:type="dxa"/>
          </w:tcPr>
          <w:p>
            <w:pPr>
              <w:pStyle w:val="Celda"/>
            </w:pPr>
            <w:r>
              <w:t xml:space="preserve">6 · 5 · 0 · 0</w:t>
            </w:r>
          </w:p>
        </w:tc>
        <w:tc>
          <w:tcPr>
            <w:tcW w:w="1205" w:type="dxa"/>
          </w:tcPr>
          <w:p>
            <w:pPr>
              <w:pStyle w:val="Celda"/>
            </w:pPr>
            <w:r>
              <w:t xml:space="preserve">91 % frente a 88 %</w:t>
            </w:r>
          </w:p>
        </w:tc>
        <w:tc>
          <w:tcPr>
            <w:tcW w:w="1205" w:type="dxa"/>
          </w:tcPr>
          <w:p>
            <w:pPr>
              <w:pStyle w:val="Celda"/>
            </w:pPr>
            <w:r>
              <w:t xml:space="preserve">No</w:t>
            </w:r>
          </w:p>
        </w:tc>
        <w:tc>
          <w:tcPr>
            <w:tcW w:w="1205" w:type="dxa"/>
          </w:tcPr>
          <w:p>
            <w:pPr>
              <w:pStyle w:val="Celda"/>
            </w:pPr>
            <w:r>
              <w:t xml:space="preserve">Crecimiento del volumen real; la R6 ajusta el presupuesto</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Cada activación y cada vuelta a N0 se registran en P27. Más de un mes en N2 o superior se lleva a la siguiente R6 con propuesta: suplemento, optimización definitiva (42 §8.5) o cambio del modelo principal.</w:t>
      </w:r>
    </w:p>
    <w:p>
      <w:pPr>
        <w:pStyle w:val="Separador"/>
      </w:pPr>
    </w:p>
    <w:p>
      <w:pPr>
        <w:pStyle w:val="Heading1"/>
      </w:pPr>
      <w:r>
        <w:t xml:space="preserve">9. Claves de reparto de costes compartidos</w:t>
      </w:r>
    </w:p>
    <w:p>
      <w:r>
        <w:t xml:space="preserve">Aprobadas en C3 por el comité de IA con control de gestión, para todo el ejercicio (42 §6 y §11.2). Método en el orden de 42 §6.1: imputación directa · consumo medido · inductor de coste · reparto ponderado.</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Nº</w:t>
            </w:r>
          </w:p>
        </w:tc>
        <w:tc>
          <w:tcPr>
            <w:tcW w:w="1071" w:type="dxa"/>
            <w:shd w:val="clear" w:color="auto" w:fill="F2DFCE"/>
          </w:tcPr>
          <w:p>
            <w:pPr>
              <w:pStyle w:val="Celda"/>
            </w:pPr>
            <w:r>
              <w:rPr>
                <w:b/>
              </w:rPr>
              <w:t xml:space="preserve">Coste compartido</w:t>
            </w:r>
          </w:p>
        </w:tc>
        <w:tc>
          <w:tcPr>
            <w:tcW w:w="1071" w:type="dxa"/>
            <w:shd w:val="clear" w:color="auto" w:fill="F2DFCE"/>
          </w:tcPr>
          <w:p>
            <w:pPr>
              <w:pStyle w:val="Celda"/>
            </w:pPr>
            <w:r>
              <w:rPr>
                <w:b/>
              </w:rPr>
              <w:t xml:space="preserve">Importe anual (€)</w:t>
            </w:r>
          </w:p>
        </w:tc>
        <w:tc>
          <w:tcPr>
            <w:tcW w:w="1071" w:type="dxa"/>
            <w:shd w:val="clear" w:color="auto" w:fill="F2DFCE"/>
          </w:tcPr>
          <w:p>
            <w:pPr>
              <w:pStyle w:val="Celda"/>
            </w:pPr>
            <w:r>
              <w:rPr>
                <w:b/>
              </w:rPr>
              <w:t xml:space="preserve">Método</w:t>
            </w:r>
          </w:p>
        </w:tc>
        <w:tc>
          <w:tcPr>
            <w:tcW w:w="1071" w:type="dxa"/>
            <w:shd w:val="clear" w:color="auto" w:fill="F2DFCE"/>
          </w:tcPr>
          <w:p>
            <w:pPr>
              <w:pStyle w:val="Celda"/>
            </w:pPr>
            <w:r>
              <w:rPr>
                <w:b/>
              </w:rPr>
              <w:t xml:space="preserve">Clave preferente</w:t>
            </w:r>
          </w:p>
        </w:tc>
        <w:tc>
          <w:tcPr>
            <w:tcW w:w="1071" w:type="dxa"/>
            <w:shd w:val="clear" w:color="auto" w:fill="F2DFCE"/>
          </w:tcPr>
          <w:p>
            <w:pPr>
              <w:pStyle w:val="Celda"/>
            </w:pPr>
            <w:r>
              <w:rPr>
                <w:b/>
              </w:rPr>
              <w:t xml:space="preserve">Clave alternativa</w:t>
            </w:r>
          </w:p>
        </w:tc>
        <w:tc>
          <w:tcPr>
            <w:tcW w:w="1071" w:type="dxa"/>
            <w:shd w:val="clear" w:color="auto" w:fill="F2DFCE"/>
          </w:tcPr>
          <w:p>
            <w:pPr>
              <w:pStyle w:val="Celda"/>
            </w:pPr>
            <w:r>
              <w:rPr>
                <w:b/>
              </w:rPr>
              <w:t xml:space="preserve">Lo que no se reparte a casos</w:t>
            </w:r>
          </w:p>
        </w:tc>
        <w:tc>
          <w:tcPr>
            <w:tcW w:w="1071" w:type="dxa"/>
            <w:shd w:val="clear" w:color="auto" w:fill="F2DFCE"/>
          </w:tcPr>
          <w:p>
            <w:pPr>
              <w:pStyle w:val="Celda"/>
            </w:pPr>
            <w:r>
              <w:rPr>
                <w:b/>
              </w:rPr>
              <w:t xml:space="preserve">Tolerancia de consumo sin etiquetar</w:t>
            </w:r>
          </w:p>
        </w:tc>
        <w:tc>
          <w:tcPr>
            <w:tcW w:w="1071" w:type="dxa"/>
            <w:shd w:val="clear" w:color="auto" w:fill="F2DFCE"/>
          </w:tcPr>
          <w:p>
            <w:pPr>
              <w:pStyle w:val="Celda"/>
            </w:pPr>
            <w:r>
              <w:rPr>
                <w:b/>
              </w:rPr>
              <w:t xml:space="preserve">Fecha de aprobación</w:t>
            </w:r>
          </w:p>
        </w:tc>
      </w:tr>
      <w:tr>
        <w:tc>
          <w:tcPr>
            <w:tcW w:w="1071" w:type="dxa"/>
          </w:tcPr>
          <w:p>
            <w:pPr>
              <w:pStyle w:val="Celda"/>
            </w:pPr>
            <w:r>
              <w:t xml:space="preserve">CR-01 </w:t>
            </w:r>
            <w:r>
              <w:rPr>
                <w:i/>
              </w:rPr>
              <w:t xml:space="preserve">(ejemplo ilustrativo)</w:t>
            </w:r>
          </w:p>
        </w:tc>
        <w:tc>
          <w:tcPr>
            <w:tcW w:w="1071" w:type="dxa"/>
          </w:tcPr>
          <w:p>
            <w:pPr>
              <w:pStyle w:val="Celda"/>
            </w:pPr>
            <w:r>
              <w:t xml:space="preserve">Plataforma de modelos compartida</w:t>
            </w:r>
          </w:p>
        </w:tc>
        <w:tc>
          <w:tcPr>
            <w:tcW w:w="1071" w:type="dxa"/>
          </w:tcPr>
          <w:p>
            <w:pPr>
              <w:pStyle w:val="Celda"/>
            </w:pPr>
            <w:r>
              <w:t xml:space="preserve">240.000</w:t>
            </w:r>
          </w:p>
        </w:tc>
        <w:tc>
          <w:tcPr>
            <w:tcW w:w="1071" w:type="dxa"/>
          </w:tcPr>
          <w:p>
            <w:pPr>
              <w:pStyle w:val="Celda"/>
            </w:pPr>
            <w:r>
              <w:t xml:space="preserve">Consumo medido</w:t>
            </w:r>
          </w:p>
        </w:tc>
        <w:tc>
          <w:tcPr>
            <w:tcW w:w="1071" w:type="dxa"/>
          </w:tcPr>
          <w:p>
            <w:pPr>
              <w:pStyle w:val="Celda"/>
            </w:pPr>
            <w:r>
              <w:t xml:space="preserve">Consumo por clave de acceso</w:t>
            </w:r>
          </w:p>
        </w:tc>
        <w:tc>
          <w:tcPr>
            <w:tcW w:w="1071" w:type="dxa"/>
          </w:tcPr>
          <w:p>
            <w:pPr>
              <w:pStyle w:val="Celda"/>
            </w:pPr>
            <w:r>
              <w:t xml:space="preserve">Llamadas por caso</w:t>
            </w:r>
          </w:p>
        </w:tc>
        <w:tc>
          <w:tcPr>
            <w:tcW w:w="1071" w:type="dxa"/>
          </w:tcPr>
          <w:p>
            <w:pPr>
              <w:pStyle w:val="Celda"/>
            </w:pPr>
            <w:r>
              <w:t xml:space="preserve">Pruebas de la plataforma</w:t>
            </w:r>
          </w:p>
        </w:tc>
        <w:tc>
          <w:tcPr>
            <w:tcW w:w="1071" w:type="dxa"/>
          </w:tcPr>
          <w:p>
            <w:pPr>
              <w:pStyle w:val="Celda"/>
            </w:pPr>
            <w:r>
              <w:t xml:space="preserve">5 %</w:t>
            </w:r>
          </w:p>
        </w:tc>
        <w:tc>
          <w:tcPr>
            <w:tcW w:w="1071" w:type="dxa"/>
          </w:tcPr>
          <w:p>
            <w:pPr>
              <w:pStyle w:val="Celda"/>
            </w:pPr>
            <w:r>
              <w:t xml:space="preserve">15-01-2027</w:t>
            </w:r>
          </w:p>
        </w:tc>
      </w:tr>
      <w:tr>
        <w:tc>
          <w:tcPr>
            <w:tcW w:w="1071" w:type="dxa"/>
          </w:tcPr>
          <w:p>
            <w:pPr>
              <w:pStyle w:val="Celda"/>
            </w:pPr>
            <w:r>
              <w:t xml:space="preserve">CR-02 </w:t>
            </w:r>
            <w:r>
              <w:rPr>
                <w:i/>
              </w:rPr>
              <w:t xml:space="preserve">(ejemplo ilustrativo)</w:t>
            </w:r>
          </w:p>
        </w:tc>
        <w:tc>
          <w:tcPr>
            <w:tcW w:w="1071" w:type="dxa"/>
          </w:tcPr>
          <w:p>
            <w:pPr>
              <w:pStyle w:val="Celda"/>
            </w:pPr>
            <w:r>
              <w:t xml:space="preserve">Oficina de IA</w:t>
            </w:r>
          </w:p>
        </w:tc>
        <w:tc>
          <w:tcPr>
            <w:tcW w:w="1071" w:type="dxa"/>
          </w:tcPr>
          <w:p>
            <w:pPr>
              <w:pStyle w:val="Celda"/>
            </w:pPr>
            <w:r>
              <w:t xml:space="preserve">280.000</w:t>
            </w:r>
          </w:p>
        </w:tc>
        <w:tc>
          <w:tcPr>
            <w:tcW w:w="1071" w:type="dxa"/>
          </w:tcPr>
          <w:p>
            <w:pPr>
              <w:pStyle w:val="Celda"/>
            </w:pPr>
            <w:r>
              <w:t xml:space="preserve">Reparto ponderado</w:t>
            </w:r>
          </w:p>
        </w:tc>
        <w:tc>
          <w:tcPr>
            <w:tcW w:w="1071" w:type="dxa"/>
          </w:tcPr>
          <w:p>
            <w:pPr>
              <w:pStyle w:val="Celda"/>
            </w:pPr>
            <w:r>
              <w:t xml:space="preserve">Horas imputadas</w:t>
            </w:r>
          </w:p>
        </w:tc>
        <w:tc>
          <w:tcPr>
            <w:tcW w:w="1071" w:type="dxa"/>
          </w:tcPr>
          <w:p>
            <w:pPr>
              <w:pStyle w:val="Celda"/>
            </w:pPr>
            <w:r>
              <w:t xml:space="preserve">Casos ponderados por intensidad (Enterprise 2, Lite 1)</w:t>
            </w:r>
          </w:p>
        </w:tc>
        <w:tc>
          <w:tcPr>
            <w:tcW w:w="1071" w:type="dxa"/>
          </w:tcPr>
          <w:p>
            <w:pPr>
              <w:pStyle w:val="Celda"/>
            </w:pPr>
            <w:r>
              <w:t xml:space="preserve">40 % de estructura corporativa</w:t>
            </w:r>
          </w:p>
        </w:tc>
        <w:tc>
          <w:tcPr>
            <w:tcW w:w="1071" w:type="dxa"/>
          </w:tcPr>
          <w:p>
            <w:pPr>
              <w:pStyle w:val="Celda"/>
            </w:pPr>
            <w:r>
              <w:t xml:space="preserve">—</w:t>
            </w:r>
          </w:p>
        </w:tc>
        <w:tc>
          <w:tcPr>
            <w:tcW w:w="1071" w:type="dxa"/>
          </w:tcPr>
          <w:p>
            <w:pPr>
              <w:pStyle w:val="Celda"/>
            </w:pPr>
            <w:r>
              <w:t xml:space="preserve">15-01-2027</w:t>
            </w:r>
          </w:p>
        </w:tc>
      </w:tr>
      <w:tr>
        <w:tc>
          <w:tcPr>
            <w:tcW w:w="1071" w:type="dxa"/>
          </w:tcPr>
          <w:p>
            <w:pPr>
              <w:pStyle w:val="Celda"/>
            </w:pPr>
            <w:r>
              <w:t xml:space="preserve">CR-01</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Cambios de clave durante el ejercicio</w:t>
            </w:r>
          </w:p>
        </w:tc>
        <w:tc>
          <w:tcPr>
            <w:tcW w:w="3213" w:type="dxa"/>
          </w:tcPr>
          <w:p>
            <w:pPr>
              <w:pStyle w:val="Celda"/>
            </w:pPr>
          </w:p>
        </w:tc>
        <w:tc>
          <w:tcPr>
            <w:tcW w:w="3213" w:type="dxa"/>
          </w:tcPr>
          <w:p>
            <w:pPr>
              <w:pStyle w:val="Celda"/>
            </w:pPr>
            <w:r>
              <w:t xml:space="preserve">Solo por error; fecha, motivo y quién lo aprueba.</w:t>
            </w:r>
          </w:p>
        </w:tc>
      </w:tr>
      <w:tr>
        <w:tc>
          <w:tcPr>
            <w:tcW w:w="3213" w:type="dxa"/>
          </w:tcPr>
          <w:p>
            <w:pPr>
              <w:pStyle w:val="Celda"/>
            </w:pPr>
            <w:r>
              <w:t xml:space="preserve">Comprobación: suma repartida = total del coste compartido</w:t>
            </w:r>
          </w:p>
        </w:tc>
        <w:tc>
          <w:tcPr>
            <w:tcW w:w="3213" w:type="dxa"/>
          </w:tcPr>
          <w:p>
            <w:pPr>
              <w:pStyle w:val="Celda"/>
            </w:pPr>
          </w:p>
        </w:tc>
        <w:tc>
          <w:tcPr>
            <w:tcW w:w="3213" w:type="dxa"/>
          </w:tcPr>
          <w:p>
            <w:pPr>
              <w:pStyle w:val="Celda"/>
            </w:pPr>
            <w:r>
              <w:t xml:space="preserve">Por cada clave (42 §12).</w:t>
            </w:r>
          </w:p>
        </w:tc>
      </w:tr>
    </w:tbl>
    <w:p>
      <w:pPr>
        <w:pStyle w:val="Espacio"/>
      </w:pPr>
    </w:p>
    <w:p>
      <w:pPr>
        <w:pStyle w:val="Separador"/>
      </w:pPr>
    </w:p>
    <w:p>
      <w:pPr>
        <w:pStyle w:val="Heading1"/>
      </w:pPr>
      <w:r>
        <w:t xml:space="preserve">10. Conciliación mensual</w:t>
      </w:r>
    </w:p>
    <w:p>
      <w:r>
        <w:rPr>
          <w:b/>
        </w:rPr>
        <w:t xml:space="preserve">Coste total de IA en contabilidad = Σ coste imputado a casos + coste de uso corporativo + coste de estructura de gobierno + coste no atribuido</w:t>
      </w:r>
      <w:r>
        <w:t xml:space="preserve"> (42 §11.3).</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Mes</w:t>
            </w:r>
          </w:p>
        </w:tc>
        <w:tc>
          <w:tcPr>
            <w:tcW w:w="1071" w:type="dxa"/>
            <w:shd w:val="clear" w:color="auto" w:fill="F2DFCE"/>
          </w:tcPr>
          <w:p>
            <w:pPr>
              <w:pStyle w:val="Celda"/>
            </w:pPr>
            <w:r>
              <w:rPr>
                <w:b/>
              </w:rPr>
              <w:t xml:space="preserve">Coste total en contabilidad (€)</w:t>
            </w:r>
          </w:p>
        </w:tc>
        <w:tc>
          <w:tcPr>
            <w:tcW w:w="1071" w:type="dxa"/>
            <w:shd w:val="clear" w:color="auto" w:fill="F2DFCE"/>
          </w:tcPr>
          <w:p>
            <w:pPr>
              <w:pStyle w:val="Celda"/>
            </w:pPr>
            <w:r>
              <w:rPr>
                <w:b/>
              </w:rPr>
              <w:t xml:space="preserve">Imputado a casos (€)</w:t>
            </w:r>
          </w:p>
        </w:tc>
        <w:tc>
          <w:tcPr>
            <w:tcW w:w="1071" w:type="dxa"/>
            <w:shd w:val="clear" w:color="auto" w:fill="F2DFCE"/>
          </w:tcPr>
          <w:p>
            <w:pPr>
              <w:pStyle w:val="Celda"/>
            </w:pPr>
            <w:r>
              <w:rPr>
                <w:b/>
              </w:rPr>
              <w:t xml:space="preserve">Uso corporativo (€)</w:t>
            </w:r>
          </w:p>
        </w:tc>
        <w:tc>
          <w:tcPr>
            <w:tcW w:w="1071" w:type="dxa"/>
            <w:shd w:val="clear" w:color="auto" w:fill="F2DFCE"/>
          </w:tcPr>
          <w:p>
            <w:pPr>
              <w:pStyle w:val="Celda"/>
            </w:pPr>
            <w:r>
              <w:rPr>
                <w:b/>
              </w:rPr>
              <w:t xml:space="preserve">Estructura de gobierno (€)</w:t>
            </w:r>
          </w:p>
        </w:tc>
        <w:tc>
          <w:tcPr>
            <w:tcW w:w="1071" w:type="dxa"/>
            <w:shd w:val="clear" w:color="auto" w:fill="F2DFCE"/>
          </w:tcPr>
          <w:p>
            <w:pPr>
              <w:pStyle w:val="Celda"/>
            </w:pPr>
            <w:r>
              <w:rPr>
                <w:b/>
              </w:rPr>
              <w:t xml:space="preserve">No atribuido (€) (IND-COS-08)</w:t>
            </w:r>
          </w:p>
        </w:tc>
        <w:tc>
          <w:tcPr>
            <w:tcW w:w="1071" w:type="dxa"/>
            <w:shd w:val="clear" w:color="auto" w:fill="F2DFCE"/>
          </w:tcPr>
          <w:p>
            <w:pPr>
              <w:pStyle w:val="Celda"/>
            </w:pPr>
            <w:r>
              <w:rPr>
                <w:b/>
              </w:rPr>
              <w:t xml:space="preserve">Diferencia (€)</w:t>
            </w:r>
          </w:p>
        </w:tc>
        <w:tc>
          <w:tcPr>
            <w:tcW w:w="1071" w:type="dxa"/>
            <w:shd w:val="clear" w:color="auto" w:fill="F2DFCE"/>
          </w:tcPr>
          <w:p>
            <w:pPr>
              <w:pStyle w:val="Celda"/>
            </w:pPr>
            <w:r>
              <w:rPr>
                <w:b/>
              </w:rPr>
              <w:t xml:space="preserve">Explicación o corrección</w:t>
            </w:r>
          </w:p>
        </w:tc>
        <w:tc>
          <w:tcPr>
            <w:tcW w:w="1071" w:type="dxa"/>
            <w:shd w:val="clear" w:color="auto" w:fill="F2DFCE"/>
          </w:tcPr>
          <w:p>
            <w:pPr>
              <w:pStyle w:val="Celda"/>
            </w:pPr>
            <w:r>
              <w:rPr>
                <w:b/>
              </w:rPr>
              <w:t xml:space="preserve">Cierres consecutivos sin explicar</w:t>
            </w: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Magnitud del cierre</w:t>
            </w:r>
          </w:p>
        </w:tc>
        <w:tc>
          <w:tcPr>
            <w:tcW w:w="3213" w:type="dxa"/>
            <w:shd w:val="clear" w:color="auto" w:fill="F2DFCE"/>
          </w:tcPr>
          <w:p>
            <w:pPr>
              <w:pStyle w:val="Celda"/>
            </w:pPr>
            <w:r>
              <w:rPr>
                <w:b/>
              </w:rPr>
              <w:t xml:space="preserve">Valor</w:t>
            </w:r>
          </w:p>
        </w:tc>
        <w:tc>
          <w:tcPr>
            <w:tcW w:w="3213" w:type="dxa"/>
            <w:shd w:val="clear" w:color="auto" w:fill="F2DFCE"/>
          </w:tcPr>
          <w:p>
            <w:pPr>
              <w:pStyle w:val="Celda"/>
            </w:pPr>
            <w:r>
              <w:rPr>
                <w:b/>
              </w:rPr>
              <w:t xml:space="preserve">Guía</w:t>
            </w:r>
          </w:p>
        </w:tc>
      </w:tr>
      <w:tr>
        <w:tc>
          <w:tcPr>
            <w:tcW w:w="3213" w:type="dxa"/>
          </w:tcPr>
          <w:p>
            <w:pPr>
              <w:pStyle w:val="Celda"/>
            </w:pPr>
            <w:r>
              <w:t xml:space="preserve">Consumo sin etiquetar sobre tolerancia</w:t>
            </w:r>
          </w:p>
        </w:tc>
        <w:tc>
          <w:tcPr>
            <w:tcW w:w="3213" w:type="dxa"/>
          </w:tcPr>
          <w:p>
            <w:pPr>
              <w:pStyle w:val="Celda"/>
            </w:pPr>
          </w:p>
        </w:tc>
        <w:tc>
          <w:tcPr>
            <w:tcW w:w="3213" w:type="dxa"/>
          </w:tcPr>
          <w:p>
            <w:pPr>
              <w:pStyle w:val="Celda"/>
            </w:pPr>
            <w:r>
              <w:t xml:space="preserve">Si la supera, no se reparte: coste no atribuido y acción de etiquetado; dos cierres seguidos, no conformidad menor (42 §6.3).</w:t>
            </w:r>
          </w:p>
        </w:tc>
      </w:tr>
      <w:tr>
        <w:tc>
          <w:tcPr>
            <w:tcW w:w="3213" w:type="dxa"/>
          </w:tcPr>
          <w:p>
            <w:pPr>
              <w:pStyle w:val="Celda"/>
            </w:pPr>
            <w:r>
              <w:t xml:space="preserve">Licencias ociosas (IND-COS-09) </w:t>
            </w:r>
            <w:r>
              <w:rPr>
                <w:b/>
              </w:rPr>
              <w:t xml:space="preserve">(Enterprise)</w:t>
            </w:r>
          </w:p>
        </w:tc>
        <w:tc>
          <w:tcPr>
            <w:tcW w:w="3213" w:type="dxa"/>
          </w:tcPr>
          <w:p>
            <w:pPr>
              <w:pStyle w:val="Celda"/>
            </w:pPr>
          </w:p>
        </w:tc>
        <w:tc>
          <w:tcPr>
            <w:tcW w:w="3213" w:type="dxa"/>
          </w:tcPr>
          <w:p>
            <w:pPr>
              <w:pStyle w:val="Celda"/>
            </w:pPr>
            <w:r>
              <w:t xml:space="preserve">Licencias asignadas sin uso × coste unitario.</w:t>
            </w:r>
          </w:p>
        </w:tc>
      </w:tr>
      <w:tr>
        <w:tc>
          <w:tcPr>
            <w:tcW w:w="3213" w:type="dxa"/>
          </w:tcPr>
          <w:p>
            <w:pPr>
              <w:pStyle w:val="Celda"/>
            </w:pPr>
            <w:r>
              <w:t xml:space="preserve">Desviación presupuestaria por caso (IND-COS-04)</w:t>
            </w:r>
          </w:p>
        </w:tc>
        <w:tc>
          <w:tcPr>
            <w:tcW w:w="3213" w:type="dxa"/>
          </w:tcPr>
          <w:p>
            <w:pPr>
              <w:pStyle w:val="Celda"/>
            </w:pPr>
          </w:p>
        </w:tc>
        <w:tc>
          <w:tcPr>
            <w:tcW w:w="3213" w:type="dxa"/>
          </w:tcPr>
          <w:p>
            <w:pPr>
              <w:pStyle w:val="Celda"/>
            </w:pPr>
            <w:r>
              <w:t xml:space="preserve">Trimestral.</w:t>
            </w:r>
          </w:p>
        </w:tc>
      </w:tr>
      <w:tr>
        <w:tc>
          <w:tcPr>
            <w:tcW w:w="3213" w:type="dxa"/>
          </w:tcPr>
          <w:p>
            <w:pPr>
              <w:pStyle w:val="Celda"/>
            </w:pPr>
            <w:r>
              <w:t xml:space="preserve">Diferencia sin explicar dos cierres consecutivos</w:t>
            </w:r>
          </w:p>
        </w:tc>
        <w:tc>
          <w:tcPr>
            <w:tcW w:w="3213" w:type="dxa"/>
          </w:tcPr>
          <w:p>
            <w:pPr>
              <w:pStyle w:val="Celda"/>
            </w:pPr>
          </w:p>
        </w:tc>
        <w:tc>
          <w:tcPr>
            <w:tcW w:w="3213" w:type="dxa"/>
          </w:tcPr>
          <w:p>
            <w:pPr>
              <w:pStyle w:val="Celda"/>
            </w:pPr>
            <w:r>
              <w:t xml:space="preserve">Se informa al comité de IA.</w:t>
            </w:r>
          </w:p>
        </w:tc>
      </w:tr>
    </w:tbl>
    <w:p>
      <w:pPr>
        <w:pStyle w:val="Espacio"/>
      </w:pPr>
    </w:p>
    <w:p>
      <w:pPr>
        <w:pStyle w:val="Separador"/>
      </w:pPr>
    </w:p>
    <w:p>
      <w:pPr>
        <w:pStyle w:val="Heading1"/>
      </w:pPr>
      <w:r>
        <w:t xml:space="preserve">11. Coste de parar e inversión evitada</w:t>
      </w:r>
    </w:p>
    <w:p>
      <w:r>
        <w:t xml:space="preserve">Al registrar una parada o una retirada en T01 y T13 (42 §10).</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Magnitud</w:t>
            </w:r>
          </w:p>
        </w:tc>
        <w:tc>
          <w:tcPr>
            <w:tcW w:w="3213" w:type="dxa"/>
            <w:shd w:val="clear" w:color="auto" w:fill="F2DFCE"/>
          </w:tcPr>
          <w:p>
            <w:pPr>
              <w:pStyle w:val="Celda"/>
            </w:pPr>
            <w:r>
              <w:rPr>
                <w:b/>
              </w:rPr>
              <w:t xml:space="preserve">Importe (€)</w:t>
            </w:r>
          </w:p>
        </w:tc>
        <w:tc>
          <w:tcPr>
            <w:tcW w:w="3213" w:type="dxa"/>
            <w:shd w:val="clear" w:color="auto" w:fill="F2DFCE"/>
          </w:tcPr>
          <w:p>
            <w:pPr>
              <w:pStyle w:val="Celda"/>
            </w:pPr>
            <w:r>
              <w:rPr>
                <w:b/>
              </w:rPr>
              <w:t xml:space="preserve">Tratamiento</w:t>
            </w:r>
          </w:p>
        </w:tc>
      </w:tr>
      <w:tr>
        <w:tc>
          <w:tcPr>
            <w:tcW w:w="3213" w:type="dxa"/>
          </w:tcPr>
          <w:p>
            <w:pPr>
              <w:pStyle w:val="Celda"/>
            </w:pPr>
            <w:r>
              <w:t xml:space="preserve">Presupuesto aprobado</w:t>
            </w:r>
          </w:p>
        </w:tc>
        <w:tc>
          <w:tcPr>
            <w:tcW w:w="3213" w:type="dxa"/>
          </w:tcPr>
          <w:p>
            <w:pPr>
              <w:pStyle w:val="Celda"/>
            </w:pPr>
          </w:p>
        </w:tc>
        <w:tc>
          <w:tcPr>
            <w:tcW w:w="3213" w:type="dxa"/>
          </w:tcPr>
          <w:p>
            <w:pPr>
              <w:pStyle w:val="Celda"/>
            </w:pPr>
          </w:p>
        </w:tc>
      </w:tr>
      <w:tr>
        <w:tc>
          <w:tcPr>
            <w:tcW w:w="3213" w:type="dxa"/>
          </w:tcPr>
          <w:p>
            <w:pPr>
              <w:pStyle w:val="Celda"/>
            </w:pPr>
            <w:r>
              <w:t xml:space="preserve">Gastado hasta la decisión (coste hundido)</w:t>
            </w:r>
          </w:p>
        </w:tc>
        <w:tc>
          <w:tcPr>
            <w:tcW w:w="3213" w:type="dxa"/>
          </w:tcPr>
          <w:p>
            <w:pPr>
              <w:pStyle w:val="Celda"/>
            </w:pPr>
          </w:p>
        </w:tc>
        <w:tc>
          <w:tcPr>
            <w:tcW w:w="3213" w:type="dxa"/>
          </w:tcPr>
          <w:p>
            <w:pPr>
              <w:pStyle w:val="Celda"/>
            </w:pPr>
            <w:r>
              <w:t xml:space="preserve">No interviene en la decisión; se registra para lecciones.</w:t>
            </w:r>
          </w:p>
        </w:tc>
      </w:tr>
      <w:tr>
        <w:tc>
          <w:tcPr>
            <w:tcW w:w="3213" w:type="dxa"/>
          </w:tcPr>
          <w:p>
            <w:pPr>
              <w:pStyle w:val="Celda"/>
            </w:pPr>
            <w:r>
              <w:t xml:space="preserve">Compromisos no cancelables</w:t>
            </w:r>
          </w:p>
        </w:tc>
        <w:tc>
          <w:tcPr>
            <w:tcW w:w="3213" w:type="dxa"/>
          </w:tcPr>
          <w:p>
            <w:pPr>
              <w:pStyle w:val="Celda"/>
            </w:pPr>
          </w:p>
        </w:tc>
        <w:tc>
          <w:tcPr>
            <w:tcW w:w="3213" w:type="dxa"/>
          </w:tcPr>
          <w:p>
            <w:pPr>
              <w:pStyle w:val="Celda"/>
            </w:pPr>
            <w:r>
              <w:t xml:space="preserve">Se informan aparte; se busca su reutilización.</w:t>
            </w:r>
          </w:p>
        </w:tc>
      </w:tr>
      <w:tr>
        <w:tc>
          <w:tcPr>
            <w:tcW w:w="3213" w:type="dxa"/>
          </w:tcPr>
          <w:p>
            <w:pPr>
              <w:pStyle w:val="Celda"/>
            </w:pPr>
            <w:r>
              <w:t xml:space="preserve">Coste de parar (cierre, penalizaciones, conservación o borrado)</w:t>
            </w:r>
          </w:p>
        </w:tc>
        <w:tc>
          <w:tcPr>
            <w:tcW w:w="3213" w:type="dxa"/>
          </w:tcPr>
          <w:p>
            <w:pPr>
              <w:pStyle w:val="Celda"/>
            </w:pPr>
          </w:p>
        </w:tc>
        <w:tc>
          <w:tcPr>
            <w:tcW w:w="3213" w:type="dxa"/>
          </w:tcPr>
          <w:p>
            <w:pPr>
              <w:pStyle w:val="Celda"/>
            </w:pPr>
            <w:r>
              <w:t xml:space="preserve">Coste de la iniciativa.</w:t>
            </w:r>
          </w:p>
        </w:tc>
      </w:tr>
      <w:tr>
        <w:tc>
          <w:tcPr>
            <w:tcW w:w="3213" w:type="dxa"/>
          </w:tcPr>
          <w:p>
            <w:pPr>
              <w:pStyle w:val="Celda"/>
            </w:pPr>
            <w:r>
              <w:rPr>
                <w:b/>
              </w:rPr>
              <w:t xml:space="preserve">Inversión evitada = aprobado − gastado − compromisos</w:t>
            </w:r>
          </w:p>
        </w:tc>
        <w:tc>
          <w:tcPr>
            <w:tcW w:w="3213" w:type="dxa"/>
          </w:tcPr>
          <w:p>
            <w:pPr>
              <w:pStyle w:val="Celda"/>
            </w:pPr>
          </w:p>
        </w:tc>
        <w:tc>
          <w:tcPr>
            <w:tcW w:w="3213" w:type="dxa"/>
          </w:tcPr>
          <w:p>
            <w:pPr>
              <w:pStyle w:val="Celda"/>
            </w:pPr>
            <w:r>
              <w:t xml:space="preserve">IND-COS-10. No suma en el valor.</w:t>
            </w:r>
          </w:p>
        </w:tc>
      </w:tr>
      <w:tr>
        <w:tc>
          <w:tcPr>
            <w:tcW w:w="3213" w:type="dxa"/>
          </w:tcPr>
          <w:p>
            <w:pPr>
              <w:pStyle w:val="Celda"/>
            </w:pPr>
            <w:r>
              <w:t xml:space="preserve">Coste recurrente evitado estimado</w:t>
            </w:r>
          </w:p>
        </w:tc>
        <w:tc>
          <w:tcPr>
            <w:tcW w:w="3213" w:type="dxa"/>
          </w:tcPr>
          <w:p>
            <w:pPr>
              <w:pStyle w:val="Celda"/>
            </w:pPr>
          </w:p>
        </w:tc>
        <w:tc>
          <w:tcPr>
            <w:tcW w:w="3213" w:type="dxa"/>
          </w:tcPr>
          <w:p>
            <w:pPr>
              <w:pStyle w:val="Celda"/>
            </w:pPr>
            <w:r>
              <w:t xml:space="preserve">Estimado. No suma en el valor.</w:t>
            </w:r>
          </w:p>
        </w:tc>
      </w:tr>
    </w:tbl>
    <w:p>
      <w:pPr>
        <w:pStyle w:val="Espacio"/>
      </w:pPr>
    </w:p>
    <w:p>
      <w:r>
        <w:rPr>
          <w:i/>
        </w:rPr>
        <w:t xml:space="preserve">(Ejemplo ilustrativo)</w:t>
      </w:r>
      <w:r>
        <w:t xml:space="preserve"> Aprobado 400.000 €; gastado 45.000 €; compromisos 20.000 €; penalización 8.000 € y cierre 5.000 €. Coste de parar: 13.000 €. Inversión evitada: 335.000 €.</w:t>
      </w:r>
    </w:p>
    <w:p>
      <w:pPr>
        <w:pStyle w:val="Separador"/>
      </w:pPr>
    </w:p>
    <w:p>
      <w:pPr>
        <w:pStyle w:val="Heading1"/>
      </w:pPr>
      <w:r>
        <w:t xml:space="preserve">12. Criterios de calidad</w:t>
      </w:r>
    </w:p>
    <w:p>
      <w:r>
        <w:t xml:space="preserve">Criterios formales en el documento 21 (G3.04, G4.08, G4.16, G5.16, R6.03 y G7.05); reglas en el documento 42.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caso tiene etiquetas y claves propias verificadas antes de G5.</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El presupuesto de consumo es mensual y anual, con hipótesis de volumen, y está aprobado en G5.</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Cada umbral de alerta tiene destinatario y respuesta, y está configurado en P25.</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Los agentes tienen límites técnicos y acción al alcanzarlos.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 cascada define disparadores, quién activa y calidad mínima; N2 solo con modelo evaluado antes de G5.</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Ningún nivel de la cascada desactiva controles críticos.</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Cada coste compartido tiene clave aprobada en C3 y la suma repartida coincide con el total.</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La conciliación mensual está hecha y las diferencias explicadas o corregidas.</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En una parada, la inversión evitada y el coste de parar constan y no suman en el valor.</w:t>
            </w:r>
          </w:p>
        </w:tc>
        <w:tc>
          <w:tcPr>
            <w:tcW w:w="3213" w:type="dxa"/>
          </w:tcPr>
          <w:p>
            <w:pPr>
              <w:pStyle w:val="Celda"/>
            </w:pPr>
          </w:p>
        </w:tc>
      </w:tr>
    </w:tbl>
    <w:p>
      <w:pPr>
        <w:pStyle w:val="Espacio"/>
      </w:pPr>
    </w:p>
    <w:p>
      <w:pPr>
        <w:pStyle w:val="Separador"/>
      </w:pPr>
    </w:p>
    <w:p>
      <w:pPr>
        <w:pStyle w:val="Heading1"/>
      </w:pPr>
      <w:r>
        <w:t xml:space="preserve">13.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 presupuesto, alertas y cascada</w:t>
            </w:r>
          </w:p>
        </w:tc>
        <w:tc>
          <w:tcPr>
            <w:tcW w:w="1928" w:type="dxa"/>
          </w:tcPr>
          <w:p>
            <w:pPr>
              <w:pStyle w:val="Celda"/>
            </w:pPr>
            <w:r>
              <w:t xml:space="preserve">Responsable de operación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el presupuesto de consumo</w:t>
            </w:r>
          </w:p>
        </w:tc>
        <w:tc>
          <w:tcPr>
            <w:tcW w:w="1928" w:type="dxa"/>
          </w:tcPr>
          <w:p>
            <w:pPr>
              <w:pStyle w:val="Celda"/>
            </w:pPr>
            <w:r>
              <w:t xml:space="preserve">Órgano que decide G5 (01 §7.5)</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las claves de reparto</w:t>
            </w:r>
          </w:p>
        </w:tc>
        <w:tc>
          <w:tcPr>
            <w:tcW w:w="1928" w:type="dxa"/>
          </w:tcPr>
          <w:p>
            <w:pPr>
              <w:pStyle w:val="Celda"/>
            </w:pPr>
            <w:r>
              <w:t xml:space="preserve">Comité de IA con control de gestión (C3)</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Concilia</w:t>
            </w:r>
          </w:p>
        </w:tc>
        <w:tc>
          <w:tcPr>
            <w:tcW w:w="1928" w:type="dxa"/>
          </w:tcPr>
          <w:p>
            <w:pPr>
              <w:pStyle w:val="Celda"/>
            </w:pPr>
            <w:r>
              <w:t xml:space="preserve">Control de gestión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opera el sistema no aprueba su propio suplemento de presupuesto; control de gestión aprueba las claves y concilia, pero no participa en la construcción de las iniciativas.</w:t>
      </w:r>
    </w:p>
    <w:p>
      <w:pPr>
        <w:pStyle w:val="Separador"/>
      </w:pPr>
    </w:p>
    <w:p>
      <w:pPr>
        <w:pStyle w:val="Heading1"/>
      </w:pPr>
      <w:r>
        <w:t xml:space="preserve">14.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Recoge el presupuesto de consumo, las alertas y los límites de 42 §8, la cascada de degradación por coste de 52 §10.3, las claves de reparto de 42 §6 y §11.2, la conciliación de 42 §11.3 y el coste de parar de 42 §10.</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P63 · Presupuesto de consumo y conciliación de costes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P63 · Presupuesto de consumo y conciliación de costes</dc:title>
  <dc:creator>Fernando García Varela</dc:creator>
  <dc:language>es</dc:language>
  <dc:description>sha256:9137215f2b4ac93fbd43e7a40e722ac1f9c97a8e6992f102df626530457a74f5</dc:description>
  <cp:keywords>SEVEN-G</cp:keywords>
</cp:coreProperties>
</file>