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Anexos de construcción con SPAD</w:t>
      </w:r>
    </w:p>
    <w:p>
      <w:r>
        <w:rPr>
          <w:b/>
        </w:rPr>
        <w:t xml:space="preserve">Registra los artefactos de construcción asistida por IA —revisión del plan, reglas de implementación, estrategia de pruebas, revisiones, correcciones, infracciones y versiones— y los enlaza con las evidencias SEVEN-G a las que alimentan.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P66 · Anexos de construcción con SPAD</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Cuando el diseño, el código y las pruebas se generan con IA, la calidad depende de que el proceso se haya seguido: plan revisado antes de construir, reglas explícitas, pruebas definidas antes de implementar, revisión por una IA distinta y validación humana registrada. Los artefactos de SPAD lo demuestran, pero no son evidencia SEVEN-G hasta que una persona los referencia con fecha, versión y verificación (53 §2.2). Sin este anexo, el verificador de G4 y G5 solo ve el resultado, no si se llegó a él cumpliendo el proceso, y un código generado sin plan o autoaprobado por una IA puede llegar a producción sin que nadie lo detecte.</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las fases 4 y 5 cuando la solución se construye con SPAD u otro método de ingeniería asistida por IA; en la fase 6 para correcciones urgentes y cambios generados con IA. Secciones 3 a 6 antes de G4; secciones 7 a 11 antes de G5.</w:t>
            </w:r>
          </w:p>
        </w:tc>
      </w:tr>
      <w:tr>
        <w:tc>
          <w:tcPr>
            <w:tcW w:w="4819" w:type="dxa"/>
          </w:tcPr>
          <w:p>
            <w:pPr>
              <w:pStyle w:val="Celda"/>
            </w:pPr>
            <w:r>
              <w:rPr>
                <w:b/>
              </w:rPr>
              <w:t xml:space="preserve">Quién la rellena</w:t>
            </w:r>
          </w:p>
        </w:tc>
        <w:tc>
          <w:tcPr>
            <w:tcW w:w="4819" w:type="dxa"/>
          </w:tcPr>
          <w:p>
            <w:pPr>
              <w:pStyle w:val="Celda"/>
            </w:pPr>
            <w:r>
              <w:t xml:space="preserve">El orquestador del tema de trabajo, bajo la responsabilidad del responsable técnico de IA (53 §5.1).</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 El auditor puede consultar las salidas de la IA revisora, pero no basa su verificación solo en ellas (53 §5.3).</w:t>
            </w:r>
          </w:p>
        </w:tc>
      </w:tr>
      <w:tr>
        <w:tc>
          <w:tcPr>
            <w:tcW w:w="4819" w:type="dxa"/>
          </w:tcPr>
          <w:p>
            <w:pPr>
              <w:pStyle w:val="Celda"/>
            </w:pPr>
            <w:r>
              <w:rPr>
                <w:b/>
              </w:rPr>
              <w:t xml:space="preserve">Quién decide o aprueba</w:t>
            </w:r>
          </w:p>
        </w:tc>
        <w:tc>
          <w:tcPr>
            <w:tcW w:w="4819" w:type="dxa"/>
          </w:tcPr>
          <w:p>
            <w:pPr>
              <w:pStyle w:val="Celda"/>
            </w:pPr>
            <w:r>
              <w:t xml:space="preserve">Toda aceptación de un artefacto la registra una persona identificada. El </w:t>
            </w:r>
            <w:r>
              <w:rPr>
                <w:i/>
              </w:rPr>
              <w:t xml:space="preserve">gate</w:t>
            </w:r>
            <w:r>
              <w:t xml:space="preserve"> lo decide el órgano de 01 §7.5.</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G4 (plan, reglas y estrategia de pruebas), G5 (revisiones, correcciones, versiones) y R6 (cambios y correcciones urgentes posteriores, 53 §8).</w:t>
            </w:r>
          </w:p>
        </w:tc>
      </w:tr>
      <w:tr>
        <w:tc>
          <w:tcPr>
            <w:tcW w:w="4819" w:type="dxa"/>
          </w:tcPr>
          <w:p>
            <w:pPr>
              <w:pStyle w:val="Celda"/>
            </w:pPr>
            <w:r>
              <w:rPr>
                <w:b/>
              </w:rPr>
              <w:t xml:space="preserve">Herramienta</w:t>
            </w:r>
          </w:p>
        </w:tc>
        <w:tc>
          <w:tcPr>
            <w:tcW w:w="4819" w:type="dxa"/>
          </w:tcPr>
          <w:p>
            <w:pPr>
              <w:pStyle w:val="Celda"/>
            </w:pPr>
            <w:r>
              <w:t xml:space="preserve">T01 (enlace del tema de trabajo a la iniciativa), T02 (herramientas de construcción inventariadas), T06, T08, T09 y T10.</w:t>
            </w:r>
          </w:p>
        </w:tc>
      </w:tr>
      <w:tr>
        <w:tc>
          <w:tcPr>
            <w:tcW w:w="4819" w:type="dxa"/>
          </w:tcPr>
          <w:p>
            <w:pPr>
              <w:pStyle w:val="Celda"/>
            </w:pPr>
            <w:r>
              <w:rPr>
                <w:b/>
              </w:rPr>
              <w:t xml:space="preserve">Documento de referencia</w:t>
            </w:r>
          </w:p>
        </w:tc>
        <w:tc>
          <w:tcPr>
            <w:tcW w:w="4819" w:type="dxa"/>
          </w:tcPr>
          <w:p>
            <w:pPr>
              <w:pStyle w:val="Celda"/>
            </w:pPr>
            <w:r>
              <w:t xml:space="preserve">Documento 53 (§3.1, §4, §5, §6, §7 y §8). SPAD es una metodología independiente referenciada desde SEVEN-G, no una parte de él (53 §2.1).</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y agrupar en un artefacto el plan, su revisión, las reglas y la estrategia de pruebas, y en otro la implementación, las pruebas y su revisión (53 §4.3).</w:t>
            </w:r>
          </w:p>
        </w:tc>
      </w:tr>
    </w:tbl>
    <w:p>
      <w:pPr>
        <w:pStyle w:val="Espacio"/>
      </w:pPr>
    </w:p>
    <w:p>
      <w:r>
        <w:t xml:space="preserve">Reglas de cumplimentación:</w:t>
      </w:r>
    </w:p>
    <w:p>
      <w:pPr>
        <w:pStyle w:val="Lista"/>
      </w:pPr>
      <w:r>
        <w:t xml:space="preserve">• </w:t>
      </w:r>
      <w:r>
        <w:rPr>
          <w:b/>
        </w:rPr>
        <w:t xml:space="preserve">Los veredictos de SPAD no son decisiones de </w:t>
      </w:r>
      <w:r>
        <w:rPr>
          <w:b/>
          <w:i/>
        </w:rPr>
        <w:t xml:space="preserve">gate</w:t>
      </w:r>
      <w:r>
        <w:rPr>
          <w:b/>
        </w:rPr>
        <w:t xml:space="preserve">.</w:t>
      </w:r>
      <w:r>
        <w:t xml:space="preserve"> GO no implica Continuar; NO-GO impide solicitar el </w:t>
      </w:r>
      <w:r>
        <w:rPr>
          <w:i/>
        </w:rPr>
        <w:t xml:space="preserve">gate</w:t>
      </w:r>
      <w:r>
        <w:t xml:space="preserve"> (53 §4.4).</w:t>
      </w:r>
    </w:p>
    <w:p>
      <w:pPr>
        <w:pStyle w:val="Lista"/>
      </w:pPr>
      <w:r>
        <w:t xml:space="preserve">• </w:t>
      </w:r>
      <w:r>
        <w:rPr>
          <w:b/>
        </w:rPr>
        <w:t xml:space="preserve">Ninguna IA aprueba.</w:t>
      </w:r>
      <w:r>
        <w:t xml:space="preserve"> Una aprobación sin persona identificada es nula.</w:t>
      </w:r>
    </w:p>
    <w:p>
      <w:pPr>
        <w:pStyle w:val="Lista"/>
      </w:pPr>
      <w:r>
        <w:t xml:space="preserve">• </w:t>
      </w:r>
      <w:r>
        <w:rPr>
          <w:b/>
        </w:rPr>
        <w:t xml:space="preserve">Una misma configuración de IA no genera y revisa el mismo artefacto en la misma fase.</w:t>
      </w:r>
      <w:r>
        <w:t xml:space="preserve"> En Enterprise, la IA revisora debería usar otro modelo, proveedor o configuración.</w:t>
      </w:r>
    </w:p>
    <w:p>
      <w:pPr>
        <w:pStyle w:val="Lista"/>
      </w:pPr>
      <w:r>
        <w:t xml:space="preserve">• Cada artefacto se cita por identificador, versión y fecha; el contenido completo queda en el repositorio del tema de trabajo.</w:t>
      </w:r>
    </w:p>
    <w:p>
      <w:pPr>
        <w:pStyle w:val="Lista"/>
      </w:pPr>
      <w:r>
        <w:t xml:space="preserve">• Si no se usa SPAD, esta plantilla sirve igual con los artefactos equivalentes del método elegido, que debe cumplir los requisitos de 53 §7.</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Tema de trabajo (</w:t>
            </w:r>
            <w:r>
              <w:rPr>
                <w:i/>
              </w:rPr>
              <w:t xml:space="preserve">TOPIC</w:t>
            </w:r>
            <w:r>
              <w:t xml:space="preserve">)</w:t>
            </w:r>
          </w:p>
        </w:tc>
        <w:tc>
          <w:tcPr>
            <w:tcW w:w="3213" w:type="dxa"/>
          </w:tcPr>
          <w:p>
            <w:pPr>
              <w:pStyle w:val="Celda"/>
            </w:pPr>
          </w:p>
        </w:tc>
        <w:tc>
          <w:tcPr>
            <w:tcW w:w="3213" w:type="dxa"/>
          </w:tcPr>
          <w:p>
            <w:pPr>
              <w:pStyle w:val="Celda"/>
            </w:pPr>
            <w:r>
              <w:t xml:space="preserve">Incluye o referencia el código de la iniciativa.</w:t>
            </w:r>
          </w:p>
        </w:tc>
      </w:tr>
      <w:tr>
        <w:tc>
          <w:tcPr>
            <w:tcW w:w="3213" w:type="dxa"/>
          </w:tcPr>
          <w:p>
            <w:pPr>
              <w:pStyle w:val="Celda"/>
            </w:pPr>
            <w:r>
              <w:t xml:space="preserve">Tipo de flujo</w:t>
            </w:r>
          </w:p>
        </w:tc>
        <w:tc>
          <w:tcPr>
            <w:tcW w:w="3213" w:type="dxa"/>
          </w:tcPr>
          <w:p>
            <w:pPr>
              <w:pStyle w:val="Celda"/>
            </w:pPr>
          </w:p>
        </w:tc>
        <w:tc>
          <w:tcPr>
            <w:tcW w:w="3213" w:type="dxa"/>
          </w:tcPr>
          <w:p>
            <w:pPr>
              <w:pStyle w:val="Celda"/>
            </w:pPr>
            <w:r>
              <w:t xml:space="preserve">Principal · Código heredado · Seguridad · Depuración · Corrección urgente.</w:t>
            </w:r>
          </w:p>
        </w:tc>
      </w:tr>
      <w:tr>
        <w:tc>
          <w:tcPr>
            <w:tcW w:w="3213" w:type="dxa"/>
          </w:tcPr>
          <w:p>
            <w:pPr>
              <w:pStyle w:val="Celda"/>
            </w:pPr>
            <w:r>
              <w:t xml:space="preserve">Método</w:t>
            </w:r>
          </w:p>
        </w:tc>
        <w:tc>
          <w:tcPr>
            <w:tcW w:w="3213" w:type="dxa"/>
          </w:tcPr>
          <w:p>
            <w:pPr>
              <w:pStyle w:val="Celda"/>
            </w:pPr>
          </w:p>
        </w:tc>
        <w:tc>
          <w:tcPr>
            <w:tcW w:w="3213" w:type="dxa"/>
          </w:tcPr>
          <w:p>
            <w:pPr>
              <w:pStyle w:val="Celda"/>
            </w:pPr>
            <w:r>
              <w:t xml:space="preserve">SPAD completo · SPAD reducido (Lite) · Otro método documentado.</w:t>
            </w:r>
          </w:p>
        </w:tc>
      </w:tr>
      <w:tr>
        <w:tc>
          <w:tcPr>
            <w:tcW w:w="3213" w:type="dxa"/>
          </w:tcPr>
          <w:p>
            <w:pPr>
              <w:pStyle w:val="Celda"/>
            </w:pPr>
            <w:r>
              <w:t xml:space="preserve">Herramientas de IA de construcción</w:t>
            </w:r>
          </w:p>
        </w:tc>
        <w:tc>
          <w:tcPr>
            <w:tcW w:w="3213" w:type="dxa"/>
          </w:tcPr>
          <w:p>
            <w:pPr>
              <w:pStyle w:val="Celda"/>
            </w:pPr>
          </w:p>
        </w:tc>
        <w:tc>
          <w:tcPr>
            <w:tcW w:w="3213" w:type="dxa"/>
          </w:tcPr>
          <w:p>
            <w:pPr>
              <w:pStyle w:val="Celda"/>
            </w:pPr>
            <w:r>
              <w:t xml:space="preserve">Nombre, proveedor, versión; aprobadas por la compañía (P14) e inventariadas en T02.</w:t>
            </w:r>
          </w:p>
        </w:tc>
      </w:tr>
      <w:tr>
        <w:tc>
          <w:tcPr>
            <w:tcW w:w="3213" w:type="dxa"/>
          </w:tcPr>
          <w:p>
            <w:pPr>
              <w:pStyle w:val="Celda"/>
            </w:pPr>
            <w:r>
              <w:t xml:space="preserve">Nivel de autonomía de los agentes de construcción</w:t>
            </w:r>
          </w:p>
        </w:tc>
        <w:tc>
          <w:tcPr>
            <w:tcW w:w="3213" w:type="dxa"/>
          </w:tcPr>
          <w:p>
            <w:pPr>
              <w:pStyle w:val="Celda"/>
            </w:pPr>
          </w:p>
        </w:tc>
        <w:tc>
          <w:tcPr>
            <w:tcW w:w="3213" w:type="dxa"/>
          </w:tcPr>
          <w:p>
            <w:pPr>
              <w:pStyle w:val="Celda"/>
            </w:pPr>
            <w:r>
              <w:t xml:space="preserve">A0–A3 (documento 35). Si actúan sobre producción o datos personales en A2 o A3, la iniciativa es Enterprise.</w:t>
            </w:r>
          </w:p>
        </w:tc>
      </w:tr>
      <w:tr>
        <w:tc>
          <w:tcPr>
            <w:tcW w:w="3213" w:type="dxa"/>
          </w:tcPr>
          <w:p>
            <w:pPr>
              <w:pStyle w:val="Celda"/>
            </w:pPr>
            <w:r>
              <w:t xml:space="preserve">Orquestador y revisor humano</w:t>
            </w:r>
          </w:p>
        </w:tc>
        <w:tc>
          <w:tcPr>
            <w:tcW w:w="3213" w:type="dxa"/>
          </w:tcPr>
          <w:p>
            <w:pPr>
              <w:pStyle w:val="Celda"/>
            </w:pPr>
          </w:p>
        </w:tc>
        <w:tc>
          <w:tcPr>
            <w:tcW w:w="3213" w:type="dxa"/>
          </w:tcPr>
          <w:p>
            <w:pPr>
              <w:pStyle w:val="Celda"/>
            </w:pPr>
            <w:r>
              <w:t xml:space="preserve">Designados en P03.</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Versión del documento, autor y fecha</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Contextos y excepciones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Contexto global</w:t>
            </w:r>
          </w:p>
        </w:tc>
        <w:tc>
          <w:tcPr>
            <w:tcW w:w="3213" w:type="dxa"/>
          </w:tcPr>
          <w:p>
            <w:pPr>
              <w:pStyle w:val="Celda"/>
            </w:pPr>
          </w:p>
        </w:tc>
        <w:tc>
          <w:tcPr>
            <w:tcW w:w="3213" w:type="dxa"/>
          </w:tcPr>
          <w:p>
            <w:pPr>
              <w:pStyle w:val="Celda"/>
            </w:pPr>
            <w:r>
              <w:t xml:space="preserve">Derivado de los documentos 31 y 35 y de los estándares técnicos de la compañía; versión.</w:t>
            </w:r>
          </w:p>
        </w:tc>
      </w:tr>
      <w:tr>
        <w:tc>
          <w:tcPr>
            <w:tcW w:w="3213" w:type="dxa"/>
          </w:tcPr>
          <w:p>
            <w:pPr>
              <w:pStyle w:val="Celda"/>
            </w:pPr>
            <w:r>
              <w:t xml:space="preserve">Contexto del proyecto</w:t>
            </w:r>
          </w:p>
        </w:tc>
        <w:tc>
          <w:tcPr>
            <w:tcW w:w="3213" w:type="dxa"/>
          </w:tcPr>
          <w:p>
            <w:pPr>
              <w:pStyle w:val="Celda"/>
            </w:pPr>
          </w:p>
        </w:tc>
        <w:tc>
          <w:tcPr>
            <w:tcW w:w="3213" w:type="dxa"/>
          </w:tcPr>
          <w:p>
            <w:pPr>
              <w:pStyle w:val="Celda"/>
            </w:pPr>
            <w:r>
              <w:t xml:space="preserve">Derivado de P02, P11, P15, P17 y P18; versión.</w:t>
            </w:r>
          </w:p>
        </w:tc>
      </w:tr>
    </w:tbl>
    <w:p>
      <w:pPr>
        <w:pStyle w:val="Espacio"/>
      </w:pP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Nº</w:t>
            </w:r>
          </w:p>
        </w:tc>
        <w:tc>
          <w:tcPr>
            <w:tcW w:w="1606" w:type="dxa"/>
            <w:shd w:val="clear" w:color="auto" w:fill="F2DFCE"/>
          </w:tcPr>
          <w:p>
            <w:pPr>
              <w:pStyle w:val="Celda"/>
            </w:pPr>
            <w:r>
              <w:rPr>
                <w:b/>
              </w:rPr>
              <w:t xml:space="preserve">Excepción al contexto global</w:t>
            </w:r>
          </w:p>
        </w:tc>
        <w:tc>
          <w:tcPr>
            <w:tcW w:w="1606" w:type="dxa"/>
            <w:shd w:val="clear" w:color="auto" w:fill="F2DFCE"/>
          </w:tcPr>
          <w:p>
            <w:pPr>
              <w:pStyle w:val="Celda"/>
            </w:pPr>
            <w:r>
              <w:rPr>
                <w:b/>
              </w:rPr>
              <w:t xml:space="preserve">Justificación</w:t>
            </w:r>
          </w:p>
        </w:tc>
        <w:tc>
          <w:tcPr>
            <w:tcW w:w="1606" w:type="dxa"/>
            <w:shd w:val="clear" w:color="auto" w:fill="F2DFCE"/>
          </w:tcPr>
          <w:p>
            <w:pPr>
              <w:pStyle w:val="Celda"/>
            </w:pPr>
            <w:r>
              <w:rPr>
                <w:b/>
              </w:rPr>
              <w:t xml:space="preserve">Riesgo en P12</w:t>
            </w:r>
          </w:p>
        </w:tc>
        <w:tc>
          <w:tcPr>
            <w:tcW w:w="1606" w:type="dxa"/>
            <w:shd w:val="clear" w:color="auto" w:fill="F2DFCE"/>
          </w:tcPr>
          <w:p>
            <w:pPr>
              <w:pStyle w:val="Celda"/>
            </w:pPr>
            <w:r>
              <w:rPr>
                <w:b/>
              </w:rPr>
              <w:t xml:space="preserve">Conformidad del responsable de riesgos si afecta a un control crítico</w:t>
            </w:r>
          </w:p>
        </w:tc>
        <w:tc>
          <w:tcPr>
            <w:tcW w:w="1606" w:type="dxa"/>
            <w:shd w:val="clear" w:color="auto" w:fill="F2DFCE"/>
          </w:tcPr>
          <w:p>
            <w:pPr>
              <w:pStyle w:val="Celda"/>
            </w:pPr>
            <w:r>
              <w:rPr>
                <w:b/>
              </w:rPr>
              <w:t xml:space="preserve">Aprobada en la revisión del plan</w:t>
            </w:r>
          </w:p>
        </w:tc>
      </w:tr>
      <w:tr>
        <w:tc>
          <w:tcPr>
            <w:tcW w:w="1606" w:type="dxa"/>
          </w:tcPr>
          <w:p>
            <w:pPr>
              <w:pStyle w:val="Celda"/>
            </w:pPr>
            <w:r>
              <w:t xml:space="preserve">EX-01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Sí · No</w:t>
            </w:r>
          </w:p>
        </w:tc>
      </w:tr>
    </w:tbl>
    <w:p>
      <w:pPr>
        <w:pStyle w:val="Espacio"/>
      </w:pPr>
    </w:p>
    <w:p>
      <w:pPr>
        <w:pStyle w:val="Separador"/>
      </w:pPr>
    </w:p>
    <w:p>
      <w:pPr>
        <w:pStyle w:val="Heading1"/>
      </w:pPr>
      <w:r>
        <w:t xml:space="preserve">4. Revisión del plan (anexo de P15)</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Plan revisado: identificador y versión</w:t>
            </w:r>
          </w:p>
        </w:tc>
        <w:tc>
          <w:tcPr>
            <w:tcW w:w="3213" w:type="dxa"/>
          </w:tcPr>
          <w:p>
            <w:pPr>
              <w:pStyle w:val="Celda"/>
            </w:pPr>
          </w:p>
        </w:tc>
        <w:tc>
          <w:tcPr>
            <w:tcW w:w="3213" w:type="dxa"/>
          </w:tcPr>
          <w:p>
            <w:pPr>
              <w:pStyle w:val="Celda"/>
            </w:pPr>
            <w:r>
              <w:t xml:space="preserve">Arquitectura lógica, componentes, flujos de datos, decisiones y riesgos. Sin código.</w:t>
            </w:r>
          </w:p>
        </w:tc>
      </w:tr>
      <w:tr>
        <w:tc>
          <w:tcPr>
            <w:tcW w:w="3213" w:type="dxa"/>
          </w:tcPr>
          <w:p>
            <w:pPr>
              <w:pStyle w:val="Celda"/>
            </w:pPr>
            <w:r>
              <w:t xml:space="preserve">IA planificadora (modelo y configuración)</w:t>
            </w:r>
          </w:p>
        </w:tc>
        <w:tc>
          <w:tcPr>
            <w:tcW w:w="3213" w:type="dxa"/>
          </w:tcPr>
          <w:p>
            <w:pPr>
              <w:pStyle w:val="Celda"/>
            </w:pPr>
          </w:p>
        </w:tc>
        <w:tc>
          <w:tcPr>
            <w:tcW w:w="3213" w:type="dxa"/>
          </w:tcPr>
          <w:p>
            <w:pPr>
              <w:pStyle w:val="Celda"/>
            </w:pPr>
          </w:p>
        </w:tc>
      </w:tr>
      <w:tr>
        <w:tc>
          <w:tcPr>
            <w:tcW w:w="3213" w:type="dxa"/>
          </w:tcPr>
          <w:p>
            <w:pPr>
              <w:pStyle w:val="Celda"/>
            </w:pPr>
            <w:r>
              <w:t xml:space="preserve">IA revisora (modelo, proveedor y configuración)</w:t>
            </w:r>
          </w:p>
        </w:tc>
        <w:tc>
          <w:tcPr>
            <w:tcW w:w="3213" w:type="dxa"/>
          </w:tcPr>
          <w:p>
            <w:pPr>
              <w:pStyle w:val="Celda"/>
            </w:pPr>
          </w:p>
        </w:tc>
        <w:tc>
          <w:tcPr>
            <w:tcW w:w="3213" w:type="dxa"/>
          </w:tcPr>
          <w:p>
            <w:pPr>
              <w:pStyle w:val="Celda"/>
            </w:pPr>
            <w:r>
              <w:t xml:space="preserve">Distinta de la planificadora.</w:t>
            </w:r>
          </w:p>
        </w:tc>
      </w:tr>
      <w:tr>
        <w:tc>
          <w:tcPr>
            <w:tcW w:w="3213" w:type="dxa"/>
          </w:tcPr>
          <w:p>
            <w:pPr>
              <w:pStyle w:val="Celda"/>
            </w:pPr>
            <w:r>
              <w:t xml:space="preserve">Hallazgos principales</w:t>
            </w:r>
          </w:p>
        </w:tc>
        <w:tc>
          <w:tcPr>
            <w:tcW w:w="3213" w:type="dxa"/>
          </w:tcPr>
          <w:p>
            <w:pPr>
              <w:pStyle w:val="Celda"/>
            </w:pPr>
          </w:p>
        </w:tc>
        <w:tc>
          <w:tcPr>
            <w:tcW w:w="3213" w:type="dxa"/>
          </w:tcPr>
          <w:p>
            <w:pPr>
              <w:pStyle w:val="Celda"/>
            </w:pPr>
            <w:r>
              <w:t xml:space="preserve">Acoplamiento, cohesión, escalabilidad, concurrencia, seguridad y observabilidad.</w:t>
            </w:r>
          </w:p>
        </w:tc>
      </w:tr>
      <w:tr>
        <w:tc>
          <w:tcPr>
            <w:tcW w:w="3213" w:type="dxa"/>
          </w:tcPr>
          <w:p>
            <w:pPr>
              <w:pStyle w:val="Celda"/>
            </w:pPr>
            <w:r>
              <w:t xml:space="preserve">Veredicto técnico</w:t>
            </w:r>
          </w:p>
        </w:tc>
        <w:tc>
          <w:tcPr>
            <w:tcW w:w="3213" w:type="dxa"/>
          </w:tcPr>
          <w:p>
            <w:pPr>
              <w:pStyle w:val="Celda"/>
            </w:pPr>
          </w:p>
        </w:tc>
        <w:tc>
          <w:tcPr>
            <w:tcW w:w="3213" w:type="dxa"/>
          </w:tcPr>
          <w:p>
            <w:pPr>
              <w:pStyle w:val="Celda"/>
            </w:pPr>
            <w:r>
              <w:t xml:space="preserve">GO · GO con cambios · NO-GO.</w:t>
            </w:r>
          </w:p>
        </w:tc>
      </w:tr>
      <w:tr>
        <w:tc>
          <w:tcPr>
            <w:tcW w:w="3213" w:type="dxa"/>
          </w:tcPr>
          <w:p>
            <w:pPr>
              <w:pStyle w:val="Celda"/>
            </w:pPr>
            <w:r>
              <w:t xml:space="preserve">Validación humana</w:t>
            </w:r>
          </w:p>
        </w:tc>
        <w:tc>
          <w:tcPr>
            <w:tcW w:w="3213" w:type="dxa"/>
          </w:tcPr>
          <w:p>
            <w:pPr>
              <w:pStyle w:val="Celda"/>
            </w:pPr>
          </w:p>
        </w:tc>
        <w:tc>
          <w:tcPr>
            <w:tcW w:w="3213" w:type="dxa"/>
          </w:tcPr>
          <w:p>
            <w:pPr>
              <w:pStyle w:val="Celda"/>
            </w:pPr>
            <w:r>
              <w:t xml:space="preserve">Nombre, fecha y resultado.</w:t>
            </w:r>
          </w:p>
        </w:tc>
      </w:tr>
      <w:tr>
        <w:tc>
          <w:tcPr>
            <w:tcW w:w="3213" w:type="dxa"/>
          </w:tcPr>
          <w:p>
            <w:pPr>
              <w:pStyle w:val="Celda"/>
            </w:pPr>
            <w:r>
              <w:t xml:space="preserve">Decisiones trasladadas a P15 y flujos a P16</w:t>
            </w:r>
          </w:p>
        </w:tc>
        <w:tc>
          <w:tcPr>
            <w:tcW w:w="3213" w:type="dxa"/>
          </w:tcPr>
          <w:p>
            <w:pPr>
              <w:pStyle w:val="Celda"/>
            </w:pPr>
          </w:p>
        </w:tc>
        <w:tc>
          <w:tcPr>
            <w:tcW w:w="3213" w:type="dxa"/>
          </w:tcPr>
          <w:p>
            <w:pPr>
              <w:pStyle w:val="Celda"/>
            </w:pPr>
            <w:r>
              <w:t xml:space="preserve">Las decisiones de diseño constan en P15, no solo en conversaciones con la herramienta (53 §7.2).</w:t>
            </w:r>
          </w:p>
        </w:tc>
      </w:tr>
      <w:tr>
        <w:tc>
          <w:tcPr>
            <w:tcW w:w="3213" w:type="dxa"/>
          </w:tcPr>
          <w:p>
            <w:pPr>
              <w:pStyle w:val="Celda"/>
            </w:pPr>
            <w:r>
              <w:t xml:space="preserve">Riesgos técnicos nuevos</w:t>
            </w:r>
          </w:p>
        </w:tc>
        <w:tc>
          <w:tcPr>
            <w:tcW w:w="3213" w:type="dxa"/>
          </w:tcPr>
          <w:p>
            <w:pPr>
              <w:pStyle w:val="Celda"/>
            </w:pPr>
          </w:p>
        </w:tc>
        <w:tc>
          <w:tcPr>
            <w:tcW w:w="3213" w:type="dxa"/>
          </w:tcPr>
          <w:p>
            <w:pPr>
              <w:pStyle w:val="Celda"/>
            </w:pPr>
            <w:r>
              <w:t xml:space="preserve">Número en P12.</w:t>
            </w:r>
          </w:p>
        </w:tc>
      </w:tr>
    </w:tbl>
    <w:p>
      <w:pPr>
        <w:pStyle w:val="Espacio"/>
      </w:pPr>
    </w:p>
    <w:p>
      <w:pPr>
        <w:pStyle w:val="Separador"/>
      </w:pPr>
    </w:p>
    <w:p>
      <w:pPr>
        <w:pStyle w:val="Heading1"/>
      </w:pPr>
      <w:r>
        <w:t xml:space="preserve">5. Reglas de implementación (anexo de P15)</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Identificador y versión</w:t>
            </w:r>
          </w:p>
        </w:tc>
        <w:tc>
          <w:tcPr>
            <w:tcW w:w="3213" w:type="dxa"/>
          </w:tcPr>
          <w:p>
            <w:pPr>
              <w:pStyle w:val="Celda"/>
            </w:pPr>
          </w:p>
        </w:tc>
        <w:tc>
          <w:tcPr>
            <w:tcW w:w="3213" w:type="dxa"/>
          </w:tcPr>
          <w:p>
            <w:pPr>
              <w:pStyle w:val="Celda"/>
            </w:pPr>
            <w:r>
              <w:t xml:space="preserve">Guía de código de SPAD.</w:t>
            </w:r>
          </w:p>
        </w:tc>
      </w:tr>
      <w:tr>
        <w:tc>
          <w:tcPr>
            <w:tcW w:w="3213" w:type="dxa"/>
          </w:tcPr>
          <w:p>
            <w:pPr>
              <w:pStyle w:val="Celda"/>
            </w:pPr>
            <w:r>
              <w:t xml:space="preserve">Estructura del proyecto y convenciones</w:t>
            </w:r>
          </w:p>
        </w:tc>
        <w:tc>
          <w:tcPr>
            <w:tcW w:w="3213" w:type="dxa"/>
          </w:tcPr>
          <w:p>
            <w:pPr>
              <w:pStyle w:val="Celda"/>
            </w:pPr>
          </w:p>
        </w:tc>
        <w:tc>
          <w:tcPr>
            <w:tcW w:w="3213" w:type="dxa"/>
          </w:tcPr>
          <w:p>
            <w:pPr>
              <w:pStyle w:val="Celda"/>
            </w:pPr>
          </w:p>
        </w:tc>
      </w:tr>
      <w:tr>
        <w:tc>
          <w:tcPr>
            <w:tcW w:w="3213" w:type="dxa"/>
          </w:tcPr>
          <w:p>
            <w:pPr>
              <w:pStyle w:val="Celda"/>
            </w:pPr>
            <w:r>
              <w:t xml:space="preserve">Contratos entre componentes</w:t>
            </w:r>
          </w:p>
        </w:tc>
        <w:tc>
          <w:tcPr>
            <w:tcW w:w="3213" w:type="dxa"/>
          </w:tcPr>
          <w:p>
            <w:pPr>
              <w:pStyle w:val="Celda"/>
            </w:pPr>
          </w:p>
        </w:tc>
        <w:tc>
          <w:tcPr>
            <w:tcW w:w="3213" w:type="dxa"/>
          </w:tcPr>
          <w:p>
            <w:pPr>
              <w:pStyle w:val="Celda"/>
            </w:pPr>
          </w:p>
        </w:tc>
      </w:tr>
      <w:tr>
        <w:tc>
          <w:tcPr>
            <w:tcW w:w="3213" w:type="dxa"/>
          </w:tcPr>
          <w:p>
            <w:pPr>
              <w:pStyle w:val="Celda"/>
            </w:pPr>
            <w:r>
              <w:t xml:space="preserve">Reglas estrictas y antipatrones prohibidos</w:t>
            </w:r>
          </w:p>
        </w:tc>
        <w:tc>
          <w:tcPr>
            <w:tcW w:w="3213" w:type="dxa"/>
          </w:tcPr>
          <w:p>
            <w:pPr>
              <w:pStyle w:val="Celda"/>
            </w:pPr>
          </w:p>
        </w:tc>
        <w:tc>
          <w:tcPr>
            <w:tcW w:w="3213" w:type="dxa"/>
          </w:tcPr>
          <w:p>
            <w:pPr>
              <w:pStyle w:val="Celda"/>
            </w:pPr>
          </w:p>
        </w:tc>
      </w:tr>
      <w:tr>
        <w:tc>
          <w:tcPr>
            <w:tcW w:w="3213" w:type="dxa"/>
          </w:tcPr>
          <w:p>
            <w:pPr>
              <w:pStyle w:val="Celda"/>
            </w:pPr>
            <w:r>
              <w:t xml:space="preserve">Componentes críticos que exigen doble revisión humana </w:t>
            </w:r>
            <w:r>
              <w:rPr>
                <w:b/>
              </w:rPr>
              <w:t xml:space="preserve">(Enterprise)</w:t>
            </w:r>
          </w:p>
        </w:tc>
        <w:tc>
          <w:tcPr>
            <w:tcW w:w="3213" w:type="dxa"/>
          </w:tcPr>
          <w:p>
            <w:pPr>
              <w:pStyle w:val="Celda"/>
            </w:pPr>
          </w:p>
        </w:tc>
        <w:tc>
          <w:tcPr>
            <w:tcW w:w="3213" w:type="dxa"/>
          </w:tcPr>
          <w:p>
            <w:pPr>
              <w:pStyle w:val="Celda"/>
            </w:pPr>
            <w:r>
              <w:t xml:space="preserve">Autenticación, autorización, datos personales, pagos, supervisión humana, límites de agentes, decisiones sobre personas (53 §7.1).</w:t>
            </w:r>
          </w:p>
        </w:tc>
      </w:tr>
    </w:tbl>
    <w:p>
      <w:pPr>
        <w:pStyle w:val="Espacio"/>
      </w:pPr>
    </w:p>
    <w:p>
      <w:pPr>
        <w:pStyle w:val="Separador"/>
      </w:pPr>
    </w:p>
    <w:p>
      <w:pPr>
        <w:pStyle w:val="Heading1"/>
      </w:pPr>
      <w:r>
        <w:t xml:space="preserve">6. Estrategia de pruebas (anexo de P22)</w:t>
      </w:r>
    </w:p>
    <w:p>
      <w:r>
        <w:t xml:space="preserve">Debe existir antes de G4 en Enterprise.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Identificador y versión</w:t>
            </w:r>
          </w:p>
        </w:tc>
        <w:tc>
          <w:tcPr>
            <w:tcW w:w="3213" w:type="dxa"/>
          </w:tcPr>
          <w:p>
            <w:pPr>
              <w:pStyle w:val="Celda"/>
            </w:pPr>
          </w:p>
        </w:tc>
        <w:tc>
          <w:tcPr>
            <w:tcW w:w="3213" w:type="dxa"/>
          </w:tcPr>
          <w:p>
            <w:pPr>
              <w:pStyle w:val="Celda"/>
            </w:pPr>
          </w:p>
        </w:tc>
      </w:tr>
      <w:tr>
        <w:tc>
          <w:tcPr>
            <w:tcW w:w="3213" w:type="dxa"/>
          </w:tcPr>
          <w:p>
            <w:pPr>
              <w:pStyle w:val="Celda"/>
            </w:pPr>
            <w:r>
              <w:t xml:space="preserve">Casos críticos y cobertura mínima</w:t>
            </w:r>
          </w:p>
        </w:tc>
        <w:tc>
          <w:tcPr>
            <w:tcW w:w="3213" w:type="dxa"/>
          </w:tcPr>
          <w:p>
            <w:pPr>
              <w:pStyle w:val="Celda"/>
            </w:pPr>
          </w:p>
        </w:tc>
        <w:tc>
          <w:tcPr>
            <w:tcW w:w="3213" w:type="dxa"/>
          </w:tcPr>
          <w:p>
            <w:pPr>
              <w:pStyle w:val="Celda"/>
            </w:pPr>
          </w:p>
        </w:tc>
      </w:tr>
      <w:tr>
        <w:tc>
          <w:tcPr>
            <w:tcW w:w="3213" w:type="dxa"/>
          </w:tcPr>
          <w:p>
            <w:pPr>
              <w:pStyle w:val="Celda"/>
            </w:pPr>
            <w:r>
              <w:t xml:space="preserve">Capas de prueba</w:t>
            </w:r>
          </w:p>
        </w:tc>
        <w:tc>
          <w:tcPr>
            <w:tcW w:w="3213" w:type="dxa"/>
          </w:tcPr>
          <w:p>
            <w:pPr>
              <w:pStyle w:val="Celda"/>
            </w:pPr>
          </w:p>
        </w:tc>
        <w:tc>
          <w:tcPr>
            <w:tcW w:w="3213" w:type="dxa"/>
          </w:tcPr>
          <w:p>
            <w:pPr>
              <w:pStyle w:val="Celda"/>
            </w:pPr>
            <w:r>
              <w:t xml:space="preserve">Unitarias, integración, extremo a extremo, rendimiento.</w:t>
            </w:r>
          </w:p>
        </w:tc>
      </w:tr>
      <w:tr>
        <w:tc>
          <w:tcPr>
            <w:tcW w:w="3213" w:type="dxa"/>
          </w:tcPr>
          <w:p>
            <w:pPr>
              <w:pStyle w:val="Celda"/>
            </w:pPr>
            <w:r>
              <w:t xml:space="preserve">Pruebas específicas de IA</w:t>
            </w:r>
          </w:p>
        </w:tc>
        <w:tc>
          <w:tcPr>
            <w:tcW w:w="3213" w:type="dxa"/>
          </w:tcPr>
          <w:p>
            <w:pPr>
              <w:pStyle w:val="Celda"/>
            </w:pPr>
          </w:p>
        </w:tc>
        <w:tc>
          <w:tcPr>
            <w:tcW w:w="3213" w:type="dxa"/>
          </w:tcPr>
          <w:p>
            <w:pPr>
              <w:pStyle w:val="Celda"/>
            </w:pPr>
            <w:r>
              <w:t xml:space="preserve">Rendimiento, sesgo, robustez y seguridad; inyección de instrucciones en IA generativa y agentes (53 §7.3).</w:t>
            </w:r>
          </w:p>
        </w:tc>
      </w:tr>
      <w:tr>
        <w:tc>
          <w:tcPr>
            <w:tcW w:w="3213" w:type="dxa"/>
          </w:tcPr>
          <w:p>
            <w:pPr>
              <w:pStyle w:val="Celda"/>
            </w:pPr>
            <w:r>
              <w:t xml:space="preserve">Datos de prueba</w:t>
            </w:r>
          </w:p>
        </w:tc>
        <w:tc>
          <w:tcPr>
            <w:tcW w:w="3213" w:type="dxa"/>
          </w:tcPr>
          <w:p>
            <w:pPr>
              <w:pStyle w:val="Celda"/>
            </w:pPr>
          </w:p>
        </w:tc>
        <w:tc>
          <w:tcPr>
            <w:tcW w:w="3213" w:type="dxa"/>
          </w:tcPr>
          <w:p>
            <w:pPr>
              <w:pStyle w:val="Celda"/>
            </w:pPr>
            <w:r>
              <w:t xml:space="preserve">Sintéticos o anonimizados; si son personales, medidas de P11 y P16.</w:t>
            </w:r>
          </w:p>
        </w:tc>
      </w:tr>
    </w:tbl>
    <w:p>
      <w:pPr>
        <w:pStyle w:val="Espacio"/>
      </w:pPr>
    </w:p>
    <w:p>
      <w:pPr>
        <w:pStyle w:val="Separador"/>
      </w:pPr>
    </w:p>
    <w:p>
      <w:pPr>
        <w:pStyle w:val="Heading1"/>
      </w:pPr>
      <w:r>
        <w:t xml:space="preserve">7. Revisiones de pruebas, código y seguridad</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Revisión</w:t>
            </w:r>
          </w:p>
        </w:tc>
        <w:tc>
          <w:tcPr>
            <w:tcW w:w="1377" w:type="dxa"/>
            <w:shd w:val="clear" w:color="auto" w:fill="F2DFCE"/>
          </w:tcPr>
          <w:p>
            <w:pPr>
              <w:pStyle w:val="Celda"/>
            </w:pPr>
            <w:r>
              <w:rPr>
                <w:b/>
              </w:rPr>
              <w:t xml:space="preserve">Artefacto revisado y versión</w:t>
            </w:r>
          </w:p>
        </w:tc>
        <w:tc>
          <w:tcPr>
            <w:tcW w:w="1377" w:type="dxa"/>
            <w:shd w:val="clear" w:color="auto" w:fill="F2DFCE"/>
          </w:tcPr>
          <w:p>
            <w:pPr>
              <w:pStyle w:val="Celda"/>
            </w:pPr>
            <w:r>
              <w:rPr>
                <w:b/>
              </w:rPr>
              <w:t xml:space="preserve">IA revisora (modelo)</w:t>
            </w:r>
          </w:p>
        </w:tc>
        <w:tc>
          <w:tcPr>
            <w:tcW w:w="1377" w:type="dxa"/>
            <w:shd w:val="clear" w:color="auto" w:fill="F2DFCE"/>
          </w:tcPr>
          <w:p>
            <w:pPr>
              <w:pStyle w:val="Celda"/>
            </w:pPr>
            <w:r>
              <w:rPr>
                <w:b/>
              </w:rPr>
              <w:t xml:space="preserve">Hallazgos críticos · altos · medios · bajos</w:t>
            </w:r>
          </w:p>
        </w:tc>
        <w:tc>
          <w:tcPr>
            <w:tcW w:w="1377" w:type="dxa"/>
            <w:shd w:val="clear" w:color="auto" w:fill="F2DFCE"/>
          </w:tcPr>
          <w:p>
            <w:pPr>
              <w:pStyle w:val="Celda"/>
            </w:pPr>
            <w:r>
              <w:rPr>
                <w:b/>
              </w:rPr>
              <w:t xml:space="preserve">Veredicto</w:t>
            </w:r>
          </w:p>
        </w:tc>
        <w:tc>
          <w:tcPr>
            <w:tcW w:w="1377" w:type="dxa"/>
            <w:shd w:val="clear" w:color="auto" w:fill="F2DFCE"/>
          </w:tcPr>
          <w:p>
            <w:pPr>
              <w:pStyle w:val="Celda"/>
            </w:pPr>
            <w:r>
              <w:rPr>
                <w:b/>
              </w:rPr>
              <w:t xml:space="preserve">Validación humana (nombre y fecha)</w:t>
            </w:r>
          </w:p>
        </w:tc>
        <w:tc>
          <w:tcPr>
            <w:tcW w:w="1377" w:type="dxa"/>
            <w:shd w:val="clear" w:color="auto" w:fill="F2DFCE"/>
          </w:tcPr>
          <w:p>
            <w:pPr>
              <w:pStyle w:val="Celda"/>
            </w:pPr>
            <w:r>
              <w:rPr>
                <w:b/>
              </w:rPr>
              <w:t xml:space="preserve">Plantilla que recoge el resultado</w:t>
            </w:r>
          </w:p>
        </w:tc>
      </w:tr>
      <w:tr>
        <w:tc>
          <w:tcPr>
            <w:tcW w:w="1377" w:type="dxa"/>
          </w:tcPr>
          <w:p>
            <w:pPr>
              <w:pStyle w:val="Celda"/>
            </w:pPr>
            <w:r>
              <w:t xml:space="preserve">Revisión de pruebas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P22</w:t>
            </w:r>
          </w:p>
        </w:tc>
      </w:tr>
      <w:tr>
        <w:tc>
          <w:tcPr>
            <w:tcW w:w="1377" w:type="dxa"/>
          </w:tcPr>
          <w:p>
            <w:pPr>
              <w:pStyle w:val="Celda"/>
            </w:pPr>
            <w:r>
              <w:t xml:space="preserve">Revisión del código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P21</w:t>
            </w:r>
          </w:p>
        </w:tc>
      </w:tr>
      <w:tr>
        <w:tc>
          <w:tcPr>
            <w:tcW w:w="1377" w:type="dxa"/>
          </w:tcPr>
          <w:p>
            <w:pPr>
              <w:pStyle w:val="Celda"/>
            </w:pPr>
            <w:r>
              <w:t xml:space="preserve">Revisión de seguridad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P18 y P22</w:t>
            </w:r>
          </w:p>
        </w:tc>
      </w:tr>
      <w:tr>
        <w:tc>
          <w:tcPr>
            <w:tcW w:w="1377" w:type="dxa"/>
          </w:tcPr>
          <w:p>
            <w:pPr>
              <w:pStyle w:val="Celda"/>
            </w:pPr>
            <w:r>
              <w:rPr>
                <w:i/>
              </w:rPr>
              <w:t xml:space="preserve">(ejemplo ilustrativo)</w:t>
            </w:r>
            <w:r>
              <w:t xml:space="preserve"> Revisión del código</w:t>
            </w:r>
          </w:p>
        </w:tc>
        <w:tc>
          <w:tcPr>
            <w:tcW w:w="1377" w:type="dxa"/>
          </w:tcPr>
          <w:p>
            <w:pPr>
              <w:pStyle w:val="Celda"/>
            </w:pPr>
            <w:r>
              <w:t xml:space="preserve">Módulo de cálculo de límites v0.4</w:t>
            </w:r>
          </w:p>
        </w:tc>
        <w:tc>
          <w:tcPr>
            <w:tcW w:w="1377" w:type="dxa"/>
          </w:tcPr>
          <w:p>
            <w:pPr>
              <w:pStyle w:val="Celda"/>
            </w:pPr>
            <w:r>
              <w:t xml:space="preserve">Modelo distinto del constructor</w:t>
            </w:r>
          </w:p>
        </w:tc>
        <w:tc>
          <w:tcPr>
            <w:tcW w:w="1377" w:type="dxa"/>
          </w:tcPr>
          <w:p>
            <w:pPr>
              <w:pStyle w:val="Celda"/>
            </w:pPr>
            <w:r>
              <w:t xml:space="preserve">0 · 1 · 3 · 2</w:t>
            </w:r>
          </w:p>
        </w:tc>
        <w:tc>
          <w:tcPr>
            <w:tcW w:w="1377" w:type="dxa"/>
          </w:tcPr>
          <w:p>
            <w:pPr>
              <w:pStyle w:val="Celda"/>
            </w:pPr>
            <w:r>
              <w:t xml:space="preserve">GO con cambios</w:t>
            </w:r>
          </w:p>
        </w:tc>
        <w:tc>
          <w:tcPr>
            <w:tcW w:w="1377" w:type="dxa"/>
          </w:tcPr>
          <w:p>
            <w:pPr>
              <w:pStyle w:val="Celda"/>
            </w:pPr>
            <w:r>
              <w:t xml:space="preserve">Responsable técnico, 12-02-2027</w:t>
            </w:r>
          </w:p>
        </w:tc>
        <w:tc>
          <w:tcPr>
            <w:tcW w:w="1377" w:type="dxa"/>
          </w:tcPr>
          <w:p>
            <w:pPr>
              <w:pStyle w:val="Celda"/>
            </w:pPr>
            <w:r>
              <w:t xml:space="preserve">P21</w:t>
            </w:r>
          </w:p>
        </w:tc>
      </w:tr>
    </w:tbl>
    <w:p>
      <w:pPr>
        <w:pStyle w:val="Espacio"/>
      </w:pPr>
    </w:p>
    <w:p>
      <w:r>
        <w:t xml:space="preserve">Los hallazgos críticos y altos de seguridad bloquean G5 salvo aceptación formal del riesgo (53 §7.4).</w:t>
      </w:r>
    </w:p>
    <w:p>
      <w:pPr>
        <w:pStyle w:val="Separador"/>
      </w:pPr>
    </w:p>
    <w:p>
      <w:pPr>
        <w:pStyle w:val="Heading1"/>
      </w:pPr>
      <w:r>
        <w:t xml:space="preserve">8. Registro de correcciones (P21)</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Nº</w:t>
            </w:r>
          </w:p>
        </w:tc>
        <w:tc>
          <w:tcPr>
            <w:tcW w:w="1377" w:type="dxa"/>
            <w:shd w:val="clear" w:color="auto" w:fill="F2DFCE"/>
          </w:tcPr>
          <w:p>
            <w:pPr>
              <w:pStyle w:val="Celda"/>
            </w:pPr>
            <w:r>
              <w:rPr>
                <w:b/>
              </w:rPr>
              <w:t xml:space="preserve">Hallazgo o problema</w:t>
            </w:r>
          </w:p>
        </w:tc>
        <w:tc>
          <w:tcPr>
            <w:tcW w:w="1377" w:type="dxa"/>
            <w:shd w:val="clear" w:color="auto" w:fill="F2DFCE"/>
          </w:tcPr>
          <w:p>
            <w:pPr>
              <w:pStyle w:val="Celda"/>
            </w:pPr>
            <w:r>
              <w:rPr>
                <w:b/>
              </w:rPr>
              <w:t xml:space="preserve">Cambio mínimo</w:t>
            </w:r>
          </w:p>
        </w:tc>
        <w:tc>
          <w:tcPr>
            <w:tcW w:w="1377" w:type="dxa"/>
            <w:shd w:val="clear" w:color="auto" w:fill="F2DFCE"/>
          </w:tcPr>
          <w:p>
            <w:pPr>
              <w:pStyle w:val="Celda"/>
            </w:pPr>
            <w:r>
              <w:rPr>
                <w:b/>
              </w:rPr>
              <w:t xml:space="preserve">Justificación</w:t>
            </w:r>
          </w:p>
        </w:tc>
        <w:tc>
          <w:tcPr>
            <w:tcW w:w="1377" w:type="dxa"/>
            <w:shd w:val="clear" w:color="auto" w:fill="F2DFCE"/>
          </w:tcPr>
          <w:p>
            <w:pPr>
              <w:pStyle w:val="Celda"/>
            </w:pPr>
            <w:r>
              <w:rPr>
                <w:b/>
              </w:rPr>
              <w:t xml:space="preserve">Impacto esperado</w:t>
            </w:r>
          </w:p>
        </w:tc>
        <w:tc>
          <w:tcPr>
            <w:tcW w:w="1377" w:type="dxa"/>
            <w:shd w:val="clear" w:color="auto" w:fill="F2DFCE"/>
          </w:tcPr>
          <w:p>
            <w:pPr>
              <w:pStyle w:val="Celda"/>
            </w:pPr>
            <w:r>
              <w:rPr>
                <w:b/>
              </w:rPr>
              <w:t xml:space="preserve">IA correctora</w:t>
            </w:r>
          </w:p>
        </w:tc>
        <w:tc>
          <w:tcPr>
            <w:tcW w:w="1377" w:type="dxa"/>
            <w:shd w:val="clear" w:color="auto" w:fill="F2DFCE"/>
          </w:tcPr>
          <w:p>
            <w:pPr>
              <w:pStyle w:val="Celda"/>
            </w:pPr>
            <w:r>
              <w:rPr>
                <w:b/>
              </w:rPr>
              <w:t xml:space="preserve">Revisado por (persona y fecha)</w:t>
            </w:r>
          </w:p>
        </w:tc>
      </w:tr>
      <w:tr>
        <w:tc>
          <w:tcPr>
            <w:tcW w:w="1377" w:type="dxa"/>
          </w:tcPr>
          <w:p>
            <w:pPr>
              <w:pStyle w:val="Celda"/>
            </w:pPr>
            <w:r>
              <w:t xml:space="preserve">C-01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9. Registro de infracciones </w:t>
      </w:r>
      <w:r>
        <w:rPr>
          <w:b/>
        </w:rPr>
        <w:t xml:space="preserve">(Enterprise)</w:t>
      </w:r>
      <w:r>
        <w:t xml:space="preserve"> (P21)</w:t>
      </w:r>
    </w:p>
    <w:p>
      <w:r>
        <w:t xml:space="preserve">SPAD lo considera opcional; SEVEN-G lo recomienda en Enterprise (53 §6).</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Nº</w:t>
            </w:r>
          </w:p>
        </w:tc>
        <w:tc>
          <w:tcPr>
            <w:tcW w:w="1377" w:type="dxa"/>
            <w:shd w:val="clear" w:color="auto" w:fill="F2DFCE"/>
          </w:tcPr>
          <w:p>
            <w:pPr>
              <w:pStyle w:val="Celda"/>
            </w:pPr>
            <w:r>
              <w:rPr>
                <w:b/>
              </w:rPr>
              <w:t xml:space="preserve">Fecha</w:t>
            </w:r>
          </w:p>
        </w:tc>
        <w:tc>
          <w:tcPr>
            <w:tcW w:w="1377" w:type="dxa"/>
            <w:shd w:val="clear" w:color="auto" w:fill="F2DFCE"/>
          </w:tcPr>
          <w:p>
            <w:pPr>
              <w:pStyle w:val="Celda"/>
            </w:pPr>
            <w:r>
              <w:rPr>
                <w:b/>
              </w:rPr>
              <w:t xml:space="preserve">Fase</w:t>
            </w:r>
          </w:p>
        </w:tc>
        <w:tc>
          <w:tcPr>
            <w:tcW w:w="1377" w:type="dxa"/>
            <w:shd w:val="clear" w:color="auto" w:fill="F2DFCE"/>
          </w:tcPr>
          <w:p>
            <w:pPr>
              <w:pStyle w:val="Celda"/>
            </w:pPr>
            <w:r>
              <w:rPr>
                <w:b/>
              </w:rPr>
              <w:t xml:space="preserve">Tipo de infracción</w:t>
            </w:r>
          </w:p>
        </w:tc>
        <w:tc>
          <w:tcPr>
            <w:tcW w:w="1377" w:type="dxa"/>
            <w:shd w:val="clear" w:color="auto" w:fill="F2DFCE"/>
          </w:tcPr>
          <w:p>
            <w:pPr>
              <w:pStyle w:val="Celda"/>
            </w:pPr>
            <w:r>
              <w:rPr>
                <w:b/>
              </w:rPr>
              <w:t xml:space="preserve">Herramienta o modelo</w:t>
            </w:r>
          </w:p>
        </w:tc>
        <w:tc>
          <w:tcPr>
            <w:tcW w:w="1377" w:type="dxa"/>
            <w:shd w:val="clear" w:color="auto" w:fill="F2DFCE"/>
          </w:tcPr>
          <w:p>
            <w:pPr>
              <w:pStyle w:val="Celda"/>
            </w:pPr>
            <w:r>
              <w:rPr>
                <w:b/>
              </w:rPr>
              <w:t xml:space="preserve">Acción</w:t>
            </w:r>
          </w:p>
        </w:tc>
        <w:tc>
          <w:tcPr>
            <w:tcW w:w="1377" w:type="dxa"/>
            <w:shd w:val="clear" w:color="auto" w:fill="F2DFCE"/>
          </w:tcPr>
          <w:p>
            <w:pPr>
              <w:pStyle w:val="Celda"/>
            </w:pPr>
            <w:r>
              <w:rPr>
                <w:b/>
              </w:rPr>
              <w:t xml:space="preserve">No conformidad (NC-AAAA-NNN) si procede</w:t>
            </w:r>
          </w:p>
        </w:tc>
      </w:tr>
      <w:tr>
        <w:tc>
          <w:tcPr>
            <w:tcW w:w="1377" w:type="dxa"/>
          </w:tcPr>
          <w:p>
            <w:pPr>
              <w:pStyle w:val="Celda"/>
            </w:pPr>
            <w:r>
              <w:t xml:space="preserve">I-01</w:t>
            </w:r>
          </w:p>
        </w:tc>
        <w:tc>
          <w:tcPr>
            <w:tcW w:w="1377" w:type="dxa"/>
          </w:tcPr>
          <w:p>
            <w:pPr>
              <w:pStyle w:val="Celda"/>
            </w:pPr>
          </w:p>
        </w:tc>
        <w:tc>
          <w:tcPr>
            <w:tcW w:w="1377" w:type="dxa"/>
          </w:tcPr>
          <w:p>
            <w:pPr>
              <w:pStyle w:val="Celda"/>
            </w:pPr>
          </w:p>
        </w:tc>
        <w:tc>
          <w:tcPr>
            <w:tcW w:w="1377" w:type="dxa"/>
          </w:tcPr>
          <w:p>
            <w:pPr>
              <w:pStyle w:val="Celda"/>
            </w:pPr>
            <w:r>
              <w:t xml:space="preserve">Violación de fase · Artefacto ausente o alterado · Decisión fuera del plan · Implementación sin plan o revisión · Autoaprobación de la IA</w:t>
            </w:r>
          </w:p>
        </w:tc>
        <w:tc>
          <w:tcPr>
            <w:tcW w:w="1377" w:type="dxa"/>
          </w:tcPr>
          <w:p>
            <w:pPr>
              <w:pStyle w:val="Celda"/>
            </w:pPr>
          </w:p>
        </w:tc>
        <w:tc>
          <w:tcPr>
            <w:tcW w:w="1377" w:type="dxa"/>
          </w:tcPr>
          <w:p>
            <w:pPr>
              <w:pStyle w:val="Celda"/>
            </w:pPr>
            <w:r>
              <w:t xml:space="preserve">Descartar y repetir · Volver al plan · Actualizar P15–P18</w:t>
            </w:r>
          </w:p>
        </w:tc>
        <w:tc>
          <w:tcPr>
            <w:tcW w:w="1377" w:type="dxa"/>
          </w:tcPr>
          <w:p>
            <w:pPr>
              <w:pStyle w:val="Celda"/>
            </w:pPr>
          </w:p>
        </w:tc>
      </w:tr>
    </w:tbl>
    <w:p>
      <w:pPr>
        <w:pStyle w:val="Espacio"/>
      </w:pPr>
    </w:p>
    <w:p>
      <w:r>
        <w:t xml:space="preserve">Si un código sin plan ni revisión llega a producción, es no conformidad mayor (crítica si afecta a un control crítico). Una autoaprobación usada para avanzar un </w:t>
      </w:r>
      <w:r>
        <w:rPr>
          <w:i/>
        </w:rPr>
        <w:t xml:space="preserve">gate</w:t>
      </w:r>
      <w:r>
        <w:t xml:space="preserve"> es no conformidad mayor. Los patrones repetidos alimentan las lecciones de P30 y, si revelan una herramienta inadecuada, P14.</w:t>
      </w:r>
    </w:p>
    <w:p>
      <w:pPr>
        <w:pStyle w:val="Separador"/>
      </w:pPr>
    </w:p>
    <w:p>
      <w:pPr>
        <w:pStyle w:val="Heading1"/>
      </w:pPr>
      <w:r>
        <w:t xml:space="preserve">10. Revisión humana, trazabilidad, dependencias y licencias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Comprobación (53 §7)</w:t>
            </w:r>
          </w:p>
        </w:tc>
        <w:tc>
          <w:tcPr>
            <w:tcW w:w="3213" w:type="dxa"/>
            <w:shd w:val="clear" w:color="auto" w:fill="F2DFCE"/>
          </w:tcPr>
          <w:p>
            <w:pPr>
              <w:pStyle w:val="Celda"/>
            </w:pPr>
            <w:r>
              <w:rPr>
                <w:b/>
              </w:rPr>
              <w:t xml:space="preserve">Evidencia</w:t>
            </w:r>
          </w:p>
        </w:tc>
        <w:tc>
          <w:tcPr>
            <w:tcW w:w="3213" w:type="dxa"/>
            <w:shd w:val="clear" w:color="auto" w:fill="F2DFCE"/>
          </w:tcPr>
          <w:p>
            <w:pPr>
              <w:pStyle w:val="Celda"/>
            </w:pPr>
            <w:r>
              <w:rPr>
                <w:b/>
              </w:rPr>
              <w:t xml:space="preserve">Estado</w:t>
            </w:r>
          </w:p>
        </w:tc>
      </w:tr>
      <w:tr>
        <w:tc>
          <w:tcPr>
            <w:tcW w:w="3213" w:type="dxa"/>
          </w:tcPr>
          <w:p>
            <w:pPr>
              <w:pStyle w:val="Celda"/>
            </w:pPr>
            <w:r>
              <w:t xml:space="preserve">Todo artefacto generado con IA tiene revisión humana registrada antes de la rama principal.</w:t>
            </w:r>
          </w:p>
        </w:tc>
        <w:tc>
          <w:tcPr>
            <w:tcW w:w="3213" w:type="dxa"/>
          </w:tcPr>
          <w:p>
            <w:pPr>
              <w:pStyle w:val="Celda"/>
            </w:pPr>
          </w:p>
        </w:tc>
        <w:tc>
          <w:tcPr>
            <w:tcW w:w="3213" w:type="dxa"/>
          </w:tcPr>
          <w:p>
            <w:pPr>
              <w:pStyle w:val="Celda"/>
            </w:pPr>
            <w:r>
              <w:t xml:space="preserve">Cumple · No cumple · No aplica · Pendiente</w:t>
            </w:r>
          </w:p>
        </w:tc>
      </w:tr>
      <w:tr>
        <w:tc>
          <w:tcPr>
            <w:tcW w:w="3213" w:type="dxa"/>
          </w:tcPr>
          <w:p>
            <w:pPr>
              <w:pStyle w:val="Celda"/>
            </w:pPr>
            <w:r>
              <w:t xml:space="preserve">Se identifica qué partes se generaron con IA, con qué herramienta y en qué tema de trabajo.</w:t>
            </w:r>
          </w:p>
        </w:tc>
        <w:tc>
          <w:tcPr>
            <w:tcW w:w="3213" w:type="dxa"/>
          </w:tcPr>
          <w:p>
            <w:pPr>
              <w:pStyle w:val="Celda"/>
            </w:pPr>
          </w:p>
        </w:tc>
        <w:tc>
          <w:tcPr>
            <w:tcW w:w="3213" w:type="dxa"/>
          </w:tcPr>
          <w:p>
            <w:pPr>
              <w:pStyle w:val="Celda"/>
            </w:pPr>
          </w:p>
        </w:tc>
      </w:tr>
      <w:tr>
        <w:tc>
          <w:tcPr>
            <w:tcW w:w="3213" w:type="dxa"/>
          </w:tcPr>
          <w:p>
            <w:pPr>
              <w:pStyle w:val="Celda"/>
            </w:pPr>
            <w:r>
              <w:t xml:space="preserve">Se conservan las instrucciones y salidas clave de plan y revisión </w:t>
            </w:r>
            <w:r>
              <w:rPr>
                <w:b/>
              </w:rPr>
              <w:t xml:space="preserve">(Enterprise)</w:t>
            </w:r>
            <w:r>
              <w:t xml:space="preserve">.</w:t>
            </w:r>
          </w:p>
        </w:tc>
        <w:tc>
          <w:tcPr>
            <w:tcW w:w="3213" w:type="dxa"/>
          </w:tcPr>
          <w:p>
            <w:pPr>
              <w:pStyle w:val="Celda"/>
            </w:pPr>
          </w:p>
        </w:tc>
        <w:tc>
          <w:tcPr>
            <w:tcW w:w="3213" w:type="dxa"/>
          </w:tcPr>
          <w:p>
            <w:pPr>
              <w:pStyle w:val="Celda"/>
            </w:pPr>
          </w:p>
        </w:tc>
      </w:tr>
      <w:tr>
        <w:tc>
          <w:tcPr>
            <w:tcW w:w="3213" w:type="dxa"/>
          </w:tcPr>
          <w:p>
            <w:pPr>
              <w:pStyle w:val="Celda"/>
            </w:pPr>
            <w:r>
              <w:t xml:space="preserve">Análisis estático, detección de secretos y análisis de dependencias ejecutados antes de G5.</w:t>
            </w:r>
          </w:p>
        </w:tc>
        <w:tc>
          <w:tcPr>
            <w:tcW w:w="3213" w:type="dxa"/>
          </w:tcPr>
          <w:p>
            <w:pPr>
              <w:pStyle w:val="Celda"/>
            </w:pPr>
          </w:p>
        </w:tc>
        <w:tc>
          <w:tcPr>
            <w:tcW w:w="3213" w:type="dxa"/>
          </w:tcPr>
          <w:p>
            <w:pPr>
              <w:pStyle w:val="Celda"/>
            </w:pPr>
          </w:p>
        </w:tc>
      </w:tr>
      <w:tr>
        <w:tc>
          <w:tcPr>
            <w:tcW w:w="3213" w:type="dxa"/>
          </w:tcPr>
          <w:p>
            <w:pPr>
              <w:pStyle w:val="Celda"/>
            </w:pPr>
            <w:r>
              <w:t xml:space="preserve">Dependencias propuestas por la IA verificadas (existencia, procedencia, mantenimiento, vulnerabilidades).</w:t>
            </w:r>
          </w:p>
        </w:tc>
        <w:tc>
          <w:tcPr>
            <w:tcW w:w="3213" w:type="dxa"/>
          </w:tcPr>
          <w:p>
            <w:pPr>
              <w:pStyle w:val="Celda"/>
            </w:pPr>
          </w:p>
        </w:tc>
        <w:tc>
          <w:tcPr>
            <w:tcW w:w="3213" w:type="dxa"/>
          </w:tcPr>
          <w:p>
            <w:pPr>
              <w:pStyle w:val="Celda"/>
            </w:pPr>
          </w:p>
        </w:tc>
      </w:tr>
      <w:tr>
        <w:tc>
          <w:tcPr>
            <w:tcW w:w="3213" w:type="dxa"/>
          </w:tcPr>
          <w:p>
            <w:pPr>
              <w:pStyle w:val="Celda"/>
            </w:pPr>
            <w:r>
              <w:t xml:space="preserve">Relación de componentes de software </w:t>
            </w:r>
            <w:r>
              <w:rPr>
                <w:b/>
              </w:rPr>
              <w:t xml:space="preserve">(Enterprise)</w:t>
            </w:r>
            <w:r>
              <w:t xml:space="preserve">.</w:t>
            </w:r>
          </w:p>
        </w:tc>
        <w:tc>
          <w:tcPr>
            <w:tcW w:w="3213" w:type="dxa"/>
          </w:tcPr>
          <w:p>
            <w:pPr>
              <w:pStyle w:val="Celda"/>
            </w:pPr>
          </w:p>
        </w:tc>
        <w:tc>
          <w:tcPr>
            <w:tcW w:w="3213" w:type="dxa"/>
          </w:tcPr>
          <w:p>
            <w:pPr>
              <w:pStyle w:val="Celda"/>
            </w:pPr>
          </w:p>
        </w:tc>
      </w:tr>
      <w:tr>
        <w:tc>
          <w:tcPr>
            <w:tcW w:w="3213" w:type="dxa"/>
          </w:tcPr>
          <w:p>
            <w:pPr>
              <w:pStyle w:val="Celda"/>
            </w:pPr>
            <w:r>
              <w:t xml:space="preserve">Licencias de dependencias y fragmentos de terceros comprobadas; filtros de coincidencia activados </w:t>
            </w:r>
            <w:r>
              <w:rPr>
                <w:b/>
              </w:rPr>
              <w:t xml:space="preserve">(Enterprise)</w:t>
            </w:r>
            <w:r>
              <w:t xml:space="preserve">.</w:t>
            </w:r>
          </w:p>
        </w:tc>
        <w:tc>
          <w:tcPr>
            <w:tcW w:w="3213" w:type="dxa"/>
          </w:tcPr>
          <w:p>
            <w:pPr>
              <w:pStyle w:val="Celda"/>
            </w:pPr>
          </w:p>
        </w:tc>
        <w:tc>
          <w:tcPr>
            <w:tcW w:w="3213" w:type="dxa"/>
          </w:tcPr>
          <w:p>
            <w:pPr>
              <w:pStyle w:val="Celda"/>
            </w:pPr>
          </w:p>
        </w:tc>
      </w:tr>
      <w:tr>
        <w:tc>
          <w:tcPr>
            <w:tcW w:w="3213" w:type="dxa"/>
          </w:tcPr>
          <w:p>
            <w:pPr>
              <w:pStyle w:val="Celda"/>
            </w:pPr>
            <w:r>
              <w:t xml:space="preserve">Sin datos personales, secretos ni credenciales en herramientas no aprobadas para ese nivel.</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11. Gestión de versiones (P21, P19)</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Versión</w:t>
            </w:r>
          </w:p>
        </w:tc>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Cambios</w:t>
            </w:r>
          </w:p>
        </w:tc>
        <w:tc>
          <w:tcPr>
            <w:tcW w:w="1606" w:type="dxa"/>
            <w:shd w:val="clear" w:color="auto" w:fill="F2DFCE"/>
          </w:tcPr>
          <w:p>
            <w:pPr>
              <w:pStyle w:val="Celda"/>
            </w:pPr>
            <w:r>
              <w:rPr>
                <w:b/>
              </w:rPr>
              <w:t xml:space="preserve">Cambios incompatibles y migración</w:t>
            </w:r>
          </w:p>
        </w:tc>
        <w:tc>
          <w:tcPr>
            <w:tcW w:w="1606" w:type="dxa"/>
            <w:shd w:val="clear" w:color="auto" w:fill="F2DFCE"/>
          </w:tcPr>
          <w:p>
            <w:pPr>
              <w:pStyle w:val="Celda"/>
            </w:pPr>
            <w:r>
              <w:rPr>
                <w:b/>
              </w:rPr>
              <w:t xml:space="preserve">Plan de reversión (P19)</w:t>
            </w:r>
          </w:p>
        </w:tc>
        <w:tc>
          <w:tcPr>
            <w:tcW w:w="1606" w:type="dxa"/>
            <w:shd w:val="clear" w:color="auto" w:fill="F2DFCE"/>
          </w:tcPr>
          <w:p>
            <w:pPr>
              <w:pStyle w:val="Celda"/>
            </w:pPr>
            <w:r>
              <w:rPr>
                <w:b/>
              </w:rPr>
              <w:t xml:space="preserve">Registro de cambios en P27 (desde producción)</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12. Correspondencia con P15, P21 y P22</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Artefacto de este anexo</w:t>
            </w:r>
          </w:p>
        </w:tc>
        <w:tc>
          <w:tcPr>
            <w:tcW w:w="2410" w:type="dxa"/>
            <w:shd w:val="clear" w:color="auto" w:fill="F2DFCE"/>
          </w:tcPr>
          <w:p>
            <w:pPr>
              <w:pStyle w:val="Celda"/>
            </w:pPr>
            <w:r>
              <w:rPr>
                <w:b/>
              </w:rPr>
              <w:t xml:space="preserve">Plantilla SEVEN-G</w:t>
            </w:r>
          </w:p>
        </w:tc>
        <w:tc>
          <w:tcPr>
            <w:tcW w:w="2410" w:type="dxa"/>
            <w:shd w:val="clear" w:color="auto" w:fill="F2DFCE"/>
          </w:tcPr>
          <w:p>
            <w:pPr>
              <w:pStyle w:val="Celda"/>
            </w:pPr>
            <w:r>
              <w:rPr>
                <w:b/>
              </w:rPr>
              <w:t xml:space="preserve">Dónde se referencia</w:t>
            </w:r>
          </w:p>
        </w:tc>
        <w:tc>
          <w:tcPr>
            <w:tcW w:w="2410" w:type="dxa"/>
            <w:shd w:val="clear" w:color="auto" w:fill="F2DFCE"/>
          </w:tcPr>
          <w:p>
            <w:pPr>
              <w:pStyle w:val="Celda"/>
            </w:pPr>
            <w:r>
              <w:rPr>
                <w:b/>
                <w:i/>
              </w:rPr>
              <w:t xml:space="preserve">Gate</w:t>
            </w:r>
          </w:p>
        </w:tc>
      </w:tr>
      <w:tr>
        <w:tc>
          <w:tcPr>
            <w:tcW w:w="2410" w:type="dxa"/>
          </w:tcPr>
          <w:p>
            <w:pPr>
              <w:pStyle w:val="Celda"/>
            </w:pPr>
            <w:r>
              <w:t xml:space="preserve">Revisión del plan (sección 4)</w:t>
            </w:r>
          </w:p>
        </w:tc>
        <w:tc>
          <w:tcPr>
            <w:tcW w:w="2410" w:type="dxa"/>
          </w:tcPr>
          <w:p>
            <w:pPr>
              <w:pStyle w:val="Celda"/>
            </w:pPr>
            <w:r>
              <w:t xml:space="preserve">P15</w:t>
            </w:r>
          </w:p>
        </w:tc>
        <w:tc>
          <w:tcPr>
            <w:tcW w:w="2410" w:type="dxa"/>
          </w:tcPr>
          <w:p>
            <w:pPr>
              <w:pStyle w:val="Celda"/>
            </w:pPr>
            <w:r>
              <w:t xml:space="preserve">Anexo; decisiones en la sección 7 de P15</w:t>
            </w:r>
          </w:p>
        </w:tc>
        <w:tc>
          <w:tcPr>
            <w:tcW w:w="2410" w:type="dxa"/>
          </w:tcPr>
          <w:p>
            <w:pPr>
              <w:pStyle w:val="Celda"/>
            </w:pPr>
            <w:r>
              <w:t xml:space="preserve">G4</w:t>
            </w:r>
          </w:p>
        </w:tc>
      </w:tr>
      <w:tr>
        <w:tc>
          <w:tcPr>
            <w:tcW w:w="2410" w:type="dxa"/>
          </w:tcPr>
          <w:p>
            <w:pPr>
              <w:pStyle w:val="Celda"/>
            </w:pPr>
            <w:r>
              <w:t xml:space="preserve">Reglas de implementación (sección 5)</w:t>
            </w:r>
          </w:p>
        </w:tc>
        <w:tc>
          <w:tcPr>
            <w:tcW w:w="2410" w:type="dxa"/>
          </w:tcPr>
          <w:p>
            <w:pPr>
              <w:pStyle w:val="Celda"/>
            </w:pPr>
            <w:r>
              <w:t xml:space="preserve">P15</w:t>
            </w:r>
          </w:p>
        </w:tc>
        <w:tc>
          <w:tcPr>
            <w:tcW w:w="2410" w:type="dxa"/>
          </w:tcPr>
          <w:p>
            <w:pPr>
              <w:pStyle w:val="Celda"/>
            </w:pPr>
            <w:r>
              <w:t xml:space="preserve">Anexo</w:t>
            </w:r>
          </w:p>
        </w:tc>
        <w:tc>
          <w:tcPr>
            <w:tcW w:w="2410" w:type="dxa"/>
          </w:tcPr>
          <w:p>
            <w:pPr>
              <w:pStyle w:val="Celda"/>
            </w:pPr>
            <w:r>
              <w:t xml:space="preserve">G4</w:t>
            </w:r>
          </w:p>
        </w:tc>
      </w:tr>
      <w:tr>
        <w:tc>
          <w:tcPr>
            <w:tcW w:w="2410" w:type="dxa"/>
          </w:tcPr>
          <w:p>
            <w:pPr>
              <w:pStyle w:val="Celda"/>
            </w:pPr>
            <w:r>
              <w:t xml:space="preserve">Estrategia de pruebas (sección 6)</w:t>
            </w:r>
          </w:p>
        </w:tc>
        <w:tc>
          <w:tcPr>
            <w:tcW w:w="2410" w:type="dxa"/>
          </w:tcPr>
          <w:p>
            <w:pPr>
              <w:pStyle w:val="Celda"/>
            </w:pPr>
            <w:r>
              <w:t xml:space="preserve">P22</w:t>
            </w:r>
          </w:p>
        </w:tc>
        <w:tc>
          <w:tcPr>
            <w:tcW w:w="2410" w:type="dxa"/>
          </w:tcPr>
          <w:p>
            <w:pPr>
              <w:pStyle w:val="Celda"/>
            </w:pPr>
            <w:r>
              <w:t xml:space="preserve">Anexo, como planificación de las pruebas cuyos resultados recoge la sección 3 de P22</w:t>
            </w:r>
          </w:p>
        </w:tc>
        <w:tc>
          <w:tcPr>
            <w:tcW w:w="2410" w:type="dxa"/>
          </w:tcPr>
          <w:p>
            <w:pPr>
              <w:pStyle w:val="Celda"/>
            </w:pPr>
            <w:r>
              <w:t xml:space="preserve">G4</w:t>
            </w:r>
          </w:p>
        </w:tc>
      </w:tr>
      <w:tr>
        <w:tc>
          <w:tcPr>
            <w:tcW w:w="2410" w:type="dxa"/>
          </w:tcPr>
          <w:p>
            <w:pPr>
              <w:pStyle w:val="Celda"/>
            </w:pPr>
            <w:r>
              <w:t xml:space="preserve">Revisión de pruebas (sección 7)</w:t>
            </w:r>
          </w:p>
        </w:tc>
        <w:tc>
          <w:tcPr>
            <w:tcW w:w="2410" w:type="dxa"/>
          </w:tcPr>
          <w:p>
            <w:pPr>
              <w:pStyle w:val="Celda"/>
            </w:pPr>
            <w:r>
              <w:t xml:space="preserve">P22</w:t>
            </w:r>
          </w:p>
        </w:tc>
        <w:tc>
          <w:tcPr>
            <w:tcW w:w="2410" w:type="dxa"/>
          </w:tcPr>
          <w:p>
            <w:pPr>
              <w:pStyle w:val="Celda"/>
            </w:pPr>
            <w:r>
              <w:t xml:space="preserve">Resultados de las pruebas</w:t>
            </w:r>
          </w:p>
        </w:tc>
        <w:tc>
          <w:tcPr>
            <w:tcW w:w="2410" w:type="dxa"/>
          </w:tcPr>
          <w:p>
            <w:pPr>
              <w:pStyle w:val="Celda"/>
            </w:pPr>
            <w:r>
              <w:t xml:space="preserve">G5</w:t>
            </w:r>
          </w:p>
        </w:tc>
      </w:tr>
      <w:tr>
        <w:tc>
          <w:tcPr>
            <w:tcW w:w="2410" w:type="dxa"/>
          </w:tcPr>
          <w:p>
            <w:pPr>
              <w:pStyle w:val="Celda"/>
            </w:pPr>
            <w:r>
              <w:t xml:space="preserve">Revisión del código y correcciones (secciones 7 y 8)</w:t>
            </w:r>
          </w:p>
        </w:tc>
        <w:tc>
          <w:tcPr>
            <w:tcW w:w="2410" w:type="dxa"/>
          </w:tcPr>
          <w:p>
            <w:pPr>
              <w:pStyle w:val="Celda"/>
            </w:pPr>
            <w:r>
              <w:t xml:space="preserve">P21</w:t>
            </w:r>
          </w:p>
        </w:tc>
        <w:tc>
          <w:tcPr>
            <w:tcW w:w="2410" w:type="dxa"/>
          </w:tcPr>
          <w:p>
            <w:pPr>
              <w:pStyle w:val="Celda"/>
            </w:pPr>
            <w:r>
              <w:t xml:space="preserve">Alcance entregado y limitaciones</w:t>
            </w:r>
          </w:p>
        </w:tc>
        <w:tc>
          <w:tcPr>
            <w:tcW w:w="2410" w:type="dxa"/>
          </w:tcPr>
          <w:p>
            <w:pPr>
              <w:pStyle w:val="Celda"/>
            </w:pPr>
            <w:r>
              <w:t xml:space="preserve">G5</w:t>
            </w:r>
          </w:p>
        </w:tc>
      </w:tr>
      <w:tr>
        <w:tc>
          <w:tcPr>
            <w:tcW w:w="2410" w:type="dxa"/>
          </w:tcPr>
          <w:p>
            <w:pPr>
              <w:pStyle w:val="Celda"/>
            </w:pPr>
            <w:r>
              <w:t xml:space="preserve">Revisión de seguridad (sección 7)</w:t>
            </w:r>
          </w:p>
        </w:tc>
        <w:tc>
          <w:tcPr>
            <w:tcW w:w="2410" w:type="dxa"/>
          </w:tcPr>
          <w:p>
            <w:pPr>
              <w:pStyle w:val="Celda"/>
            </w:pPr>
            <w:r>
              <w:t xml:space="preserve">P18 y P22</w:t>
            </w:r>
          </w:p>
        </w:tc>
        <w:tc>
          <w:tcPr>
            <w:tcW w:w="2410" w:type="dxa"/>
          </w:tcPr>
          <w:p>
            <w:pPr>
              <w:pStyle w:val="Celda"/>
            </w:pPr>
            <w:r>
              <w:t xml:space="preserve">Resultados de seguridad</w:t>
            </w:r>
          </w:p>
        </w:tc>
        <w:tc>
          <w:tcPr>
            <w:tcW w:w="2410" w:type="dxa"/>
          </w:tcPr>
          <w:p>
            <w:pPr>
              <w:pStyle w:val="Celda"/>
            </w:pPr>
            <w:r>
              <w:t xml:space="preserve">G5</w:t>
            </w:r>
          </w:p>
        </w:tc>
      </w:tr>
      <w:tr>
        <w:tc>
          <w:tcPr>
            <w:tcW w:w="2410" w:type="dxa"/>
          </w:tcPr>
          <w:p>
            <w:pPr>
              <w:pStyle w:val="Celda"/>
            </w:pPr>
            <w:r>
              <w:t xml:space="preserve">Registro de infracciones (sección 9)</w:t>
            </w:r>
          </w:p>
        </w:tc>
        <w:tc>
          <w:tcPr>
            <w:tcW w:w="2410" w:type="dxa"/>
          </w:tcPr>
          <w:p>
            <w:pPr>
              <w:pStyle w:val="Celda"/>
            </w:pPr>
            <w:r>
              <w:t xml:space="preserve">P21</w:t>
            </w:r>
          </w:p>
        </w:tc>
        <w:tc>
          <w:tcPr>
            <w:tcW w:w="2410" w:type="dxa"/>
          </w:tcPr>
          <w:p>
            <w:pPr>
              <w:pStyle w:val="Celda"/>
            </w:pPr>
            <w:r>
              <w:t xml:space="preserve">Anexo </w:t>
            </w:r>
            <w:r>
              <w:rPr>
                <w:b/>
              </w:rPr>
              <w:t xml:space="preserve">(Enterprise)</w:t>
            </w:r>
          </w:p>
        </w:tc>
        <w:tc>
          <w:tcPr>
            <w:tcW w:w="2410" w:type="dxa"/>
          </w:tcPr>
          <w:p>
            <w:pPr>
              <w:pStyle w:val="Celda"/>
            </w:pPr>
            <w:r>
              <w:t xml:space="preserve">G5</w:t>
            </w:r>
          </w:p>
        </w:tc>
      </w:tr>
      <w:tr>
        <w:tc>
          <w:tcPr>
            <w:tcW w:w="2410" w:type="dxa"/>
          </w:tcPr>
          <w:p>
            <w:pPr>
              <w:pStyle w:val="Celda"/>
            </w:pPr>
            <w:r>
              <w:t xml:space="preserve">Versiones (sección 11)</w:t>
            </w:r>
          </w:p>
        </w:tc>
        <w:tc>
          <w:tcPr>
            <w:tcW w:w="2410" w:type="dxa"/>
          </w:tcPr>
          <w:p>
            <w:pPr>
              <w:pStyle w:val="Celda"/>
            </w:pPr>
            <w:r>
              <w:t xml:space="preserve">P21, P19 y P27</w:t>
            </w:r>
          </w:p>
        </w:tc>
        <w:tc>
          <w:tcPr>
            <w:tcW w:w="2410" w:type="dxa"/>
          </w:tcPr>
          <w:p>
            <w:pPr>
              <w:pStyle w:val="Celda"/>
            </w:pPr>
            <w:r>
              <w:t xml:space="preserve">Resumen de la entrega y reversión</w:t>
            </w:r>
          </w:p>
        </w:tc>
        <w:tc>
          <w:tcPr>
            <w:tcW w:w="2410" w:type="dxa"/>
          </w:tcPr>
          <w:p>
            <w:pPr>
              <w:pStyle w:val="Celda"/>
            </w:pPr>
            <w:r>
              <w:t xml:space="preserve">G5 y R6</w:t>
            </w:r>
          </w:p>
        </w:tc>
      </w:tr>
    </w:tbl>
    <w:p>
      <w:pPr>
        <w:pStyle w:val="Espacio"/>
      </w:pPr>
    </w:p>
    <w:p>
      <w:pPr>
        <w:pStyle w:val="Separador"/>
      </w:pPr>
    </w:p>
    <w:p>
      <w:pPr>
        <w:pStyle w:val="Heading1"/>
      </w:pPr>
      <w:r>
        <w:t xml:space="preserve">13. Criterios de calidad</w:t>
      </w:r>
    </w:p>
    <w:p>
      <w:r>
        <w:t xml:space="preserve">Criterios formales en el documento 21 (G4.01, G4.12, G5.01, G5.02, G5.04 y R6.07); comprobaciones de 53 §8.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Herramientas de construcción aprobadas e inventariadas, y autonomía de sus agentes clasificada.</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Plan revisado por una IA distinta y validado por una persona antes de implementar.</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Reglas de implementación y estrategia de pruebas existen antes de G4 (Enterprise).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Excepciones al contexto global registradas como riesgo.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Revisiones de pruebas, código y seguridad con validación humana; sin hallazgos críticos o altos abiertos en G5.</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Correcciones e infracciones registradas; ninguna aprobación sin persona identificada.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Cada versión vinculada a un plan de reversión probado.</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Los cambios y correcciones urgentes posteriores cumplen los mismos requisitos y constan en P27.</w:t>
            </w:r>
          </w:p>
        </w:tc>
        <w:tc>
          <w:tcPr>
            <w:tcW w:w="3213" w:type="dxa"/>
          </w:tcPr>
          <w:p>
            <w:pPr>
              <w:pStyle w:val="Celda"/>
            </w:pPr>
          </w:p>
        </w:tc>
      </w:tr>
    </w:tbl>
    <w:p>
      <w:pPr>
        <w:pStyle w:val="Espacio"/>
      </w:pPr>
    </w:p>
    <w:p>
      <w:pPr>
        <w:pStyle w:val="Separador"/>
      </w:pPr>
    </w:p>
    <w:p>
      <w:pPr>
        <w:pStyle w:val="Heading1"/>
      </w:pPr>
      <w:r>
        <w:t xml:space="preserve">14.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Orquesta y registra</w:t>
            </w:r>
          </w:p>
        </w:tc>
        <w:tc>
          <w:tcPr>
            <w:tcW w:w="1928" w:type="dxa"/>
          </w:tcPr>
          <w:p>
            <w:pPr>
              <w:pStyle w:val="Celda"/>
            </w:pPr>
            <w:r>
              <w:t xml:space="preserve">Orquestador (designado en P03)</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 las salidas de la IA</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la seguridad</w:t>
            </w:r>
          </w:p>
        </w:tc>
        <w:tc>
          <w:tcPr>
            <w:tcW w:w="1928" w:type="dxa"/>
          </w:tcPr>
          <w:p>
            <w:pPr>
              <w:pStyle w:val="Celda"/>
            </w:pPr>
            <w:r>
              <w:t xml:space="preserve">Seguridad de la información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 el </w:t>
            </w:r>
            <w:r>
              <w:rPr>
                <w:i/>
              </w:rPr>
              <w:t xml:space="preserve">gate</w:t>
            </w:r>
          </w:p>
        </w:tc>
        <w:tc>
          <w:tcPr>
            <w:tcW w:w="1928" w:type="dxa"/>
          </w:tcPr>
          <w:p>
            <w:pPr>
              <w:pStyle w:val="Celda"/>
            </w:pPr>
            <w:r>
              <w:t xml:space="preserve">Órgano de 01 §7.5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la IA revisora es una herramienta del equipo que construye y no es el auditor de IA; quien orquestó un componente crítico no es el único que aprueba su incorporación; el verificador no forma parte del equipo.</w:t>
      </w:r>
    </w:p>
    <w:p>
      <w:pPr>
        <w:pStyle w:val="Separador"/>
      </w:pPr>
    </w:p>
    <w:p>
      <w:pPr>
        <w:pStyle w:val="Heading1"/>
      </w:pPr>
      <w:r>
        <w:t xml:space="preserve">15.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Recoge los artefactos de construcción de 53 §4.1 y §6 (revisión del plan, reglas de implementación, estrategia de pruebas, revisiones, correcciones, infracciones y versiones), los requisitos de 53 §7 y su correspondencia con P15, P21 y P22.</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P66 · Anexos de construcción con SPAD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P66 · Anexos de construcción con SPAD</dc:title>
  <dc:creator>Fernando García Varela</dc:creator>
  <dc:language>es</dc:language>
  <dc:description>sha256:02deea0820d38c55c7dd8b7444b9e568ce686eb038898dece94316d1dd3320be</dc:description>
  <cp:keywords>SEVEN-G</cp:keywords>
</cp:coreProperties>
</file>