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Informe de entrega</w:t>
      </w:r>
    </w:p>
    <w:p>
      <w:r>
        <w:rPr>
          <w:b/>
        </w:rPr>
        <w:t xml:space="preserve">Deja constancia de qué se ha construido o integrado frente al diseño aprobado en G4, con qué coste y plazo, y en qué estado se entrega a la operación.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P21 · Informe de entrega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Fase 5 (Entrega y validación), al terminar la construcción o integración y antes de solicitar G5.</w:t>
            </w:r>
          </w:p>
        </w:tc>
      </w:tr>
      <w:tr>
        <w:tc>
          <w:tcPr>
            <w:tcW w:w="4819" w:type="dxa"/>
          </w:tcPr>
          <w:p>
            <w:pPr>
              <w:pStyle w:val="Celda"/>
            </w:pPr>
            <w:r>
              <w:rPr>
                <w:b/>
              </w:rPr>
              <w:t xml:space="preserve">Quién la rellena</w:t>
            </w:r>
          </w:p>
        </w:tc>
        <w:tc>
          <w:tcPr>
            <w:tcW w:w="4819" w:type="dxa"/>
          </w:tcPr>
          <w:p>
            <w:pPr>
              <w:pStyle w:val="Celda"/>
            </w:pPr>
            <w:r>
              <w:t xml:space="preserve">Responsable técnico de IA, con el responsable de producto de IA. Si hay proveedor, este aporta la información, pero el informe lo firma el responsable técnico de la compañía.</w:t>
            </w:r>
          </w:p>
        </w:tc>
      </w:tr>
      <w:tr>
        <w:tc>
          <w:tcPr>
            <w:tcW w:w="4819" w:type="dxa"/>
          </w:tcPr>
          <w:p>
            <w:pPr>
              <w:pStyle w:val="Celda"/>
            </w:pPr>
            <w:r>
              <w:rPr>
                <w:b/>
              </w:rPr>
              <w:t xml:space="preserve">Quién la verifica</w:t>
            </w:r>
          </w:p>
        </w:tc>
        <w:tc>
          <w:tcPr>
            <w:tcW w:w="4819" w:type="dxa"/>
          </w:tcPr>
          <w:p>
            <w:pPr>
              <w:pStyle w:val="Celda"/>
            </w:pPr>
            <w:r>
              <w:t xml:space="preserve">Responsable de riesgos de IA en Lite; auditor de IA en Enterprise.</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G5 · Puesta en producción.</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w:t>
            </w:r>
          </w:p>
        </w:tc>
      </w:tr>
      <w:tr>
        <w:tc>
          <w:tcPr>
            <w:tcW w:w="4819" w:type="dxa"/>
          </w:tcPr>
          <w:p>
            <w:pPr>
              <w:pStyle w:val="Celda"/>
            </w:pPr>
            <w:r>
              <w:rPr>
                <w:b/>
              </w:rPr>
              <w:t xml:space="preserve">Relación</w:t>
            </w:r>
          </w:p>
        </w:tc>
        <w:tc>
          <w:tcPr>
            <w:tcW w:w="4819" w:type="dxa"/>
          </w:tcPr>
          <w:p>
            <w:pPr>
              <w:pStyle w:val="Celda"/>
            </w:pPr>
            <w:r>
              <w:t xml:space="preserve">P15–P20 (diseño aprobado) · P22 Resultados de validación y del piloto · P23 Firma de puesta en producción · P24 Manual de operación · P29 Registro de decisión de G4 (condiciones) · documentos 42 (Costes) y 53 (Construcción de soluciones).</w:t>
            </w:r>
          </w:p>
        </w:tc>
      </w:tr>
    </w:tbl>
    <w:p>
      <w:pPr>
        <w:pStyle w:val="Espacio"/>
      </w:pPr>
    </w:p>
    <w:p>
      <w:r>
        <w:t xml:space="preserve">Reglas:</w:t>
      </w:r>
    </w:p>
    <w:p>
      <w:pPr>
        <w:pStyle w:val="Lista"/>
      </w:pPr>
      <w:r>
        <w:t xml:space="preserve">• El informe compara lo entregado con </w:t>
      </w:r>
      <w:r>
        <w:rPr>
          <w:b/>
        </w:rPr>
        <w:t xml:space="preserve">lo aprobado</w:t>
      </w:r>
      <w:r>
        <w:t xml:space="preserve">, no con lo que se pensaba hacer al final. Todo cambio frente al diseño se declara y se justifica.</w:t>
      </w:r>
    </w:p>
    <w:p>
      <w:pPr>
        <w:pStyle w:val="Lista"/>
      </w:pPr>
      <w:r>
        <w:t xml:space="preserve">• Las condiciones impuestas en G4 se verifican aquí; una condición vencida sin cumplir convierte el resultado en Iterar (01 §7.4, regla 4).</w:t>
      </w:r>
    </w:p>
    <w:p>
      <w:pPr>
        <w:pStyle w:val="Lista"/>
      </w:pPr>
      <w:r>
        <w:t xml:space="preserve">• Los costes reales se expresan en euros por categoría de coste y se distingue la inversión del coste recurrente.</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Identificador en el inventario (T02).</w:t>
            </w:r>
          </w:p>
        </w:tc>
      </w:tr>
      <w:tr>
        <w:tc>
          <w:tcPr>
            <w:tcW w:w="3213" w:type="dxa"/>
          </w:tcPr>
          <w:p>
            <w:pPr>
              <w:pStyle w:val="Celda"/>
            </w:pPr>
            <w:r>
              <w:t xml:space="preserve">Versión entregada</w:t>
            </w:r>
          </w:p>
        </w:tc>
        <w:tc>
          <w:tcPr>
            <w:tcW w:w="3213" w:type="dxa"/>
          </w:tcPr>
          <w:p>
            <w:pPr>
              <w:pStyle w:val="Celda"/>
            </w:pPr>
          </w:p>
        </w:tc>
        <w:tc>
          <w:tcPr>
            <w:tcW w:w="3213" w:type="dxa"/>
          </w:tcPr>
          <w:p>
            <w:pPr>
              <w:pStyle w:val="Celda"/>
            </w:pPr>
            <w:r>
              <w:t xml:space="preserve">Versión de modelo, instrucciones y configuración (P16).</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Nivel de ambición</w:t>
            </w:r>
          </w:p>
        </w:tc>
        <w:tc>
          <w:tcPr>
            <w:tcW w:w="3213" w:type="dxa"/>
          </w:tcPr>
          <w:p>
            <w:pPr>
              <w:pStyle w:val="Celda"/>
            </w:pPr>
          </w:p>
        </w:tc>
        <w:tc>
          <w:tcPr>
            <w:tcW w:w="3213" w:type="dxa"/>
          </w:tcPr>
          <w:p>
            <w:pPr>
              <w:pStyle w:val="Celda"/>
            </w:pPr>
            <w:r>
              <w:t xml:space="preserve">Optimizar · Aumentar · Transformar.</w:t>
            </w:r>
          </w:p>
        </w:tc>
      </w:tr>
      <w:tr>
        <w:tc>
          <w:tcPr>
            <w:tcW w:w="3213" w:type="dxa"/>
          </w:tcPr>
          <w:p>
            <w:pPr>
              <w:pStyle w:val="Celda"/>
            </w:pPr>
            <w:r>
              <w:t xml:space="preserve">Proveedores que han intervenido</w:t>
            </w:r>
          </w:p>
        </w:tc>
        <w:tc>
          <w:tcPr>
            <w:tcW w:w="3213" w:type="dxa"/>
          </w:tcPr>
          <w:p>
            <w:pPr>
              <w:pStyle w:val="Celda"/>
            </w:pPr>
          </w:p>
        </w:tc>
        <w:tc>
          <w:tcPr>
            <w:tcW w:w="3213" w:type="dxa"/>
          </w:tcPr>
          <w:p>
            <w:pPr>
              <w:pStyle w:val="Celda"/>
            </w:pPr>
            <w:r>
              <w:t xml:space="preserve">Nombre y referencia a P14.</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Resumen de la entrega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Qué se ha entregado</w:t>
            </w:r>
          </w:p>
        </w:tc>
        <w:tc>
          <w:tcPr>
            <w:tcW w:w="3213" w:type="dxa"/>
          </w:tcPr>
          <w:p>
            <w:pPr>
              <w:pStyle w:val="Celda"/>
            </w:pPr>
          </w:p>
        </w:tc>
        <w:tc>
          <w:tcPr>
            <w:tcW w:w="3213" w:type="dxa"/>
          </w:tcPr>
          <w:p>
            <w:pPr>
              <w:pStyle w:val="Celda"/>
            </w:pPr>
            <w:r>
              <w:t xml:space="preserve">En tres a cinco líneas, en lenguaje comprensible.</w:t>
            </w:r>
          </w:p>
        </w:tc>
      </w:tr>
      <w:tr>
        <w:tc>
          <w:tcPr>
            <w:tcW w:w="3213" w:type="dxa"/>
          </w:tcPr>
          <w:p>
            <w:pPr>
              <w:pStyle w:val="Celda"/>
            </w:pPr>
            <w:r>
              <w:t xml:space="preserve">Diferencias principales con el diseño aprobado</w:t>
            </w:r>
          </w:p>
        </w:tc>
        <w:tc>
          <w:tcPr>
            <w:tcW w:w="3213" w:type="dxa"/>
          </w:tcPr>
          <w:p>
            <w:pPr>
              <w:pStyle w:val="Celda"/>
            </w:pPr>
          </w:p>
        </w:tc>
        <w:tc>
          <w:tcPr>
            <w:tcW w:w="3213" w:type="dxa"/>
          </w:tcPr>
          <w:p>
            <w:pPr>
              <w:pStyle w:val="Celda"/>
            </w:pPr>
            <w:r>
              <w:t xml:space="preserve">Resumen del bloque 4.</w:t>
            </w:r>
          </w:p>
        </w:tc>
      </w:tr>
      <w:tr>
        <w:tc>
          <w:tcPr>
            <w:tcW w:w="3213" w:type="dxa"/>
          </w:tcPr>
          <w:p>
            <w:pPr>
              <w:pStyle w:val="Celda"/>
            </w:pPr>
            <w:r>
              <w:t xml:space="preserve">Estado para la puesta en producción</w:t>
            </w:r>
          </w:p>
        </w:tc>
        <w:tc>
          <w:tcPr>
            <w:tcW w:w="3213" w:type="dxa"/>
          </w:tcPr>
          <w:p>
            <w:pPr>
              <w:pStyle w:val="Celda"/>
            </w:pPr>
          </w:p>
        </w:tc>
        <w:tc>
          <w:tcPr>
            <w:tcW w:w="3213" w:type="dxa"/>
          </w:tcPr>
          <w:p>
            <w:pPr>
              <w:pStyle w:val="Celda"/>
            </w:pPr>
            <w:r>
              <w:t xml:space="preserve">Preparado · Preparado con pendientes no críticos · No preparado.</w:t>
            </w:r>
          </w:p>
        </w:tc>
      </w:tr>
      <w:tr>
        <w:tc>
          <w:tcPr>
            <w:tcW w:w="3213" w:type="dxa"/>
          </w:tcPr>
          <w:p>
            <w:pPr>
              <w:pStyle w:val="Celda"/>
            </w:pPr>
            <w:r>
              <w:t xml:space="preserve">Pendientes críticos</w:t>
            </w:r>
          </w:p>
        </w:tc>
        <w:tc>
          <w:tcPr>
            <w:tcW w:w="3213" w:type="dxa"/>
          </w:tcPr>
          <w:p>
            <w:pPr>
              <w:pStyle w:val="Celda"/>
            </w:pPr>
          </w:p>
        </w:tc>
        <w:tc>
          <w:tcPr>
            <w:tcW w:w="3213" w:type="dxa"/>
          </w:tcPr>
          <w:p>
            <w:pPr>
              <w:pStyle w:val="Celda"/>
            </w:pPr>
            <w:r>
              <w:t xml:space="preserve">Si existen, el estado no puede ser "Preparado".</w:t>
            </w:r>
          </w:p>
        </w:tc>
      </w:tr>
    </w:tbl>
    <w:p>
      <w:pPr>
        <w:pStyle w:val="Espacio"/>
      </w:pPr>
    </w:p>
    <w:p>
      <w:pPr>
        <w:pStyle w:val="Separador"/>
      </w:pPr>
    </w:p>
    <w:p>
      <w:pPr>
        <w:pStyle w:val="Heading1"/>
      </w:pPr>
      <w:r>
        <w:t xml:space="preserve">4. Alcance entregado frente al diseño aprobado</w:t>
      </w:r>
    </w:p>
    <w:p>
      <w:r>
        <w:rPr>
          <w:b/>
        </w:rPr>
        <w:t xml:space="preserve">Estado:</w:t>
      </w:r>
      <w:r>
        <w:t xml:space="preserve"> Entregado según diseño · Entregado con cambios · No entregado.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Elemento del diseño</w:t>
            </w:r>
          </w:p>
        </w:tc>
        <w:tc>
          <w:tcPr>
            <w:tcW w:w="1606" w:type="dxa"/>
            <w:shd w:val="clear" w:color="auto" w:fill="F2DFCE"/>
          </w:tcPr>
          <w:p>
            <w:pPr>
              <w:pStyle w:val="Celda"/>
            </w:pPr>
            <w:r>
              <w:rPr>
                <w:b/>
              </w:rPr>
              <w:t xml:space="preserve">Evidencia de diseño</w:t>
            </w:r>
          </w:p>
        </w:tc>
        <w:tc>
          <w:tcPr>
            <w:tcW w:w="1606" w:type="dxa"/>
            <w:shd w:val="clear" w:color="auto" w:fill="F2DFCE"/>
          </w:tcPr>
          <w:p>
            <w:pPr>
              <w:pStyle w:val="Celda"/>
            </w:pPr>
            <w:r>
              <w:rPr>
                <w:b/>
              </w:rPr>
              <w:t xml:space="preserve">Estado</w:t>
            </w:r>
          </w:p>
        </w:tc>
        <w:tc>
          <w:tcPr>
            <w:tcW w:w="1606" w:type="dxa"/>
            <w:shd w:val="clear" w:color="auto" w:fill="F2DFCE"/>
          </w:tcPr>
          <w:p>
            <w:pPr>
              <w:pStyle w:val="Celda"/>
            </w:pPr>
            <w:r>
              <w:rPr>
                <w:b/>
              </w:rPr>
              <w:t xml:space="preserve">Cambios y justificación</w:t>
            </w:r>
          </w:p>
        </w:tc>
        <w:tc>
          <w:tcPr>
            <w:tcW w:w="1606" w:type="dxa"/>
            <w:shd w:val="clear" w:color="auto" w:fill="F2DFCE"/>
          </w:tcPr>
          <w:p>
            <w:pPr>
              <w:pStyle w:val="Celda"/>
            </w:pPr>
            <w:r>
              <w:rPr>
                <w:b/>
              </w:rPr>
              <w:t xml:space="preserve">¿Afecta a riesgos, supervisión o seguridad? (Sí · No)</w:t>
            </w:r>
          </w:p>
        </w:tc>
        <w:tc>
          <w:tcPr>
            <w:tcW w:w="1606" w:type="dxa"/>
            <w:shd w:val="clear" w:color="auto" w:fill="F2DFCE"/>
          </w:tcPr>
          <w:p>
            <w:pPr>
              <w:pStyle w:val="Celda"/>
            </w:pPr>
            <w:r>
              <w:rPr>
                <w:b/>
              </w:rPr>
              <w:t xml:space="preserve">Aprobación del cambio</w:t>
            </w:r>
          </w:p>
        </w:tc>
      </w:tr>
      <w:tr>
        <w:tc>
          <w:tcPr>
            <w:tcW w:w="1606" w:type="dxa"/>
          </w:tcPr>
          <w:p>
            <w:pPr>
              <w:pStyle w:val="Celda"/>
            </w:pPr>
            <w:r>
              <w:t xml:space="preserve">Arquitectura e integraciones</w:t>
            </w:r>
          </w:p>
        </w:tc>
        <w:tc>
          <w:tcPr>
            <w:tcW w:w="1606" w:type="dxa"/>
          </w:tcPr>
          <w:p>
            <w:pPr>
              <w:pStyle w:val="Celda"/>
            </w:pPr>
            <w:r>
              <w:t xml:space="preserve">P15</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Datos y modelos</w:t>
            </w:r>
          </w:p>
        </w:tc>
        <w:tc>
          <w:tcPr>
            <w:tcW w:w="1606" w:type="dxa"/>
          </w:tcPr>
          <w:p>
            <w:pPr>
              <w:pStyle w:val="Celda"/>
            </w:pPr>
            <w:r>
              <w:t xml:space="preserve">P16</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Supervisión humana</w:t>
            </w:r>
          </w:p>
        </w:tc>
        <w:tc>
          <w:tcPr>
            <w:tcW w:w="1606" w:type="dxa"/>
          </w:tcPr>
          <w:p>
            <w:pPr>
              <w:pStyle w:val="Celda"/>
            </w:pPr>
            <w:r>
              <w:t xml:space="preserve">P17</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Controles de seguridad y de agentes</w:t>
            </w:r>
          </w:p>
        </w:tc>
        <w:tc>
          <w:tcPr>
            <w:tcW w:w="1606" w:type="dxa"/>
          </w:tcPr>
          <w:p>
            <w:pPr>
              <w:pStyle w:val="Celda"/>
            </w:pPr>
            <w:r>
              <w:t xml:space="preserve">P18</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Mecanismo de reversión e interruptor de parada</w:t>
            </w:r>
          </w:p>
        </w:tc>
        <w:tc>
          <w:tcPr>
            <w:tcW w:w="1606" w:type="dxa"/>
          </w:tcPr>
          <w:p>
            <w:pPr>
              <w:pStyle w:val="Celda"/>
            </w:pPr>
            <w:r>
              <w:t xml:space="preserve">P19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Formación y adopción</w:t>
            </w:r>
          </w:p>
        </w:tc>
        <w:tc>
          <w:tcPr>
            <w:tcW w:w="1606" w:type="dxa"/>
          </w:tcPr>
          <w:p>
            <w:pPr>
              <w:pStyle w:val="Celda"/>
            </w:pPr>
            <w:r>
              <w:t xml:space="preserve">P20</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Monitorización y alertas</w:t>
            </w:r>
          </w:p>
        </w:tc>
        <w:tc>
          <w:tcPr>
            <w:tcW w:w="1606" w:type="dxa"/>
          </w:tcPr>
          <w:p>
            <w:pPr>
              <w:pStyle w:val="Celda"/>
            </w:pPr>
            <w:r>
              <w:t xml:space="preserve">P25</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Integración con el sistema del proveedor </w:t>
            </w:r>
            <w:r>
              <w:rPr>
                <w:i/>
              </w:rPr>
              <w:t xml:space="preserve">(ejemplo ilustrativo)</w:t>
            </w:r>
          </w:p>
        </w:tc>
        <w:tc>
          <w:tcPr>
            <w:tcW w:w="1606" w:type="dxa"/>
          </w:tcPr>
          <w:p>
            <w:pPr>
              <w:pStyle w:val="Celda"/>
            </w:pPr>
            <w:r>
              <w:t xml:space="preserve">P15</w:t>
            </w:r>
          </w:p>
        </w:tc>
        <w:tc>
          <w:tcPr>
            <w:tcW w:w="1606" w:type="dxa"/>
          </w:tcPr>
          <w:p>
            <w:pPr>
              <w:pStyle w:val="Celda"/>
            </w:pPr>
            <w:r>
              <w:t xml:space="preserve">Entregado con cambios</w:t>
            </w:r>
          </w:p>
        </w:tc>
        <w:tc>
          <w:tcPr>
            <w:tcW w:w="1606" w:type="dxa"/>
          </w:tcPr>
          <w:p>
            <w:pPr>
              <w:pStyle w:val="Celda"/>
            </w:pPr>
            <w:r>
              <w:t xml:space="preserve">Se sustituye la conexión en tiempo real por carga cada hora por limitaciones del proveedor</w:t>
            </w:r>
          </w:p>
        </w:tc>
        <w:tc>
          <w:tcPr>
            <w:tcW w:w="1606" w:type="dxa"/>
          </w:tcPr>
          <w:p>
            <w:pPr>
              <w:pStyle w:val="Celda"/>
            </w:pPr>
            <w:r>
              <w:t xml:space="preserve">Sí: retraso de hasta una hora en los datos de entrada</w:t>
            </w:r>
          </w:p>
        </w:tc>
        <w:tc>
          <w:tcPr>
            <w:tcW w:w="1606" w:type="dxa"/>
          </w:tcPr>
          <w:p>
            <w:pPr>
              <w:pStyle w:val="Celda"/>
            </w:pPr>
            <w:r>
              <w:t xml:space="preserve">Responsable técnico con conformidad de riesgos</w:t>
            </w:r>
          </w:p>
        </w:tc>
      </w:tr>
    </w:tbl>
    <w:p>
      <w:pPr>
        <w:pStyle w:val="Espacio"/>
      </w:pPr>
    </w:p>
    <w:p>
      <w:r>
        <w:t xml:space="preserve">Si un cambio afecta a riesgos, supervisión humana o seguridad, debe actualizarse la evidencia de diseño correspondiente y el registro de riesgos (P12) antes de G5.</w:t>
      </w:r>
    </w:p>
    <w:p>
      <w:pPr>
        <w:pStyle w:val="Separador"/>
      </w:pPr>
    </w:p>
    <w:p>
      <w:pPr>
        <w:pStyle w:val="Heading1"/>
      </w:pPr>
      <w:r>
        <w:t xml:space="preserve">5. Condiciones pendientes de </w:t>
      </w:r>
      <w:r>
        <w:rPr>
          <w:i/>
        </w:rPr>
        <w:t xml:space="preserve">gates</w:t>
      </w:r>
      <w:r>
        <w:t xml:space="preserve"> anteriores</w:t>
      </w:r>
    </w:p>
    <w:p>
      <w:r>
        <w:rPr>
          <w:b/>
        </w:rPr>
        <w:t xml:space="preserve">Estado:</w:t>
      </w:r>
      <w:r>
        <w:t xml:space="preserve"> Cumplida · No cumplida · Vencida.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Condición</w:t>
            </w:r>
          </w:p>
        </w:tc>
        <w:tc>
          <w:tcPr>
            <w:tcW w:w="1606" w:type="dxa"/>
            <w:shd w:val="clear" w:color="auto" w:fill="F2DFCE"/>
          </w:tcPr>
          <w:p>
            <w:pPr>
              <w:pStyle w:val="Celda"/>
            </w:pPr>
            <w:r>
              <w:rPr>
                <w:b/>
                <w:i/>
              </w:rPr>
              <w:t xml:space="preserve">Gate</w:t>
            </w:r>
            <w:r>
              <w:rPr>
                <w:b/>
              </w:rPr>
              <w:t xml:space="preserve"> de origen</w:t>
            </w:r>
          </w:p>
        </w:tc>
        <w:tc>
          <w:tcPr>
            <w:tcW w:w="1606" w:type="dxa"/>
            <w:shd w:val="clear" w:color="auto" w:fill="F2DFCE"/>
          </w:tcPr>
          <w:p>
            <w:pPr>
              <w:pStyle w:val="Celda"/>
            </w:pPr>
            <w:r>
              <w:rPr>
                <w:b/>
              </w:rPr>
              <w:t xml:space="preserve">Responsable</w:t>
            </w:r>
          </w:p>
        </w:tc>
        <w:tc>
          <w:tcPr>
            <w:tcW w:w="1606" w:type="dxa"/>
            <w:shd w:val="clear" w:color="auto" w:fill="F2DFCE"/>
          </w:tcPr>
          <w:p>
            <w:pPr>
              <w:pStyle w:val="Celda"/>
            </w:pPr>
            <w:r>
              <w:rPr>
                <w:b/>
              </w:rPr>
              <w:t xml:space="preserve">Plazo</w:t>
            </w:r>
          </w:p>
        </w:tc>
        <w:tc>
          <w:tcPr>
            <w:tcW w:w="1606" w:type="dxa"/>
            <w:shd w:val="clear" w:color="auto" w:fill="F2DFCE"/>
          </w:tcPr>
          <w:p>
            <w:pPr>
              <w:pStyle w:val="Celda"/>
            </w:pPr>
            <w:r>
              <w:rPr>
                <w:b/>
              </w:rPr>
              <w:t xml:space="preserve">Estado</w:t>
            </w:r>
          </w:p>
        </w:tc>
        <w:tc>
          <w:tcPr>
            <w:tcW w:w="1606" w:type="dxa"/>
            <w:shd w:val="clear" w:color="auto" w:fill="F2DFCE"/>
          </w:tcPr>
          <w:p>
            <w:pPr>
              <w:pStyle w:val="Celda"/>
            </w:pPr>
            <w:r>
              <w:rPr>
                <w:b/>
              </w:rPr>
              <w:t xml:space="preserve">Evidencia</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6. Documentación entregada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Documento</w:t>
            </w:r>
          </w:p>
        </w:tc>
        <w:tc>
          <w:tcPr>
            <w:tcW w:w="2410" w:type="dxa"/>
            <w:shd w:val="clear" w:color="auto" w:fill="F2DFCE"/>
          </w:tcPr>
          <w:p>
            <w:pPr>
              <w:pStyle w:val="Celda"/>
            </w:pPr>
            <w:r>
              <w:rPr>
                <w:b/>
              </w:rPr>
              <w:t xml:space="preserve">Entregado (Sí · No · No aplica)</w:t>
            </w:r>
          </w:p>
        </w:tc>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Ubicación</w:t>
            </w:r>
          </w:p>
        </w:tc>
      </w:tr>
      <w:tr>
        <w:tc>
          <w:tcPr>
            <w:tcW w:w="2410" w:type="dxa"/>
          </w:tcPr>
          <w:p>
            <w:pPr>
              <w:pStyle w:val="Celda"/>
            </w:pPr>
            <w:r>
              <w:t xml:space="preserve">Documentación técnica del sistema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Linaje de datos y modelos actualizado (P16)</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Manual de usuario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Manual de operación en borrador (P24)</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Configuración de monitorización y alertas (P25)</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Plan de respuesta a incidentes (P26)</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Documentación técnica exigida por la regulación para sistemas de alto riesgo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r>
              <w:t xml:space="preserve">Referencia al mapeo regulatorio (documento 34).</w:t>
            </w:r>
          </w:p>
        </w:tc>
      </w:tr>
      <w:tr>
        <w:tc>
          <w:tcPr>
            <w:tcW w:w="2410" w:type="dxa"/>
          </w:tcPr>
          <w:p>
            <w:pPr>
              <w:pStyle w:val="Celda"/>
            </w:pPr>
            <w:r>
              <w:t xml:space="preserve">Documentación y garantías del proveedor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7. Costes reales frente a previstos</w:t>
      </w:r>
    </w:p>
    <w:p>
      <w:r>
        <w:t xml:space="preserve">Importes en euros. "Previsto" es lo aprobado en G3 (P10) o, si se actualizó, en G4.</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Categoría de coste</w:t>
            </w:r>
          </w:p>
        </w:tc>
        <w:tc>
          <w:tcPr>
            <w:tcW w:w="1606" w:type="dxa"/>
            <w:shd w:val="clear" w:color="auto" w:fill="F2DFCE"/>
          </w:tcPr>
          <w:p>
            <w:pPr>
              <w:pStyle w:val="Celda"/>
            </w:pPr>
            <w:r>
              <w:rPr>
                <w:b/>
              </w:rPr>
              <w:t xml:space="preserve">Inversión prevista</w:t>
            </w:r>
          </w:p>
        </w:tc>
        <w:tc>
          <w:tcPr>
            <w:tcW w:w="1606" w:type="dxa"/>
            <w:shd w:val="clear" w:color="auto" w:fill="F2DFCE"/>
          </w:tcPr>
          <w:p>
            <w:pPr>
              <w:pStyle w:val="Celda"/>
            </w:pPr>
            <w:r>
              <w:rPr>
                <w:b/>
              </w:rPr>
              <w:t xml:space="preserve">Inversión real</w:t>
            </w:r>
          </w:p>
        </w:tc>
        <w:tc>
          <w:tcPr>
            <w:tcW w:w="1606" w:type="dxa"/>
            <w:shd w:val="clear" w:color="auto" w:fill="F2DFCE"/>
          </w:tcPr>
          <w:p>
            <w:pPr>
              <w:pStyle w:val="Celda"/>
            </w:pPr>
            <w:r>
              <w:rPr>
                <w:b/>
              </w:rPr>
              <w:t xml:space="preserve">Coste recurrente anual previsto</w:t>
            </w:r>
          </w:p>
        </w:tc>
        <w:tc>
          <w:tcPr>
            <w:tcW w:w="1606" w:type="dxa"/>
            <w:shd w:val="clear" w:color="auto" w:fill="F2DFCE"/>
          </w:tcPr>
          <w:p>
            <w:pPr>
              <w:pStyle w:val="Celda"/>
            </w:pPr>
            <w:r>
              <w:rPr>
                <w:b/>
              </w:rPr>
              <w:t xml:space="preserve">Coste recurrente anual actualizado</w:t>
            </w:r>
          </w:p>
        </w:tc>
        <w:tc>
          <w:tcPr>
            <w:tcW w:w="1606" w:type="dxa"/>
            <w:shd w:val="clear" w:color="auto" w:fill="F2DFCE"/>
          </w:tcPr>
          <w:p>
            <w:pPr>
              <w:pStyle w:val="Celda"/>
            </w:pPr>
            <w:r>
              <w:rPr>
                <w:b/>
              </w:rPr>
              <w:t xml:space="preserve">Desviación y explicación</w:t>
            </w:r>
          </w:p>
        </w:tc>
      </w:tr>
      <w:tr>
        <w:tc>
          <w:tcPr>
            <w:tcW w:w="1606" w:type="dxa"/>
          </w:tcPr>
          <w:p>
            <w:pPr>
              <w:pStyle w:val="Celda"/>
            </w:pPr>
            <w:r>
              <w:t xml:space="preserve">Licencias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Consumo de modelos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Cómputo e infraestructura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Datos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Personas de construcción</w:t>
            </w: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Personas de operación</w:t>
            </w:r>
          </w:p>
        </w:tc>
        <w:tc>
          <w:tcPr>
            <w:tcW w:w="1606" w:type="dxa"/>
          </w:tcPr>
          <w:p>
            <w:pPr>
              <w:pStyle w:val="Celda"/>
            </w:pPr>
            <w:r>
              <w:t xml:space="preserve">—</w:t>
            </w:r>
          </w:p>
        </w:tc>
        <w:tc>
          <w:tcPr>
            <w:tcW w:w="1606" w:type="dxa"/>
          </w:tcPr>
          <w:p>
            <w:pPr>
              <w:pStyle w:val="Celda"/>
            </w:pPr>
            <w:r>
              <w:t xml:space="preserve">—</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Proveedores y servicios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Control y cumplimiento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Adopción y formación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Si el coste recurrente actualizado cambia el valor neto anual esperado, se recalcula en P22 y se señala al decisor del </w:t>
      </w:r>
      <w:r>
        <w:rPr>
          <w:i/>
        </w:rPr>
        <w:t xml:space="preserve">gate</w:t>
      </w:r>
      <w:r>
        <w:t xml:space="preserve">.</w:t>
      </w:r>
    </w:p>
    <w:p>
      <w:pPr>
        <w:pStyle w:val="Separador"/>
      </w:pPr>
    </w:p>
    <w:p>
      <w:pPr>
        <w:pStyle w:val="Heading1"/>
      </w:pPr>
      <w:r>
        <w:t xml:space="preserve">8. Plazos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Hito</w:t>
            </w:r>
          </w:p>
        </w:tc>
        <w:tc>
          <w:tcPr>
            <w:tcW w:w="1928" w:type="dxa"/>
            <w:shd w:val="clear" w:color="auto" w:fill="F2DFCE"/>
          </w:tcPr>
          <w:p>
            <w:pPr>
              <w:pStyle w:val="Celda"/>
            </w:pPr>
            <w:r>
              <w:rPr>
                <w:b/>
              </w:rPr>
              <w:t xml:space="preserve">Fecha prevista</w:t>
            </w:r>
          </w:p>
        </w:tc>
        <w:tc>
          <w:tcPr>
            <w:tcW w:w="1928" w:type="dxa"/>
            <w:shd w:val="clear" w:color="auto" w:fill="F2DFCE"/>
          </w:tcPr>
          <w:p>
            <w:pPr>
              <w:pStyle w:val="Celda"/>
            </w:pPr>
            <w:r>
              <w:rPr>
                <w:b/>
              </w:rPr>
              <w:t xml:space="preserve">Fecha real</w:t>
            </w:r>
          </w:p>
        </w:tc>
        <w:tc>
          <w:tcPr>
            <w:tcW w:w="1928" w:type="dxa"/>
            <w:shd w:val="clear" w:color="auto" w:fill="F2DFCE"/>
          </w:tcPr>
          <w:p>
            <w:pPr>
              <w:pStyle w:val="Celda"/>
            </w:pPr>
            <w:r>
              <w:rPr>
                <w:b/>
              </w:rPr>
              <w:t xml:space="preserve">Días de desviación</w:t>
            </w:r>
          </w:p>
        </w:tc>
        <w:tc>
          <w:tcPr>
            <w:tcW w:w="1928" w:type="dxa"/>
            <w:shd w:val="clear" w:color="auto" w:fill="F2DFCE"/>
          </w:tcPr>
          <w:p>
            <w:pPr>
              <w:pStyle w:val="Celda"/>
            </w:pPr>
            <w:r>
              <w:rPr>
                <w:b/>
              </w:rPr>
              <w:t xml:space="preserve">Causa</w:t>
            </w:r>
          </w:p>
        </w:tc>
      </w:tr>
      <w:tr>
        <w:tc>
          <w:tcPr>
            <w:tcW w:w="1928" w:type="dxa"/>
          </w:tcPr>
          <w:p>
            <w:pPr>
              <w:pStyle w:val="Celda"/>
            </w:pPr>
            <w:r>
              <w:t xml:space="preserve">Aprobación de G4</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Inicio de la construcción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Fin de la construcción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Inicio del piloto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Solicitud de G5 prevista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Si la fase 5 supera el plazo de referencia aprobado en C2 (03 §3.6), indique los periodos en espera y su motivo.</w:t>
      </w:r>
    </w:p>
    <w:p>
      <w:pPr>
        <w:pStyle w:val="Separador"/>
      </w:pPr>
    </w:p>
    <w:p>
      <w:pPr>
        <w:pStyle w:val="Heading1"/>
      </w:pPr>
      <w:r>
        <w:t xml:space="preserve">9. Limitaciones conocidas, deuda técnica y riesgos abiertos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Descripción</w:t>
            </w:r>
          </w:p>
        </w:tc>
        <w:tc>
          <w:tcPr>
            <w:tcW w:w="1377" w:type="dxa"/>
            <w:shd w:val="clear" w:color="auto" w:fill="F2DFCE"/>
          </w:tcPr>
          <w:p>
            <w:pPr>
              <w:pStyle w:val="Celda"/>
            </w:pPr>
            <w:r>
              <w:rPr>
                <w:b/>
              </w:rPr>
              <w:t xml:space="preserve">Tipo (Limitación · Deuda técnica · Riesgo abierto)</w:t>
            </w:r>
          </w:p>
        </w:tc>
        <w:tc>
          <w:tcPr>
            <w:tcW w:w="1377" w:type="dxa"/>
            <w:shd w:val="clear" w:color="auto" w:fill="F2DFCE"/>
          </w:tcPr>
          <w:p>
            <w:pPr>
              <w:pStyle w:val="Celda"/>
            </w:pPr>
            <w:r>
              <w:rPr>
                <w:b/>
              </w:rPr>
              <w:t xml:space="preserve">Efecto en operación</w:t>
            </w:r>
          </w:p>
        </w:tc>
        <w:tc>
          <w:tcPr>
            <w:tcW w:w="1377" w:type="dxa"/>
            <w:shd w:val="clear" w:color="auto" w:fill="F2DFCE"/>
          </w:tcPr>
          <w:p>
            <w:pPr>
              <w:pStyle w:val="Celda"/>
            </w:pPr>
            <w:r>
              <w:rPr>
                <w:b/>
              </w:rPr>
              <w:t xml:space="preserve">Tratamiento</w:t>
            </w:r>
          </w:p>
        </w:tc>
        <w:tc>
          <w:tcPr>
            <w:tcW w:w="1377" w:type="dxa"/>
            <w:shd w:val="clear" w:color="auto" w:fill="F2DFCE"/>
          </w:tcPr>
          <w:p>
            <w:pPr>
              <w:pStyle w:val="Celda"/>
            </w:pPr>
            <w:r>
              <w:rPr>
                <w:b/>
              </w:rPr>
              <w:t xml:space="preserve">Responsable</w:t>
            </w:r>
          </w:p>
        </w:tc>
        <w:tc>
          <w:tcPr>
            <w:tcW w:w="1377" w:type="dxa"/>
            <w:shd w:val="clear" w:color="auto" w:fill="F2DFCE"/>
          </w:tcPr>
          <w:p>
            <w:pPr>
              <w:pStyle w:val="Celda"/>
            </w:pPr>
            <w:r>
              <w:rPr>
                <w:b/>
              </w:rPr>
              <w:t xml:space="preserve">Fecha</w:t>
            </w:r>
          </w:p>
        </w:tc>
      </w:tr>
      <w:tr>
        <w:tc>
          <w:tcPr>
            <w:tcW w:w="1377" w:type="dxa"/>
          </w:tcPr>
          <w:p>
            <w:pPr>
              <w:pStyle w:val="Celda"/>
            </w:pPr>
            <w:r>
              <w:t xml:space="preserve">1 </w:t>
            </w:r>
            <w:r>
              <w:rPr>
                <w:i/>
              </w:rPr>
              <w:t xml:space="preserve">(ejemplo ilustrativo)</w:t>
            </w:r>
          </w:p>
        </w:tc>
        <w:tc>
          <w:tcPr>
            <w:tcW w:w="1377" w:type="dxa"/>
          </w:tcPr>
          <w:p>
            <w:pPr>
              <w:pStyle w:val="Celda"/>
            </w:pPr>
            <w:r>
              <w:t xml:space="preserve">Los reentrenamientos requieren intervención manual</w:t>
            </w:r>
          </w:p>
        </w:tc>
        <w:tc>
          <w:tcPr>
            <w:tcW w:w="1377" w:type="dxa"/>
          </w:tcPr>
          <w:p>
            <w:pPr>
              <w:pStyle w:val="Celda"/>
            </w:pPr>
            <w:r>
              <w:t xml:space="preserve">Deuda técnica</w:t>
            </w:r>
          </w:p>
        </w:tc>
        <w:tc>
          <w:tcPr>
            <w:tcW w:w="1377" w:type="dxa"/>
          </w:tcPr>
          <w:p>
            <w:pPr>
              <w:pStyle w:val="Celda"/>
            </w:pPr>
            <w:r>
              <w:t xml:space="preserve">Mayor dependencia de dos personas</w:t>
            </w:r>
          </w:p>
        </w:tc>
        <w:tc>
          <w:tcPr>
            <w:tcW w:w="1377" w:type="dxa"/>
          </w:tcPr>
          <w:p>
            <w:pPr>
              <w:pStyle w:val="Celda"/>
            </w:pPr>
            <w:r>
              <w:t xml:space="preserve">Automatizar antes del segundo R6</w:t>
            </w:r>
          </w:p>
        </w:tc>
        <w:tc>
          <w:tcPr>
            <w:tcW w:w="1377" w:type="dxa"/>
          </w:tcPr>
          <w:p>
            <w:pPr>
              <w:pStyle w:val="Celda"/>
            </w:pPr>
            <w:r>
              <w:t xml:space="preserve">Responsable técnico de IA</w:t>
            </w: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Traspaso a la operación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c>
          <w:tcPr>
            <w:tcW w:w="3213" w:type="dxa"/>
            <w:shd w:val="clear" w:color="auto" w:fill="F2DFCE"/>
          </w:tcPr>
          <w:p>
            <w:pPr>
              <w:pStyle w:val="Celda"/>
            </w:pPr>
            <w:r>
              <w:rPr>
                <w:b/>
              </w:rPr>
              <w:t xml:space="preserve">Observaciones</w:t>
            </w:r>
          </w:p>
        </w:tc>
      </w:tr>
      <w:tr>
        <w:tc>
          <w:tcPr>
            <w:tcW w:w="3213" w:type="dxa"/>
          </w:tcPr>
          <w:p>
            <w:pPr>
              <w:pStyle w:val="Celda"/>
            </w:pPr>
            <w:r>
              <w:t xml:space="preserve">El responsable de operación de IA ha recibido y revisado la documentación.</w:t>
            </w:r>
          </w:p>
        </w:tc>
        <w:tc>
          <w:tcPr>
            <w:tcW w:w="3213" w:type="dxa"/>
          </w:tcPr>
          <w:p>
            <w:pPr>
              <w:pStyle w:val="Celda"/>
            </w:pPr>
          </w:p>
        </w:tc>
        <w:tc>
          <w:tcPr>
            <w:tcW w:w="3213" w:type="dxa"/>
          </w:tcPr>
          <w:p>
            <w:pPr>
              <w:pStyle w:val="Celda"/>
            </w:pPr>
          </w:p>
        </w:tc>
      </w:tr>
      <w:tr>
        <w:tc>
          <w:tcPr>
            <w:tcW w:w="3213" w:type="dxa"/>
          </w:tcPr>
          <w:p>
            <w:pPr>
              <w:pStyle w:val="Celda"/>
            </w:pPr>
            <w:r>
              <w:t xml:space="preserve">Accesos, credenciales y permisos de operación configurados y revisados.</w:t>
            </w:r>
          </w:p>
        </w:tc>
        <w:tc>
          <w:tcPr>
            <w:tcW w:w="3213" w:type="dxa"/>
          </w:tcPr>
          <w:p>
            <w:pPr>
              <w:pStyle w:val="Celda"/>
            </w:pPr>
          </w:p>
        </w:tc>
        <w:tc>
          <w:tcPr>
            <w:tcW w:w="3213" w:type="dxa"/>
          </w:tcPr>
          <w:p>
            <w:pPr>
              <w:pStyle w:val="Celda"/>
            </w:pPr>
          </w:p>
        </w:tc>
      </w:tr>
      <w:tr>
        <w:tc>
          <w:tcPr>
            <w:tcW w:w="3213" w:type="dxa"/>
          </w:tcPr>
          <w:p>
            <w:pPr>
              <w:pStyle w:val="Celda"/>
            </w:pPr>
            <w:r>
              <w:t xml:space="preserve">Alertas conectadas a los destinatarios de guardia.</w:t>
            </w:r>
          </w:p>
        </w:tc>
        <w:tc>
          <w:tcPr>
            <w:tcW w:w="3213" w:type="dxa"/>
          </w:tcPr>
          <w:p>
            <w:pPr>
              <w:pStyle w:val="Celda"/>
            </w:pPr>
          </w:p>
        </w:tc>
        <w:tc>
          <w:tcPr>
            <w:tcW w:w="3213" w:type="dxa"/>
          </w:tcPr>
          <w:p>
            <w:pPr>
              <w:pStyle w:val="Celda"/>
            </w:pPr>
          </w:p>
        </w:tc>
      </w:tr>
      <w:tr>
        <w:tc>
          <w:tcPr>
            <w:tcW w:w="3213" w:type="dxa"/>
          </w:tcPr>
          <w:p>
            <w:pPr>
              <w:pStyle w:val="Celda"/>
            </w:pPr>
            <w:r>
              <w:t xml:space="preserve">Personal de operación formado en reversión e interruptor de parada.</w:t>
            </w:r>
          </w:p>
        </w:tc>
        <w:tc>
          <w:tcPr>
            <w:tcW w:w="3213" w:type="dxa"/>
          </w:tcPr>
          <w:p>
            <w:pPr>
              <w:pStyle w:val="Celda"/>
            </w:pPr>
          </w:p>
        </w:tc>
        <w:tc>
          <w:tcPr>
            <w:tcW w:w="3213" w:type="dxa"/>
          </w:tcPr>
          <w:p>
            <w:pPr>
              <w:pStyle w:val="Celda"/>
            </w:pPr>
          </w:p>
        </w:tc>
      </w:tr>
      <w:tr>
        <w:tc>
          <w:tcPr>
            <w:tcW w:w="3213" w:type="dxa"/>
          </w:tcPr>
          <w:p>
            <w:pPr>
              <w:pStyle w:val="Celda"/>
            </w:pPr>
            <w:r>
              <w:t xml:space="preserve">Acuerdos de soporte con proveedores vigentes </w:t>
            </w:r>
            <w:r>
              <w:rPr>
                <w:b/>
              </w:rPr>
              <w:t xml:space="preserve">(Enterprise)</w:t>
            </w:r>
          </w:p>
        </w:tc>
        <w:tc>
          <w:tcPr>
            <w:tcW w:w="3213" w:type="dxa"/>
          </w:tcPr>
          <w:p>
            <w:pPr>
              <w:pStyle w:val="Celda"/>
            </w:pPr>
          </w:p>
        </w:tc>
        <w:tc>
          <w:tcPr>
            <w:tcW w:w="3213" w:type="dxa"/>
          </w:tcPr>
          <w:p>
            <w:pPr>
              <w:pStyle w:val="Celda"/>
            </w:pPr>
          </w:p>
        </w:tc>
      </w:tr>
      <w:tr>
        <w:tc>
          <w:tcPr>
            <w:tcW w:w="3213" w:type="dxa"/>
          </w:tcPr>
          <w:p>
            <w:pPr>
              <w:pStyle w:val="Celda"/>
            </w:pPr>
            <w:r>
              <w:t xml:space="preserve">Inventario de sistemas de IA actualizado con la versión entregada.</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11. Criterios de calidad</w:t>
      </w:r>
    </w:p>
    <w:p>
      <w:r>
        <w:t xml:space="preserve">Criterios formales de G5 en el documento 21; lista LV-G5 en el documento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Todo elemento del diseño tiene estado de entrega y los cambios están justificados y aprobados.</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Los cambios que afectan a riesgos, supervisión o seguridad han actualizado sus evidencias.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Todas las condiciones de </w:t>
            </w:r>
            <w:r>
              <w:rPr>
                <w:i/>
              </w:rPr>
              <w:t xml:space="preserve">gates</w:t>
            </w:r>
            <w:r>
              <w:t xml:space="preserve"> anteriores están cumplidas o se ha registrado su vencimiento.</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costes reales están por categoría, separando inversión y coste recurrente.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limitaciones y riesgos abiertos tienen tratamiento y responsable.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traspaso a operación está completo o sus pendientes no son críticos.</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Coautor</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Recepción</w:t>
            </w:r>
          </w:p>
        </w:tc>
        <w:tc>
          <w:tcPr>
            <w:tcW w:w="1928" w:type="dxa"/>
          </w:tcPr>
          <w:p>
            <w:pPr>
              <w:pStyle w:val="Celda"/>
            </w:pPr>
            <w:r>
              <w:t xml:space="preserve">Responsable de operación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Responsable de riesgos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Decisor del </w:t>
            </w:r>
            <w:r>
              <w:rPr>
                <w:i/>
              </w:rPr>
              <w:t xml:space="preserve">gate</w:t>
            </w:r>
          </w:p>
        </w:tc>
        <w:tc>
          <w:tcPr>
            <w:tcW w:w="1928" w:type="dxa"/>
          </w:tcPr>
          <w:p>
            <w:pPr>
              <w:pStyle w:val="Celda"/>
            </w:pPr>
            <w:r>
              <w:t xml:space="preserve">Según 01 §7.5 (registrado en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verificador no forma parte del equipo que construye.</w:t>
      </w:r>
    </w:p>
    <w:p>
      <w:pPr>
        <w:pStyle w:val="Separador"/>
      </w:pPr>
    </w:p>
    <w:p>
      <w:pPr>
        <w:pStyle w:val="Heading1"/>
      </w:pPr>
      <w:r>
        <w:t xml:space="preserve">13.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P21 · Informe de entrega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P21 · Informe de entrega</dc:title>
  <dc:creator>Fernando García Varela</dc:creator>
  <dc:language>es</dc:language>
  <dc:description>sha256:b82729c1efdbc139488f8914707ab37684ef91117460904ede8ea5e855c117ab</dc:description>
  <cp:keywords>SEVEN-G</cp:keywords>
</cp:coreProperties>
</file>