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Linaje de datos y modelos</w:t>
      </w:r>
    </w:p>
    <w:p>
      <w:r>
        <w:rPr>
          <w:b/>
        </w:rPr>
        <w:t xml:space="preserve">Registra de dónde proceden los datos, cómo se transforman y qué modelos y versiones intervienen, para poder explicar, reproducir y revertir cualquier resultado del sistema.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P16 · Linaje de datos y modelos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la solución), antes de solicitar G4. Se actualiza en la fase 5 con las versiones realmente desplegadas y en la fase 6 con cada cambio de datos, modelo, instrucciones o base de conocimiento.</w:t>
            </w:r>
          </w:p>
        </w:tc>
      </w:tr>
      <w:tr>
        <w:tc>
          <w:tcPr>
            <w:tcW w:w="4819" w:type="dxa"/>
          </w:tcPr>
          <w:p>
            <w:pPr>
              <w:pStyle w:val="Celda"/>
            </w:pPr>
            <w:r>
              <w:rPr>
                <w:b/>
              </w:rPr>
              <w:t xml:space="preserve">Quién la rellena</w:t>
            </w:r>
          </w:p>
        </w:tc>
        <w:tc>
          <w:tcPr>
            <w:tcW w:w="4819" w:type="dxa"/>
          </w:tcPr>
          <w:p>
            <w:pPr>
              <w:pStyle w:val="Celda"/>
            </w:pPr>
            <w:r>
              <w:t xml:space="preserve">Responsable técnico de IA, con los responsables de los datos de origen.</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(01 §7.5). El responsable de riesgos revisa la base legal y las restricciones de uso.</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Se comprueba de nuevo en G5 (versiones desplegadas) y en cada revisión de continuidad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el sistema está clasificado como de alto riesgo, se completan todos los campos con independencia de la intensidad.</w:t>
            </w:r>
          </w:p>
        </w:tc>
      </w:tr>
      <w:tr>
        <w:tc>
          <w:tcPr>
            <w:tcW w:w="4819" w:type="dxa"/>
          </w:tcPr>
          <w:p>
            <w:pPr>
              <w:pStyle w:val="Celda"/>
            </w:pPr>
            <w:r>
              <w:rPr>
                <w:b/>
              </w:rPr>
              <w:t xml:space="preserve">Relación</w:t>
            </w:r>
          </w:p>
        </w:tc>
        <w:tc>
          <w:tcPr>
            <w:tcW w:w="4819" w:type="dxa"/>
          </w:tcPr>
          <w:p>
            <w:pPr>
              <w:pStyle w:val="Celda"/>
            </w:pPr>
            <w:r>
              <w:t xml:space="preserve">P05 Ficha de inventario · P11 Clasificación regulatoria · P15 Registro de arquitectura · P19 Plan de reversión · P27 Registro de incidentes y cambios · P30 Decisión de escalado o retirada · P64 Ficha de conjunto de datos e inventario de fuentes de conocimiento · documentos 51 y 53.</w:t>
            </w:r>
          </w:p>
        </w:tc>
      </w:tr>
    </w:tbl>
    <w:p>
      <w:pPr>
        <w:pStyle w:val="Espacio"/>
      </w:pPr>
    </w:p>
    <w:p>
      <w:r>
        <w:t xml:space="preserve">Reglas de cumplimentación:</w:t>
      </w:r>
    </w:p>
    <w:p>
      <w:pPr>
        <w:pStyle w:val="Lista"/>
      </w:pPr>
      <w:r>
        <w:t xml:space="preserve">• Cada fuente, conjunto de datos, modelo y componente tiene </w:t>
      </w:r>
      <w:r>
        <w:rPr>
          <w:b/>
        </w:rPr>
        <w:t xml:space="preserve">identificador, versión y responsable</w:t>
      </w:r>
      <w:r>
        <w:t xml:space="preserve">. No se admiten descripciones genéricas como "datos de clientes": se identifica la tabla, el fichero, la API o el servicio.</w:t>
      </w:r>
    </w:p>
    <w:p>
      <w:pPr>
        <w:pStyle w:val="Lista"/>
      </w:pPr>
      <w:r>
        <w:t xml:space="preserve">• Los modelos de terceros, incluidos los de propósito general consumidos por API, se registran con proveedor, nombre comercial y versión exacta.</w:t>
      </w:r>
    </w:p>
    <w:p>
      <w:pPr>
        <w:pStyle w:val="Lista"/>
      </w:pPr>
      <w:r>
        <w:t xml:space="preserve">• En IA generativa y agentes, las </w:t>
      </w:r>
      <w:r>
        <w:rPr>
          <w:b/>
        </w:rPr>
        <w:t xml:space="preserve">instrucciones del sistema, las bases de conocimiento y las herramientas conectadas</w:t>
      </w:r>
      <w:r>
        <w:t xml:space="preserve"> son componentes versionados, igual que un modelo.</w:t>
      </w:r>
    </w:p>
    <w:p>
      <w:pPr>
        <w:pStyle w:val="Lista"/>
      </w:pPr>
      <w:r>
        <w:t xml:space="preserve">• Todo cambio de versión en producción se registra como cambio en P27 y actualiza esta plantilla.</w:t>
      </w:r>
    </w:p>
    <w:p>
      <w:pPr>
        <w:pStyle w:val="Lista"/>
      </w:pPr>
      <w:r>
        <w:t xml:space="preserve">• "Sin dato" no es cero: si un campo no se conoce, se indica </w:t>
      </w:r>
      <w:r>
        <w:rPr>
          <w:i/>
        </w:rPr>
        <w:t xml:space="preserve">Sin dato</w:t>
      </w:r>
      <w:r>
        <w:t xml:space="preserve"> y el motivo.</w:t>
      </w:r>
    </w:p>
    <w:p>
      <w:r>
        <w:t xml:space="preserve">Esta plantilla no constituye asesoramiento jurídico. La base legal del tratamiento debe validarla protección de datos.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del registro de iniciativas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Nombre corto y comprensible.</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de sistemas de IA (T02, P05).</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(P11).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0.1, 0.2…; 1.0 al aprobarse. Cada cambio en producción incrementa la versión.</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Fuentes de datos</w:t>
      </w:r>
    </w:p>
    <w:p>
      <w:r>
        <w:t xml:space="preserve">Una fila por fuente. </w:t>
      </w:r>
      <w:r>
        <w:rPr>
          <w:b/>
        </w:rPr>
        <w:t xml:space="preserve">Tipo de datos:</w:t>
      </w:r>
      <w:r>
        <w:t xml:space="preserve"> Personales · Categorías especiales · Confidencial · Interno · Público · Sintético. </w:t>
      </w:r>
      <w:r>
        <w:rPr>
          <w:b/>
        </w:rPr>
        <w:t xml:space="preserve">Base legal (RGPD art. 6):</w:t>
      </w:r>
      <w:r>
        <w:t xml:space="preserve"> Consentimiento · Contrato · Obligación legal · Intereses vitales · Interés público · Interés legítimo · No aplica (sin datos personales).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Fuente y sistema de origen</w:t>
            </w:r>
          </w:p>
        </w:tc>
        <w:tc>
          <w:tcPr>
            <w:tcW w:w="1205" w:type="dxa"/>
            <w:shd w:val="clear" w:color="auto" w:fill="F2DFCE"/>
          </w:tcPr>
          <w:p>
            <w:pPr>
              <w:pStyle w:val="Celda"/>
            </w:pPr>
            <w:r>
              <w:rPr>
                <w:b/>
              </w:rPr>
              <w:t xml:space="preserve">Responsable del dato</w:t>
            </w:r>
          </w:p>
        </w:tc>
        <w:tc>
          <w:tcPr>
            <w:tcW w:w="1205" w:type="dxa"/>
            <w:shd w:val="clear" w:color="auto" w:fill="F2DFCE"/>
          </w:tcPr>
          <w:p>
            <w:pPr>
              <w:pStyle w:val="Celda"/>
            </w:pPr>
            <w:r>
              <w:rPr>
                <w:b/>
              </w:rPr>
              <w:t xml:space="preserve">Tipo de datos</w:t>
            </w:r>
          </w:p>
        </w:tc>
        <w:tc>
          <w:tcPr>
            <w:tcW w:w="1205" w:type="dxa"/>
            <w:shd w:val="clear" w:color="auto" w:fill="F2DFCE"/>
          </w:tcPr>
          <w:p>
            <w:pPr>
              <w:pStyle w:val="Celda"/>
            </w:pPr>
            <w:r>
              <w:rPr>
                <w:b/>
              </w:rPr>
              <w:t xml:space="preserve">Base legal</w:t>
            </w:r>
          </w:p>
        </w:tc>
        <w:tc>
          <w:tcPr>
            <w:tcW w:w="1205" w:type="dxa"/>
            <w:shd w:val="clear" w:color="auto" w:fill="F2DFCE"/>
          </w:tcPr>
          <w:p>
            <w:pPr>
              <w:pStyle w:val="Celda"/>
            </w:pPr>
            <w:r>
              <w:rPr>
                <w:b/>
              </w:rPr>
              <w:t xml:space="preserve">Restricciones de uso</w:t>
            </w:r>
          </w:p>
        </w:tc>
        <w:tc>
          <w:tcPr>
            <w:tcW w:w="1205" w:type="dxa"/>
            <w:shd w:val="clear" w:color="auto" w:fill="F2DFCE"/>
          </w:tcPr>
          <w:p>
            <w:pPr>
              <w:pStyle w:val="Celda"/>
            </w:pPr>
            <w:r>
              <w:rPr>
                <w:b/>
              </w:rPr>
              <w:t xml:space="preserve">Frecuencia de actualización</w:t>
            </w:r>
          </w:p>
        </w:tc>
        <w:tc>
          <w:tcPr>
            <w:tcW w:w="1205" w:type="dxa"/>
            <w:shd w:val="clear" w:color="auto" w:fill="F2DFCE"/>
          </w:tcPr>
          <w:p>
            <w:pPr>
              <w:pStyle w:val="Celda"/>
            </w:pPr>
            <w:r>
              <w:rPr>
                <w:b/>
              </w:rPr>
              <w:t xml:space="preserve">Calidad verificada (Sí · No · Parcial)</w:t>
            </w:r>
          </w:p>
        </w:tc>
      </w:tr>
      <w:tr>
        <w:tc>
          <w:tcPr>
            <w:tcW w:w="1205" w:type="dxa"/>
          </w:tcPr>
          <w:p>
            <w:pPr>
              <w:pStyle w:val="Celda"/>
            </w:pPr>
            <w:r>
              <w:t xml:space="preserve">F-01 </w:t>
            </w:r>
            <w:r>
              <w:rPr>
                <w:i/>
              </w:rPr>
              <w:t xml:space="preserve">(ejemplo ilustrativo)</w:t>
            </w:r>
          </w:p>
        </w:tc>
        <w:tc>
          <w:tcPr>
            <w:tcW w:w="1205" w:type="dxa"/>
          </w:tcPr>
          <w:p>
            <w:pPr>
              <w:pStyle w:val="Celda"/>
            </w:pPr>
            <w:r>
              <w:t xml:space="preserve">Histórico de incidencias de mantenimiento, tabla de órdenes de trabajo del sistema de gestión de activos</w:t>
            </w:r>
          </w:p>
        </w:tc>
        <w:tc>
          <w:tcPr>
            <w:tcW w:w="1205" w:type="dxa"/>
          </w:tcPr>
          <w:p>
            <w:pPr>
              <w:pStyle w:val="Celda"/>
            </w:pPr>
            <w:r>
              <w:t xml:space="preserve">Jefatura de mantenimiento</w:t>
            </w:r>
          </w:p>
        </w:tc>
        <w:tc>
          <w:tcPr>
            <w:tcW w:w="1205" w:type="dxa"/>
          </w:tcPr>
          <w:p>
            <w:pPr>
              <w:pStyle w:val="Celda"/>
            </w:pPr>
            <w:r>
              <w:t xml:space="preserve">Interno</w:t>
            </w:r>
          </w:p>
        </w:tc>
        <w:tc>
          <w:tcPr>
            <w:tcW w:w="1205" w:type="dxa"/>
          </w:tcPr>
          <w:p>
            <w:pPr>
              <w:pStyle w:val="Celda"/>
            </w:pPr>
            <w:r>
              <w:t xml:space="preserve">No aplica</w:t>
            </w:r>
          </w:p>
        </w:tc>
        <w:tc>
          <w:tcPr>
            <w:tcW w:w="1205" w:type="dxa"/>
          </w:tcPr>
          <w:p>
            <w:pPr>
              <w:pStyle w:val="Celda"/>
            </w:pPr>
            <w:r>
              <w:t xml:space="preserve">Solo uso interno; no se comparte con proveedores</w:t>
            </w:r>
          </w:p>
        </w:tc>
        <w:tc>
          <w:tcPr>
            <w:tcW w:w="1205" w:type="dxa"/>
          </w:tcPr>
          <w:p>
            <w:pPr>
              <w:pStyle w:val="Celda"/>
            </w:pPr>
            <w:r>
              <w:t xml:space="preserve">Diaria</w:t>
            </w:r>
          </w:p>
        </w:tc>
        <w:tc>
          <w:tcPr>
            <w:tcW w:w="1205" w:type="dxa"/>
          </w:tcPr>
          <w:p>
            <w:pPr>
              <w:pStyle w:val="Celda"/>
            </w:pPr>
            <w:r>
              <w:t xml:space="preserve">Parcial: 4 % de registros sin código de avería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 complementario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Datos de terceros o adquiridos</w:t>
            </w:r>
          </w:p>
        </w:tc>
        <w:tc>
          <w:tcPr>
            <w:tcW w:w="3213" w:type="dxa"/>
          </w:tcPr>
          <w:p>
            <w:pPr>
              <w:pStyle w:val="Celda"/>
            </w:pPr>
          </w:p>
        </w:tc>
        <w:tc>
          <w:tcPr>
            <w:tcW w:w="3213" w:type="dxa"/>
          </w:tcPr>
          <w:p>
            <w:pPr>
              <w:pStyle w:val="Celda"/>
            </w:pPr>
            <w:r>
              <w:t xml:space="preserve">Proveedor, licencia y condiciones de uso para IA.</w:t>
            </w:r>
          </w:p>
        </w:tc>
      </w:tr>
      <w:tr>
        <w:tc>
          <w:tcPr>
            <w:tcW w:w="3213" w:type="dxa"/>
          </w:tcPr>
          <w:p>
            <w:pPr>
              <w:pStyle w:val="Celda"/>
            </w:pPr>
            <w:r>
              <w:t xml:space="preserve">Transferencias fuera del Espacio Económico Europeo </w:t>
            </w:r>
            <w:r>
              <w:rPr>
                <w:b/>
              </w:rPr>
              <w:t xml:space="preserve">(Enterprise)</w:t>
            </w:r>
          </w:p>
        </w:tc>
        <w:tc>
          <w:tcPr>
            <w:tcW w:w="3213" w:type="dxa"/>
          </w:tcPr>
          <w:p>
            <w:pPr>
              <w:pStyle w:val="Celda"/>
            </w:pPr>
          </w:p>
        </w:tc>
        <w:tc>
          <w:tcPr>
            <w:tcW w:w="3213" w:type="dxa"/>
          </w:tcPr>
          <w:p>
            <w:pPr>
              <w:pStyle w:val="Celda"/>
            </w:pPr>
            <w:r>
              <w:t xml:space="preserve">Destino, garantía aplicada y referencia a la evaluación de proveedor (P14).</w:t>
            </w:r>
          </w:p>
        </w:tc>
      </w:tr>
      <w:tr>
        <w:tc>
          <w:tcPr>
            <w:tcW w:w="3213" w:type="dxa"/>
          </w:tcPr>
          <w:p>
            <w:pPr>
              <w:pStyle w:val="Celda"/>
            </w:pPr>
            <w:r>
              <w:t xml:space="preserve">Evaluación de impacto en protección de datos</w:t>
            </w:r>
          </w:p>
        </w:tc>
        <w:tc>
          <w:tcPr>
            <w:tcW w:w="3213" w:type="dxa"/>
          </w:tcPr>
          <w:p>
            <w:pPr>
              <w:pStyle w:val="Celda"/>
            </w:pPr>
          </w:p>
        </w:tc>
        <w:tc>
          <w:tcPr>
            <w:tcW w:w="3213" w:type="dxa"/>
          </w:tcPr>
          <w:p>
            <w:pPr>
              <w:pStyle w:val="Celda"/>
            </w:pPr>
            <w:r>
              <w:t xml:space="preserve">Realizada · No requerida (con justificación) · Pendiente. Enlace a P11.</w:t>
            </w:r>
          </w:p>
        </w:tc>
      </w:tr>
    </w:tbl>
    <w:p>
      <w:pPr>
        <w:pStyle w:val="Espacio"/>
      </w:pPr>
    </w:p>
    <w:p>
      <w:pPr>
        <w:pStyle w:val="Separador"/>
      </w:pPr>
    </w:p>
    <w:p>
      <w:pPr>
        <w:pStyle w:val="Heading1"/>
      </w:pPr>
      <w:r>
        <w:t xml:space="preserve">4. Conjuntos de datos y transformaciones</w:t>
      </w:r>
    </w:p>
    <w:p>
      <w:r>
        <w:rPr>
          <w:b/>
        </w:rPr>
        <w:t xml:space="preserve">Uso:</w:t>
      </w:r>
      <w:r>
        <w:t xml:space="preserve"> Entrenamiento · Ajuste · Validación · Prueba · Base de conocimiento (recuperación) · Inferencia · Monitorización.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ID conjunto</w:t>
            </w:r>
          </w:p>
        </w:tc>
        <w:tc>
          <w:tcPr>
            <w:tcW w:w="1071" w:type="dxa"/>
            <w:shd w:val="clear" w:color="auto" w:fill="F2DFCE"/>
          </w:tcPr>
          <w:p>
            <w:pPr>
              <w:pStyle w:val="Celda"/>
            </w:pPr>
            <w:r>
              <w:rPr>
                <w:b/>
              </w:rPr>
              <w:t xml:space="preserve">Uso</w:t>
            </w:r>
          </w:p>
        </w:tc>
        <w:tc>
          <w:tcPr>
            <w:tcW w:w="1071" w:type="dxa"/>
            <w:shd w:val="clear" w:color="auto" w:fill="F2DFCE"/>
          </w:tcPr>
          <w:p>
            <w:pPr>
              <w:pStyle w:val="Celda"/>
            </w:pPr>
            <w:r>
              <w:rPr>
                <w:b/>
              </w:rPr>
              <w:t xml:space="preserve">Fuentes (ID)</w:t>
            </w:r>
          </w:p>
        </w:tc>
        <w:tc>
          <w:tcPr>
            <w:tcW w:w="1071" w:type="dxa"/>
            <w:shd w:val="clear" w:color="auto" w:fill="F2DFCE"/>
          </w:tcPr>
          <w:p>
            <w:pPr>
              <w:pStyle w:val="Celda"/>
            </w:pPr>
            <w:r>
              <w:rPr>
                <w:b/>
              </w:rPr>
              <w:t xml:space="preserve">Transformaciones principales</w:t>
            </w:r>
          </w:p>
        </w:tc>
        <w:tc>
          <w:tcPr>
            <w:tcW w:w="1071" w:type="dxa"/>
            <w:shd w:val="clear" w:color="auto" w:fill="F2DFCE"/>
          </w:tcPr>
          <w:p>
            <w:pPr>
              <w:pStyle w:val="Celda"/>
            </w:pPr>
            <w:r>
              <w:rPr>
                <w:b/>
              </w:rPr>
              <w:t xml:space="preserve">Versión o huella</w:t>
            </w:r>
          </w:p>
        </w:tc>
        <w:tc>
          <w:tcPr>
            <w:tcW w:w="1071" w:type="dxa"/>
            <w:shd w:val="clear" w:color="auto" w:fill="F2DFCE"/>
          </w:tcPr>
          <w:p>
            <w:pPr>
              <w:pStyle w:val="Celda"/>
            </w:pPr>
            <w:r>
              <w:rPr>
                <w:b/>
              </w:rPr>
              <w:t xml:space="preserve">Periodo cubierto</w:t>
            </w:r>
          </w:p>
        </w:tc>
        <w:tc>
          <w:tcPr>
            <w:tcW w:w="1071" w:type="dxa"/>
            <w:shd w:val="clear" w:color="auto" w:fill="F2DFCE"/>
          </w:tcPr>
          <w:p>
            <w:pPr>
              <w:pStyle w:val="Celda"/>
            </w:pPr>
            <w:r>
              <w:rPr>
                <w:b/>
              </w:rPr>
              <w:t xml:space="preserve">Volumen</w:t>
            </w:r>
          </w:p>
        </w:tc>
        <w:tc>
          <w:tcPr>
            <w:tcW w:w="1071" w:type="dxa"/>
            <w:shd w:val="clear" w:color="auto" w:fill="F2DFCE"/>
          </w:tcPr>
          <w:p>
            <w:pPr>
              <w:pStyle w:val="Celda"/>
            </w:pPr>
            <w:r>
              <w:rPr>
                <w:b/>
              </w:rPr>
              <w:t xml:space="preserve">Controles de sesgo y representatividad </w:t>
            </w:r>
            <w:r>
              <w:rPr>
                <w:b/>
              </w:rPr>
              <w:t xml:space="preserve">(Enterprise)</w:t>
            </w:r>
          </w:p>
        </w:tc>
        <w:tc>
          <w:tcPr>
            <w:tcW w:w="1071" w:type="dxa"/>
            <w:shd w:val="clear" w:color="auto" w:fill="F2DFCE"/>
          </w:tcPr>
          <w:p>
            <w:pPr>
              <w:pStyle w:val="Celda"/>
            </w:pPr>
            <w:r>
              <w:rPr>
                <w:b/>
              </w:rPr>
              <w:t xml:space="preserve">Ubicación y retención</w:t>
            </w:r>
          </w:p>
        </w:tc>
      </w:tr>
      <w:tr>
        <w:tc>
          <w:tcPr>
            <w:tcW w:w="1071" w:type="dxa"/>
          </w:tcPr>
          <w:p>
            <w:pPr>
              <w:pStyle w:val="Celda"/>
            </w:pPr>
            <w:r>
              <w:t xml:space="preserve">CD-01 </w:t>
            </w:r>
            <w:r>
              <w:rPr>
                <w:i/>
              </w:rPr>
              <w:t xml:space="preserve">(ejemplo ilustrativo)</w:t>
            </w:r>
          </w:p>
        </w:tc>
        <w:tc>
          <w:tcPr>
            <w:tcW w:w="1071" w:type="dxa"/>
          </w:tcPr>
          <w:p>
            <w:pPr>
              <w:pStyle w:val="Celda"/>
            </w:pPr>
            <w:r>
              <w:t xml:space="preserve">Entrenamiento</w:t>
            </w:r>
          </w:p>
        </w:tc>
        <w:tc>
          <w:tcPr>
            <w:tcW w:w="1071" w:type="dxa"/>
          </w:tcPr>
          <w:p>
            <w:pPr>
              <w:pStyle w:val="Celda"/>
            </w:pPr>
            <w:r>
              <w:t xml:space="preserve">F-01, F-02</w:t>
            </w:r>
          </w:p>
        </w:tc>
        <w:tc>
          <w:tcPr>
            <w:tcW w:w="1071" w:type="dxa"/>
          </w:tcPr>
          <w:p>
            <w:pPr>
              <w:pStyle w:val="Celda"/>
            </w:pPr>
            <w:r>
              <w:t xml:space="preserve">Eliminación de duplicados; imputación de fechas; seudonimización del técnico</w:t>
            </w:r>
          </w:p>
        </w:tc>
        <w:tc>
          <w:tcPr>
            <w:tcW w:w="1071" w:type="dxa"/>
          </w:tcPr>
          <w:p>
            <w:pPr>
              <w:pStyle w:val="Celda"/>
            </w:pPr>
            <w:r>
              <w:t xml:space="preserve">v3 · huella registrada en el repositorio de datos</w:t>
            </w:r>
          </w:p>
        </w:tc>
        <w:tc>
          <w:tcPr>
            <w:tcW w:w="1071" w:type="dxa"/>
          </w:tcPr>
          <w:p>
            <w:pPr>
              <w:pStyle w:val="Celda"/>
            </w:pPr>
            <w:r>
              <w:t xml:space="preserve">01-2023 a 12-2025</w:t>
            </w:r>
          </w:p>
        </w:tc>
        <w:tc>
          <w:tcPr>
            <w:tcW w:w="1071" w:type="dxa"/>
          </w:tcPr>
          <w:p>
            <w:pPr>
              <w:pStyle w:val="Celda"/>
            </w:pPr>
            <w:r>
              <w:t xml:space="preserve">180.000 registros</w:t>
            </w:r>
          </w:p>
        </w:tc>
        <w:tc>
          <w:tcPr>
            <w:tcW w:w="1071" w:type="dxa"/>
          </w:tcPr>
          <w:p>
            <w:pPr>
              <w:pStyle w:val="Celda"/>
            </w:pPr>
            <w:r>
              <w:t xml:space="preserve">Distribución por planta y tipo de activo comparada con la población</w:t>
            </w:r>
          </w:p>
        </w:tc>
        <w:tc>
          <w:tcPr>
            <w:tcW w:w="1071" w:type="dxa"/>
          </w:tcPr>
          <w:p>
            <w:pPr>
              <w:pStyle w:val="Celda"/>
            </w:pPr>
            <w:r>
              <w:t xml:space="preserve">Repositorio analítico; 5 años</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5. Modelos y componentes</w:t>
      </w:r>
    </w:p>
    <w:p>
      <w:r>
        <w:rPr>
          <w:b/>
        </w:rPr>
        <w:t xml:space="preserve">Tipo de modelo:</w:t>
      </w:r>
      <w:r>
        <w:t xml:space="preserve"> Propio entrenado · Propio ajustado sobre modelo base · De terceros por API · De terceros desplegado en infraestructura propia · Modelo de propósito general · Reglas (no es IA). </w:t>
      </w:r>
      <w:r>
        <w:rPr>
          <w:b/>
        </w:rPr>
        <w:t xml:space="preserve">Estado:</w:t>
      </w:r>
      <w:r>
        <w:t xml:space="preserve"> En desarrollo · Validado · En producción · Retirado.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 modelo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Proveedor y versión exacta</w:t>
            </w:r>
          </w:p>
        </w:tc>
        <w:tc>
          <w:tcPr>
            <w:tcW w:w="1205" w:type="dxa"/>
            <w:shd w:val="clear" w:color="auto" w:fill="F2DFCE"/>
          </w:tcPr>
          <w:p>
            <w:pPr>
              <w:pStyle w:val="Celda"/>
            </w:pPr>
            <w:r>
              <w:rPr>
                <w:b/>
              </w:rPr>
              <w:t xml:space="preserve">Conjuntos usados</w:t>
            </w:r>
          </w:p>
        </w:tc>
        <w:tc>
          <w:tcPr>
            <w:tcW w:w="1205" w:type="dxa"/>
            <w:shd w:val="clear" w:color="auto" w:fill="F2DFCE"/>
          </w:tcPr>
          <w:p>
            <w:pPr>
              <w:pStyle w:val="Celda"/>
            </w:pPr>
            <w:r>
              <w:rPr>
                <w:b/>
              </w:rPr>
              <w:t xml:space="preserve">Finalidad</w:t>
            </w:r>
          </w:p>
        </w:tc>
        <w:tc>
          <w:tcPr>
            <w:tcW w:w="1205" w:type="dxa"/>
            <w:shd w:val="clear" w:color="auto" w:fill="F2DFCE"/>
          </w:tcPr>
          <w:p>
            <w:pPr>
              <w:pStyle w:val="Celda"/>
            </w:pPr>
            <w:r>
              <w:rPr>
                <w:b/>
              </w:rPr>
              <w:t xml:space="preserve">Métricas de referencia</w:t>
            </w:r>
          </w:p>
        </w:tc>
        <w:tc>
          <w:tcPr>
            <w:tcW w:w="1205" w:type="dxa"/>
            <w:shd w:val="clear" w:color="auto" w:fill="F2DFCE"/>
          </w:tcPr>
          <w:p>
            <w:pPr>
              <w:pStyle w:val="Celda"/>
            </w:pPr>
            <w:r>
              <w:rPr>
                <w:b/>
              </w:rPr>
              <w:t xml:space="preserve">Limitaciones conocidas</w:t>
            </w:r>
          </w:p>
        </w:tc>
        <w:tc>
          <w:tcPr>
            <w:tcW w:w="1205" w:type="dxa"/>
            <w:shd w:val="clear" w:color="auto" w:fill="F2DFCE"/>
          </w:tcPr>
          <w:p>
            <w:pPr>
              <w:pStyle w:val="Celda"/>
            </w:pPr>
            <w:r>
              <w:rPr>
                <w:b/>
              </w:rPr>
              <w:t xml:space="preserve">Estado</w:t>
            </w:r>
          </w:p>
        </w:tc>
      </w:tr>
      <w:tr>
        <w:tc>
          <w:tcPr>
            <w:tcW w:w="1205" w:type="dxa"/>
          </w:tcPr>
          <w:p>
            <w:pPr>
              <w:pStyle w:val="Celda"/>
            </w:pPr>
            <w:r>
              <w:t xml:space="preserve">M-01 </w:t>
            </w:r>
            <w:r>
              <w:rPr>
                <w:i/>
              </w:rPr>
              <w:t xml:space="preserve">(ejemplo ilustrativo)</w:t>
            </w:r>
          </w:p>
        </w:tc>
        <w:tc>
          <w:tcPr>
            <w:tcW w:w="1205" w:type="dxa"/>
          </w:tcPr>
          <w:p>
            <w:pPr>
              <w:pStyle w:val="Celda"/>
            </w:pPr>
            <w:r>
              <w:t xml:space="preserve">Propio entrenado</w:t>
            </w:r>
          </w:p>
        </w:tc>
        <w:tc>
          <w:tcPr>
            <w:tcW w:w="1205" w:type="dxa"/>
          </w:tcPr>
          <w:p>
            <w:pPr>
              <w:pStyle w:val="Celda"/>
            </w:pPr>
            <w:r>
              <w:t xml:space="preserve">Interno · v1.4</w:t>
            </w:r>
          </w:p>
        </w:tc>
        <w:tc>
          <w:tcPr>
            <w:tcW w:w="1205" w:type="dxa"/>
          </w:tcPr>
          <w:p>
            <w:pPr>
              <w:pStyle w:val="Celda"/>
            </w:pPr>
            <w:r>
              <w:t xml:space="preserve">CD-01, CD-02</w:t>
            </w:r>
          </w:p>
        </w:tc>
        <w:tc>
          <w:tcPr>
            <w:tcW w:w="1205" w:type="dxa"/>
          </w:tcPr>
          <w:p>
            <w:pPr>
              <w:pStyle w:val="Celda"/>
            </w:pPr>
            <w:r>
              <w:t xml:space="preserve">Estimar probabilidad de avería a 30 días</w:t>
            </w:r>
          </w:p>
        </w:tc>
        <w:tc>
          <w:tcPr>
            <w:tcW w:w="1205" w:type="dxa"/>
          </w:tcPr>
          <w:p>
            <w:pPr>
              <w:pStyle w:val="Celda"/>
            </w:pPr>
            <w:r>
              <w:t xml:space="preserve">Métrica de discriminación y calibración registradas en P22</w:t>
            </w:r>
          </w:p>
        </w:tc>
        <w:tc>
          <w:tcPr>
            <w:tcW w:w="1205" w:type="dxa"/>
          </w:tcPr>
          <w:p>
            <w:pPr>
              <w:pStyle w:val="Celda"/>
            </w:pPr>
            <w:r>
              <w:t xml:space="preserve">Bajo rendimiento en activos con menos de 6 meses de histórico</w:t>
            </w:r>
          </w:p>
        </w:tc>
        <w:tc>
          <w:tcPr>
            <w:tcW w:w="1205" w:type="dxa"/>
          </w:tcPr>
          <w:p>
            <w:pPr>
              <w:pStyle w:val="Celda"/>
            </w:pPr>
            <w:r>
              <w:t xml:space="preserve">Validado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Componentes de IA generativa y agentes (si aplica):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Componente</w:t>
            </w:r>
          </w:p>
        </w:tc>
        <w:tc>
          <w:tcPr>
            <w:tcW w:w="1928" w:type="dxa"/>
            <w:shd w:val="clear" w:color="auto" w:fill="F2DFCE"/>
          </w:tcPr>
          <w:p>
            <w:pPr>
              <w:pStyle w:val="Celda"/>
            </w:pPr>
            <w:r>
              <w:rPr>
                <w:b/>
              </w:rPr>
              <w:t xml:space="preserve">Identificador y versión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Ubicación</w:t>
            </w:r>
          </w:p>
        </w:tc>
        <w:tc>
          <w:tcPr>
            <w:tcW w:w="1928" w:type="dxa"/>
            <w:shd w:val="clear" w:color="auto" w:fill="F2DFCE"/>
          </w:tcPr>
          <w:p>
            <w:pPr>
              <w:pStyle w:val="Celda"/>
            </w:pPr>
            <w:r>
              <w:rPr>
                <w:b/>
              </w:rPr>
              <w:t xml:space="preserve">Qué exige un cambio</w:t>
            </w:r>
          </w:p>
        </w:tc>
      </w:tr>
      <w:tr>
        <w:tc>
          <w:tcPr>
            <w:tcW w:w="1928" w:type="dxa"/>
          </w:tcPr>
          <w:p>
            <w:pPr>
              <w:pStyle w:val="Celda"/>
            </w:pPr>
            <w:r>
              <w:t xml:space="preserve">Instrucciones del sistema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Prueba de regresión y registro en P27.</w:t>
            </w:r>
          </w:p>
        </w:tc>
      </w:tr>
      <w:tr>
        <w:tc>
          <w:tcPr>
            <w:tcW w:w="1928" w:type="dxa"/>
          </w:tcPr>
          <w:p>
            <w:pPr>
              <w:pStyle w:val="Celda"/>
            </w:pPr>
            <w:r>
              <w:t xml:space="preserve">Base de conocimiento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Revisión de contenido, fecha de corte y permisos de acceso.</w:t>
            </w:r>
          </w:p>
        </w:tc>
      </w:tr>
      <w:tr>
        <w:tc>
          <w:tcPr>
            <w:tcW w:w="1928" w:type="dxa"/>
          </w:tcPr>
          <w:p>
            <w:pPr>
              <w:pStyle w:val="Celda"/>
            </w:pPr>
            <w:r>
              <w:t xml:space="preserve">Herramientas conectadas del agente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Revisión de permisos en P18.</w:t>
            </w:r>
          </w:p>
        </w:tc>
      </w:tr>
      <w:tr>
        <w:tc>
          <w:tcPr>
            <w:tcW w:w="1928" w:type="dxa"/>
          </w:tcPr>
          <w:p>
            <w:pPr>
              <w:pStyle w:val="Celda"/>
            </w:pPr>
            <w:r>
              <w:t xml:space="preserve">Parámetros de generación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Prueba de regresión.</w:t>
            </w:r>
          </w:p>
        </w:tc>
      </w:tr>
      <w:tr>
        <w:tc>
          <w:tcPr>
            <w:tcW w:w="1928" w:type="dxa"/>
          </w:tcPr>
          <w:p>
            <w:pPr>
              <w:pStyle w:val="Celda"/>
            </w:pPr>
            <w:r>
              <w:t xml:space="preserve">Modelo de respaldo por coste (documento 52 §10.3), si se prevé</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Proveedor y versión exacta; evaluado antes de G5 con el conjunto de referencia y las pruebas de sesgo del principal. Incorporarlo o cambiar sus condiciones es un cambio (documento 52 §6.4).</w:t>
            </w:r>
          </w:p>
        </w:tc>
      </w:tr>
    </w:tbl>
    <w:p>
      <w:pPr>
        <w:pStyle w:val="Espacio"/>
      </w:pPr>
    </w:p>
    <w:p>
      <w:pPr>
        <w:pStyle w:val="Separador"/>
      </w:pPr>
    </w:p>
    <w:p>
      <w:pPr>
        <w:pStyle w:val="Heading1"/>
      </w:pPr>
      <w:r>
        <w:t xml:space="preserve">6. Recorrido de extremo a extremo</w:t>
      </w:r>
    </w:p>
    <w:p>
      <w:r>
        <w:t xml:space="preserve">Describe, en orden, cómo un dato de origen se convierte en un resultado del sistema. Una fila por paso; sin diagramas en texto.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Entrada</w:t>
            </w:r>
          </w:p>
        </w:tc>
        <w:tc>
          <w:tcPr>
            <w:tcW w:w="1928" w:type="dxa"/>
            <w:shd w:val="clear" w:color="auto" w:fill="F2DFCE"/>
          </w:tcPr>
          <w:p>
            <w:pPr>
              <w:pStyle w:val="Celda"/>
            </w:pPr>
            <w:r>
              <w:rPr>
                <w:b/>
              </w:rPr>
              <w:t xml:space="preserve">Proceso</w:t>
            </w:r>
          </w:p>
        </w:tc>
        <w:tc>
          <w:tcPr>
            <w:tcW w:w="1928" w:type="dxa"/>
            <w:shd w:val="clear" w:color="auto" w:fill="F2DFCE"/>
          </w:tcPr>
          <w:p>
            <w:pPr>
              <w:pStyle w:val="Celda"/>
            </w:pPr>
            <w:r>
              <w:rPr>
                <w:b/>
              </w:rPr>
              <w:t xml:space="preserve">Salida</w:t>
            </w:r>
          </w:p>
        </w:tc>
        <w:tc>
          <w:tcPr>
            <w:tcW w:w="1928" w:type="dxa"/>
            <w:shd w:val="clear" w:color="auto" w:fill="F2DFCE"/>
          </w:tcPr>
          <w:p>
            <w:pPr>
              <w:pStyle w:val="Celda"/>
            </w:pPr>
            <w:r>
              <w:rPr>
                <w:b/>
              </w:rPr>
              <w:t xml:space="preserve">Registro que lo evidencia</w:t>
            </w:r>
          </w:p>
        </w:tc>
      </w:tr>
      <w:tr>
        <w:tc>
          <w:tcPr>
            <w:tcW w:w="1928" w:type="dxa"/>
          </w:tcPr>
          <w:p>
            <w:pPr>
              <w:pStyle w:val="Celda"/>
            </w:pPr>
            <w:r>
              <w:t xml:space="preserve">1 </w:t>
            </w:r>
            <w:r>
              <w:rPr>
                <w:i/>
              </w:rPr>
              <w:t xml:space="preserve">(ejemplo ilustrativo)</w:t>
            </w:r>
          </w:p>
        </w:tc>
        <w:tc>
          <w:tcPr>
            <w:tcW w:w="1928" w:type="dxa"/>
          </w:tcPr>
          <w:p>
            <w:pPr>
              <w:pStyle w:val="Celda"/>
            </w:pPr>
            <w:r>
              <w:t xml:space="preserve">F-01</w:t>
            </w:r>
          </w:p>
        </w:tc>
        <w:tc>
          <w:tcPr>
            <w:tcW w:w="1928" w:type="dxa"/>
          </w:tcPr>
          <w:p>
            <w:pPr>
              <w:pStyle w:val="Celda"/>
            </w:pPr>
            <w:r>
              <w:t xml:space="preserve">Extracción nocturna</w:t>
            </w:r>
          </w:p>
        </w:tc>
        <w:tc>
          <w:tcPr>
            <w:tcW w:w="1928" w:type="dxa"/>
          </w:tcPr>
          <w:p>
            <w:pPr>
              <w:pStyle w:val="Celda"/>
            </w:pPr>
            <w:r>
              <w:t xml:space="preserve">Copia bruta fechada</w:t>
            </w:r>
          </w:p>
        </w:tc>
        <w:tc>
          <w:tcPr>
            <w:tcW w:w="1928" w:type="dxa"/>
          </w:tcPr>
          <w:p>
            <w:pPr>
              <w:pStyle w:val="Celda"/>
            </w:pPr>
            <w:r>
              <w:t xml:space="preserve">Registro del proceso de carga</w:t>
            </w:r>
          </w:p>
        </w:tc>
      </w:tr>
      <w:tr>
        <w:tc>
          <w:tcPr>
            <w:tcW w:w="1928" w:type="dxa"/>
          </w:tcPr>
          <w:p>
            <w:pPr>
              <w:pStyle w:val="Celda"/>
            </w:pPr>
            <w:r>
              <w:t xml:space="preserve">2 </w:t>
            </w:r>
            <w:r>
              <w:rPr>
                <w:i/>
              </w:rPr>
              <w:t xml:space="preserve">(ejemplo ilustrativo)</w:t>
            </w:r>
          </w:p>
        </w:tc>
        <w:tc>
          <w:tcPr>
            <w:tcW w:w="1928" w:type="dxa"/>
          </w:tcPr>
          <w:p>
            <w:pPr>
              <w:pStyle w:val="Celda"/>
            </w:pPr>
            <w:r>
              <w:t xml:space="preserve">Copia bruta</w:t>
            </w:r>
          </w:p>
        </w:tc>
        <w:tc>
          <w:tcPr>
            <w:tcW w:w="1928" w:type="dxa"/>
          </w:tcPr>
          <w:p>
            <w:pPr>
              <w:pStyle w:val="Celda"/>
            </w:pPr>
            <w:r>
              <w:t xml:space="preserve">Transformaciones de CD-01</w:t>
            </w:r>
          </w:p>
        </w:tc>
        <w:tc>
          <w:tcPr>
            <w:tcW w:w="1928" w:type="dxa"/>
          </w:tcPr>
          <w:p>
            <w:pPr>
              <w:pStyle w:val="Celda"/>
            </w:pPr>
            <w:r>
              <w:t xml:space="preserve">CD-01 v3</w:t>
            </w:r>
          </w:p>
        </w:tc>
        <w:tc>
          <w:tcPr>
            <w:tcW w:w="1928" w:type="dxa"/>
          </w:tcPr>
          <w:p>
            <w:pPr>
              <w:pStyle w:val="Celda"/>
            </w:pPr>
            <w:r>
              <w:t xml:space="preserve">Huella del conjunto</w:t>
            </w:r>
          </w:p>
        </w:tc>
      </w:tr>
      <w:tr>
        <w:tc>
          <w:tcPr>
            <w:tcW w:w="1928" w:type="dxa"/>
          </w:tcPr>
          <w:p>
            <w:pPr>
              <w:pStyle w:val="Celda"/>
            </w:pPr>
            <w:r>
              <w:t xml:space="preserve">3 </w:t>
            </w:r>
            <w:r>
              <w:rPr>
                <w:i/>
              </w:rPr>
              <w:t xml:space="preserve">(ejemplo ilustrativo)</w:t>
            </w:r>
          </w:p>
        </w:tc>
        <w:tc>
          <w:tcPr>
            <w:tcW w:w="1928" w:type="dxa"/>
          </w:tcPr>
          <w:p>
            <w:pPr>
              <w:pStyle w:val="Celda"/>
            </w:pPr>
            <w:r>
              <w:t xml:space="preserve">Datos del día</w:t>
            </w:r>
          </w:p>
        </w:tc>
        <w:tc>
          <w:tcPr>
            <w:tcW w:w="1928" w:type="dxa"/>
          </w:tcPr>
          <w:p>
            <w:pPr>
              <w:pStyle w:val="Celda"/>
            </w:pPr>
            <w:r>
              <w:t xml:space="preserve">Inferencia con M-01 v1.4</w:t>
            </w:r>
          </w:p>
        </w:tc>
        <w:tc>
          <w:tcPr>
            <w:tcW w:w="1928" w:type="dxa"/>
          </w:tcPr>
          <w:p>
            <w:pPr>
              <w:pStyle w:val="Celda"/>
            </w:pPr>
            <w:r>
              <w:t xml:space="preserve">Lista priorizada de activos</w:t>
            </w:r>
          </w:p>
        </w:tc>
        <w:tc>
          <w:tcPr>
            <w:tcW w:w="1928" w:type="dxa"/>
          </w:tcPr>
          <w:p>
            <w:pPr>
              <w:pStyle w:val="Celda"/>
            </w:pPr>
            <w:r>
              <w:t xml:space="preserve">Registro de inferencias con versión del modelo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Reproducibilidad y trazabilidad de resultados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¿Puede vincularse cada resultado a la versión de modelo, datos e instrucciones?</w:t>
            </w:r>
          </w:p>
        </w:tc>
        <w:tc>
          <w:tcPr>
            <w:tcW w:w="3213" w:type="dxa"/>
          </w:tcPr>
          <w:p>
            <w:pPr>
              <w:pStyle w:val="Celda"/>
            </w:pPr>
          </w:p>
        </w:tc>
        <w:tc>
          <w:tcPr>
            <w:tcW w:w="3213" w:type="dxa"/>
          </w:tcPr>
          <w:p>
            <w:pPr>
              <w:pStyle w:val="Celda"/>
            </w:pPr>
            <w:r>
              <w:t xml:space="preserve">Sí · Parcialmente · No. Si no, es un hallazgo para G4.</w:t>
            </w:r>
          </w:p>
        </w:tc>
      </w:tr>
      <w:tr>
        <w:tc>
          <w:tcPr>
            <w:tcW w:w="3213" w:type="dxa"/>
          </w:tcPr>
          <w:p>
            <w:pPr>
              <w:pStyle w:val="Celda"/>
            </w:pPr>
            <w:r>
              <w:t xml:space="preserve">Registros automáticos que se conservan</w:t>
            </w:r>
          </w:p>
        </w:tc>
        <w:tc>
          <w:tcPr>
            <w:tcW w:w="3213" w:type="dxa"/>
          </w:tcPr>
          <w:p>
            <w:pPr>
              <w:pStyle w:val="Celda"/>
            </w:pPr>
          </w:p>
        </w:tc>
        <w:tc>
          <w:tcPr>
            <w:tcW w:w="3213" w:type="dxa"/>
          </w:tcPr>
          <w:p>
            <w:pPr>
              <w:pStyle w:val="Celda"/>
            </w:pPr>
            <w:r>
              <w:t xml:space="preserve">Qué se registra (entrada, salida, versión, fecha, usuario). En sistemas de alto riesgo, alinear con las obligaciones de registro del Reglamento Europeo de IA (documento 34).</w:t>
            </w:r>
          </w:p>
        </w:tc>
      </w:tr>
      <w:tr>
        <w:tc>
          <w:tcPr>
            <w:tcW w:w="3213" w:type="dxa"/>
          </w:tcPr>
          <w:p>
            <w:pPr>
              <w:pStyle w:val="Celda"/>
            </w:pPr>
            <w:r>
              <w:t xml:space="preserve">Plazo de conservación de registros</w:t>
            </w:r>
          </w:p>
        </w:tc>
        <w:tc>
          <w:tcPr>
            <w:tcW w:w="3213" w:type="dxa"/>
          </w:tcPr>
          <w:p>
            <w:pPr>
              <w:pStyle w:val="Celda"/>
            </w:pPr>
          </w:p>
        </w:tc>
        <w:tc>
          <w:tcPr>
            <w:tcW w:w="3213" w:type="dxa"/>
          </w:tcPr>
          <w:p>
            <w:pPr>
              <w:pStyle w:val="Celda"/>
            </w:pPr>
            <w:r>
              <w:t xml:space="preserve">Plazo fijado por la compañía, no inferior al que exija la regulación aplicable.</w:t>
            </w:r>
          </w:p>
        </w:tc>
      </w:tr>
      <w:tr>
        <w:tc>
          <w:tcPr>
            <w:tcW w:w="3213" w:type="dxa"/>
          </w:tcPr>
          <w:p>
            <w:pPr>
              <w:pStyle w:val="Celda"/>
            </w:pPr>
            <w:r>
              <w:t xml:space="preserve">Capacidad de reentrenar o regenerar una versión anterior </w:t>
            </w:r>
            <w:r>
              <w:rPr>
                <w:b/>
              </w:rPr>
              <w:t xml:space="preserve">(Enterprise)</w:t>
            </w:r>
          </w:p>
        </w:tc>
        <w:tc>
          <w:tcPr>
            <w:tcW w:w="3213" w:type="dxa"/>
          </w:tcPr>
          <w:p>
            <w:pPr>
              <w:pStyle w:val="Celda"/>
            </w:pPr>
          </w:p>
        </w:tc>
        <w:tc>
          <w:tcPr>
            <w:tcW w:w="3213" w:type="dxa"/>
          </w:tcPr>
          <w:p>
            <w:pPr>
              <w:pStyle w:val="Celda"/>
            </w:pPr>
            <w:r>
              <w:t xml:space="preserve">Qué se guarda para reconstruir una versión (código, datos, parámetros).</w:t>
            </w:r>
          </w:p>
        </w:tc>
      </w:tr>
      <w:tr>
        <w:tc>
          <w:tcPr>
            <w:tcW w:w="3213" w:type="dxa"/>
          </w:tcPr>
          <w:p>
            <w:pPr>
              <w:pStyle w:val="Celda"/>
            </w:pPr>
            <w:r>
              <w:t xml:space="preserve">Referencia para detectar deriva</w:t>
            </w:r>
          </w:p>
        </w:tc>
        <w:tc>
          <w:tcPr>
            <w:tcW w:w="3213" w:type="dxa"/>
          </w:tcPr>
          <w:p>
            <w:pPr>
              <w:pStyle w:val="Celda"/>
            </w:pPr>
          </w:p>
        </w:tc>
        <w:tc>
          <w:tcPr>
            <w:tcW w:w="3213" w:type="dxa"/>
          </w:tcPr>
          <w:p>
            <w:pPr>
              <w:pStyle w:val="Celda"/>
            </w:pPr>
            <w:r>
              <w:t xml:space="preserve">Conjunto y periodo que sirve de referencia para la monitorización (P25). En IA generativa y agentes, referencia de uso: temas, intenciones y alcance validados en G5 (documento 52 §4.2.6).</w:t>
            </w:r>
          </w:p>
        </w:tc>
      </w:tr>
    </w:tbl>
    <w:p>
      <w:pPr>
        <w:pStyle w:val="Espacio"/>
      </w:pPr>
    </w:p>
    <w:p>
      <w:pPr>
        <w:pStyle w:val="Separador"/>
      </w:pPr>
    </w:p>
    <w:p>
      <w:pPr>
        <w:pStyle w:val="Heading1"/>
      </w:pPr>
      <w:r>
        <w:t xml:space="preserve">8. Tratamiento en caso de reversión o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Versión estable anterior disponible</w:t>
            </w:r>
          </w:p>
        </w:tc>
        <w:tc>
          <w:tcPr>
            <w:tcW w:w="3213" w:type="dxa"/>
          </w:tcPr>
          <w:p>
            <w:pPr>
              <w:pStyle w:val="Celda"/>
            </w:pPr>
          </w:p>
        </w:tc>
        <w:tc>
          <w:tcPr>
            <w:tcW w:w="3213" w:type="dxa"/>
          </w:tcPr>
          <w:p>
            <w:pPr>
              <w:pStyle w:val="Celda"/>
            </w:pPr>
            <w:r>
              <w:t xml:space="preserve">Identificador del modelo y componentes a los que se vuelve (P19).</w:t>
            </w:r>
          </w:p>
        </w:tc>
      </w:tr>
      <w:tr>
        <w:tc>
          <w:tcPr>
            <w:tcW w:w="3213" w:type="dxa"/>
          </w:tcPr>
          <w:p>
            <w:pPr>
              <w:pStyle w:val="Celda"/>
            </w:pPr>
            <w:r>
              <w:t xml:space="preserve">Datos que deben conservarse</w:t>
            </w:r>
          </w:p>
        </w:tc>
        <w:tc>
          <w:tcPr>
            <w:tcW w:w="3213" w:type="dxa"/>
          </w:tcPr>
          <w:p>
            <w:pPr>
              <w:pStyle w:val="Celda"/>
            </w:pPr>
          </w:p>
        </w:tc>
        <w:tc>
          <w:tcPr>
            <w:tcW w:w="3213" w:type="dxa"/>
          </w:tcPr>
          <w:p>
            <w:pPr>
              <w:pStyle w:val="Celda"/>
            </w:pPr>
            <w:r>
              <w:t xml:space="preserve">Por obligación legal, auditoría o defensa jurídica.</w:t>
            </w:r>
          </w:p>
        </w:tc>
      </w:tr>
      <w:tr>
        <w:tc>
          <w:tcPr>
            <w:tcW w:w="3213" w:type="dxa"/>
          </w:tcPr>
          <w:p>
            <w:pPr>
              <w:pStyle w:val="Celda"/>
            </w:pPr>
            <w:r>
              <w:t xml:space="preserve">Datos que deben borrarse o anonimizarse</w:t>
            </w:r>
          </w:p>
        </w:tc>
        <w:tc>
          <w:tcPr>
            <w:tcW w:w="3213" w:type="dxa"/>
          </w:tcPr>
          <w:p>
            <w:pPr>
              <w:pStyle w:val="Celda"/>
            </w:pPr>
          </w:p>
        </w:tc>
        <w:tc>
          <w:tcPr>
            <w:tcW w:w="3213" w:type="dxa"/>
          </w:tcPr>
          <w:p>
            <w:pPr>
              <w:pStyle w:val="Celda"/>
            </w:pPr>
            <w:r>
              <w:t xml:space="preserve">Incluye copias en proveedores.</w:t>
            </w:r>
          </w:p>
        </w:tc>
      </w:tr>
      <w:tr>
        <w:tc>
          <w:tcPr>
            <w:tcW w:w="3213" w:type="dxa"/>
          </w:tcPr>
          <w:p>
            <w:pPr>
              <w:pStyle w:val="Celda"/>
            </w:pPr>
            <w:r>
              <w:t xml:space="preserve">Obligaciones del proveedor al terminar </w:t>
            </w:r>
            <w:r>
              <w:rPr>
                <w:b/>
              </w:rPr>
              <w:t xml:space="preserve">(Enterprise)</w:t>
            </w:r>
          </w:p>
        </w:tc>
        <w:tc>
          <w:tcPr>
            <w:tcW w:w="3213" w:type="dxa"/>
          </w:tcPr>
          <w:p>
            <w:pPr>
              <w:pStyle w:val="Celda"/>
            </w:pPr>
          </w:p>
        </w:tc>
        <w:tc>
          <w:tcPr>
            <w:tcW w:w="3213" w:type="dxa"/>
          </w:tcPr>
          <w:p>
            <w:pPr>
              <w:pStyle w:val="Celda"/>
            </w:pPr>
            <w:r>
              <w:t xml:space="preserve">Devolución, borrado certificado, no reutilización para entrenamiento. Se detalla en P30.</w:t>
            </w:r>
          </w:p>
        </w:tc>
      </w:tr>
    </w:tbl>
    <w:p>
      <w:pPr>
        <w:pStyle w:val="Espacio"/>
      </w:pPr>
    </w:p>
    <w:p>
      <w:pPr>
        <w:pStyle w:val="Separador"/>
      </w:pPr>
    </w:p>
    <w:p>
      <w:pPr>
        <w:pStyle w:val="Heading1"/>
      </w:pPr>
      <w:r>
        <w:t xml:space="preserve">9. Criterios de calidad</w:t>
      </w:r>
    </w:p>
    <w:p>
      <w:r>
        <w:t xml:space="preserve">El verificador comprueba, como mínimo, lo siguiente. Los criterios formales de G4 están en el documento 21 y la lista de verificación LV-G4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fuentes tienen responsable, tipo de datos y base legal cuando hay datos personales.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conjunto de datos tiene versión o huella y periodo cubierto.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modelo y componente tiene versión exacta, incluidos los de terceros.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recorrido de extremo a extremo permite vincular un resultado a sus versiones.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limitaciones conocidas están declaradas y trasladadas a P17 y P24.</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 una versión anterior identificada para la reversión.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plantilla existía y estaba verificada antes de la solicitud de G4.</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 de base legal</w:t>
            </w:r>
          </w:p>
        </w:tc>
        <w:tc>
          <w:tcPr>
            <w:tcW w:w="1928" w:type="dxa"/>
          </w:tcPr>
          <w:p>
            <w:pPr>
              <w:pStyle w:val="Celda"/>
            </w:pPr>
            <w:r>
              <w:t xml:space="preserve">Protección de datos o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y no es la misma persona que el autor (01 §7.4 y §8.2).</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Modelo de respaldo por coste en los componentes y referencia de uso para la deriva en IA generativa y agentes (documento 52 §4.2.6 y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P16 · Linaje de datos y modelos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P16 · Linaje de datos y modelos</dc:title>
  <dc:creator>Fernando García Varela</dc:creator>
  <dc:language>es</dc:language>
  <dc:description>sha256:4c1cae4e5836ccf45bea2261c302431f8609c7988f9e131841c7b0714ae12509</dc:description>
  <cp:keywords>SEVEN-G</cp:keywords>
</cp:coreProperties>
</file>