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trimestral de segunda línea</w:t>
      </w:r>
    </w:p>
    <w:p>
      <w:r>
        <w:rPr>
          <w:b/>
        </w:rPr>
        <w:t xml:space="preserve">Informa cada trimestre a la comisión delegada, o al comité que la sustituya, de los riesgos de la cartera, los incidentes, las no conformidades, las excepciones, la conciliación del inventario y los cambios regulatorios, con las decisiones que se le piden.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P42 · Informe trimestral de segunda línea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comisión delegada supervisa la eficacia del control sobre la IA, pero solo puede hacerlo con una visión de conjunto que ninguna iniciativa ofrece por separado: riesgos que se concentran en un proveedor o un modelo, incidentes que se repiten, no conformidades vencidas, excepciones que se eternizan, sistemas que aparecen fuera del inventario o normas que cambian. Este informe es la pieza de la segunda línea en C4 (30 §6.3) y convierte esa visión en decisiones concretas para la comisión.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Una vez por trimestre, antes de la sesión de la comisión delegada (C4), con la misma fecha de corte que el paquete del consejo (60 §7.2). Se adelanta un informe parcial si hay un incidente S1 o una no conformidad crítica.</w:t>
            </w:r>
          </w:p>
        </w:tc>
      </w:tr>
      <w:tr>
        <w:tc>
          <w:tcPr>
            <w:tcW w:w="4819" w:type="dxa"/>
          </w:tcPr>
          <w:p>
            <w:pPr>
              <w:pStyle w:val="Celda"/>
            </w:pPr>
            <w:r>
              <w:rPr>
                <w:b/>
              </w:rPr>
              <w:t xml:space="preserve">Quién la rellena</w:t>
            </w:r>
          </w:p>
        </w:tc>
        <w:tc>
          <w:tcPr>
            <w:tcW w:w="4819" w:type="dxa"/>
          </w:tcPr>
          <w:p>
            <w:pPr>
              <w:pStyle w:val="Celda"/>
            </w:pPr>
            <w:r>
              <w:t xml:space="preserve">El coordinador de segunda línea para la IA (responde y realiza, 30 §6.3), con los responsables de riesgos de IA, seguridad, protección de datos y cumplimiento; la oficina de IA aporta los datos de T01, T02, T06, T08, T09 y T21.</w:t>
            </w:r>
          </w:p>
        </w:tc>
      </w:tr>
      <w:tr>
        <w:tc>
          <w:tcPr>
            <w:tcW w:w="4819" w:type="dxa"/>
          </w:tcPr>
          <w:p>
            <w:pPr>
              <w:pStyle w:val="Celda"/>
            </w:pPr>
            <w:r>
              <w:rPr>
                <w:b/>
              </w:rPr>
              <w:t xml:space="preserve">Quién la verifica</w:t>
            </w:r>
          </w:p>
        </w:tc>
        <w:tc>
          <w:tcPr>
            <w:tcW w:w="4819" w:type="dxa"/>
          </w:tcPr>
          <w:p>
            <w:pPr>
              <w:pStyle w:val="Celda"/>
            </w:pPr>
            <w:r>
              <w:t xml:space="preserve">La tercera línea es consultada (30 §6.3); el comité de IA la conoce antes de su envío y puede añadir su posición, sin modificar el contenido.</w:t>
            </w:r>
          </w:p>
        </w:tc>
      </w:tr>
      <w:tr>
        <w:tc>
          <w:tcPr>
            <w:tcW w:w="4819" w:type="dxa"/>
          </w:tcPr>
          <w:p>
            <w:pPr>
              <w:pStyle w:val="Celda"/>
            </w:pPr>
            <w:r>
              <w:rPr>
                <w:b/>
              </w:rPr>
              <w:t xml:space="preserve">Quién decide o aprueba</w:t>
            </w:r>
          </w:p>
        </w:tc>
        <w:tc>
          <w:tcPr>
            <w:tcW w:w="4819" w:type="dxa"/>
          </w:tcPr>
          <w:p>
            <w:pPr>
              <w:pStyle w:val="Celda"/>
            </w:pPr>
            <w:r>
              <w:t xml:space="preserve">La comisión delegada supervisa y decide sobre las propuestas de la sección 11.</w:t>
            </w:r>
          </w:p>
        </w:tc>
      </w:tr>
      <w:tr>
        <w:tc>
          <w:tcPr>
            <w:tcW w:w="4819" w:type="dxa"/>
          </w:tcPr>
          <w:p>
            <w:pPr>
              <w:pStyle w:val="Celda"/>
            </w:pPr>
            <w:r>
              <w:rPr>
                <w:b/>
              </w:rPr>
              <w:t xml:space="preserve">Etapa del ciclo corporativo</w:t>
            </w:r>
          </w:p>
        </w:tc>
        <w:tc>
          <w:tcPr>
            <w:tcW w:w="4819" w:type="dxa"/>
          </w:tcPr>
          <w:p>
            <w:pPr>
              <w:pStyle w:val="Celda"/>
            </w:pPr>
            <w:r>
              <w:t xml:space="preserve">C4 · Supervisión (trimestral). El cuarto trimestre alimenta C5.</w:t>
            </w:r>
          </w:p>
        </w:tc>
      </w:tr>
      <w:tr>
        <w:tc>
          <w:tcPr>
            <w:tcW w:w="4819" w:type="dxa"/>
          </w:tcPr>
          <w:p>
            <w:pPr>
              <w:pStyle w:val="Celda"/>
            </w:pPr>
            <w:r>
              <w:rPr>
                <w:b/>
              </w:rPr>
              <w:t xml:space="preserve">Herramienta</w:t>
            </w:r>
          </w:p>
        </w:tc>
        <w:tc>
          <w:tcPr>
            <w:tcW w:w="4819" w:type="dxa"/>
          </w:tcPr>
          <w:p>
            <w:pPr>
              <w:pStyle w:val="Celda"/>
            </w:pPr>
            <w:r>
              <w:t xml:space="preserve">T06 (riesgos), T08 (incidentes y no conformidades), T02 (inventario), T09 (proveedores), T21 (uso corporativo), T01 (excepciones y condiciones) y T18 (decisiones).</w:t>
            </w:r>
          </w:p>
        </w:tc>
      </w:tr>
      <w:tr>
        <w:tc>
          <w:tcPr>
            <w:tcW w:w="4819" w:type="dxa"/>
          </w:tcPr>
          <w:p>
            <w:pPr>
              <w:pStyle w:val="Celda"/>
            </w:pPr>
            <w:r>
              <w:rPr>
                <w:b/>
              </w:rPr>
              <w:t xml:space="preserve">Documento de referencia</w:t>
            </w:r>
          </w:p>
        </w:tc>
        <w:tc>
          <w:tcPr>
            <w:tcW w:w="4819" w:type="dxa"/>
          </w:tcPr>
          <w:p>
            <w:pPr>
              <w:pStyle w:val="Celda"/>
            </w:pPr>
            <w:r>
              <w:t xml:space="preserve">30 §3.2 y §6.3; 32 §9; 33 §10–12; 34 §10.3; 37 §9; 60 §4.5–4.6.</w:t>
            </w:r>
          </w:p>
        </w:tc>
      </w:tr>
    </w:tbl>
    <w:p>
      <w:pPr>
        <w:pStyle w:val="Espacio"/>
      </w:pPr>
    </w:p>
    <w:p>
      <w:r>
        <w:t xml:space="preserve">Reglas de cumplimentación:</w:t>
      </w:r>
    </w:p>
    <w:p>
      <w:pPr>
        <w:pStyle w:val="Lista"/>
      </w:pPr>
      <w:r>
        <w:t xml:space="preserve">• Lenguaje de negocio: qué puede pasar, a quién afecta, qué se hace y qué decisión se pide; no listados técnicos sin priorizar (33 §12).</w:t>
      </w:r>
    </w:p>
    <w:p>
      <w:pPr>
        <w:pStyle w:val="Lista"/>
      </w:pPr>
      <w:r>
        <w:t xml:space="preserve">• Escalas de la especificación común §5.1 (riesgo), §5.5 (severidad S1–S4) y 01 §12 (no conformidades menor, mayor y crítica).</w:t>
      </w:r>
    </w:p>
    <w:p>
      <w:pPr>
        <w:pStyle w:val="Lista"/>
      </w:pPr>
      <w:r>
        <w:t xml:space="preserve">• Se distinguen siempre </w:t>
      </w:r>
      <w:r>
        <w:rPr>
          <w:b/>
        </w:rPr>
        <w:t xml:space="preserve">hechos confirmados</w:t>
      </w:r>
      <w:r>
        <w:t xml:space="preserve"> de </w:t>
      </w:r>
      <w:r>
        <w:rPr>
          <w:b/>
        </w:rPr>
        <w:t xml:space="preserve">valoraciones en curso</w:t>
      </w:r>
      <w:r>
        <w:t xml:space="preserve"> (37 §9).</w:t>
      </w:r>
    </w:p>
    <w:p>
      <w:pPr>
        <w:pStyle w:val="Lista"/>
      </w:pPr>
      <w:r>
        <w:t xml:space="preserve">• Los cambios regulatorios llevan fecha de consulta; el informe no constituye asesoramiento jurídico.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w:t>
            </w:r>
          </w:p>
        </w:tc>
        <w:tc>
          <w:tcPr>
            <w:tcW w:w="3213" w:type="dxa"/>
          </w:tcPr>
          <w:p>
            <w:pPr>
              <w:pStyle w:val="Celda"/>
            </w:pPr>
          </w:p>
        </w:tc>
        <w:tc>
          <w:tcPr>
            <w:tcW w:w="3213" w:type="dxa"/>
          </w:tcPr>
          <w:p>
            <w:pPr>
              <w:pStyle w:val="Celda"/>
            </w:pPr>
            <w:r>
              <w:t xml:space="preserve">AAAA-Tn.</w:t>
            </w:r>
          </w:p>
        </w:tc>
      </w:tr>
      <w:tr>
        <w:tc>
          <w:tcPr>
            <w:tcW w:w="3213" w:type="dxa"/>
          </w:tcPr>
          <w:p>
            <w:pPr>
              <w:pStyle w:val="Celda"/>
            </w:pPr>
            <w:r>
              <w:t xml:space="preserve">Fecha de corte de los datos</w:t>
            </w:r>
          </w:p>
        </w:tc>
        <w:tc>
          <w:tcPr>
            <w:tcW w:w="3213" w:type="dxa"/>
          </w:tcPr>
          <w:p>
            <w:pPr>
              <w:pStyle w:val="Celda"/>
            </w:pPr>
          </w:p>
        </w:tc>
        <w:tc>
          <w:tcPr>
            <w:tcW w:w="3213" w:type="dxa"/>
          </w:tcPr>
          <w:p>
            <w:pPr>
              <w:pStyle w:val="Celda"/>
            </w:pPr>
          </w:p>
        </w:tc>
      </w:tr>
      <w:tr>
        <w:tc>
          <w:tcPr>
            <w:tcW w:w="3213" w:type="dxa"/>
          </w:tcPr>
          <w:p>
            <w:pPr>
              <w:pStyle w:val="Celda"/>
            </w:pPr>
            <w:r>
              <w:t xml:space="preserve">Destinatario</w:t>
            </w:r>
          </w:p>
        </w:tc>
        <w:tc>
          <w:tcPr>
            <w:tcW w:w="3213" w:type="dxa"/>
          </w:tcPr>
          <w:p>
            <w:pPr>
              <w:pStyle w:val="Celda"/>
            </w:pPr>
          </w:p>
        </w:tc>
        <w:tc>
          <w:tcPr>
            <w:tcW w:w="3213" w:type="dxa"/>
          </w:tcPr>
          <w:p>
            <w:pPr>
              <w:pStyle w:val="Celda"/>
            </w:pPr>
            <w:r>
              <w:t xml:space="preserve">[Comisión de Auditoría / Riesgos / Tecnología] o consejo si no existe comisión.</w:t>
            </w:r>
          </w:p>
        </w:tc>
      </w:tr>
      <w:tr>
        <w:tc>
          <w:tcPr>
            <w:tcW w:w="3213" w:type="dxa"/>
          </w:tcPr>
          <w:p>
            <w:pPr>
              <w:pStyle w:val="Celda"/>
            </w:pPr>
            <w:r>
              <w:t xml:space="preserve">Sesión en que se presenta</w:t>
            </w:r>
          </w:p>
        </w:tc>
        <w:tc>
          <w:tcPr>
            <w:tcW w:w="3213" w:type="dxa"/>
          </w:tcPr>
          <w:p>
            <w:pPr>
              <w:pStyle w:val="Celda"/>
            </w:pPr>
          </w:p>
        </w:tc>
        <w:tc>
          <w:tcPr>
            <w:tcW w:w="3213" w:type="dxa"/>
          </w:tcPr>
          <w:p>
            <w:pPr>
              <w:pStyle w:val="Celda"/>
            </w:pPr>
            <w:r>
              <w:t xml:space="preserve">Referencia del acta (P39).</w:t>
            </w:r>
          </w:p>
        </w:tc>
      </w:tr>
      <w:tr>
        <w:tc>
          <w:tcPr>
            <w:tcW w:w="3213" w:type="dxa"/>
          </w:tcPr>
          <w:p>
            <w:pPr>
              <w:pStyle w:val="Celda"/>
            </w:pPr>
            <w:r>
              <w:t xml:space="preserve">Elaborado por</w:t>
            </w:r>
          </w:p>
        </w:tc>
        <w:tc>
          <w:tcPr>
            <w:tcW w:w="3213" w:type="dxa"/>
          </w:tcPr>
          <w:p>
            <w:pPr>
              <w:pStyle w:val="Celda"/>
            </w:pPr>
          </w:p>
        </w:tc>
        <w:tc>
          <w:tcPr>
            <w:tcW w:w="3213" w:type="dxa"/>
          </w:tcPr>
          <w:p>
            <w:pPr>
              <w:pStyle w:val="Celda"/>
            </w:pPr>
            <w:r>
              <w:t xml:space="preserve">Coordinador de segunda línea para la IA.</w:t>
            </w: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Mensaje principal y decisiones solicitadas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Mensaje principal</w:t>
            </w:r>
          </w:p>
        </w:tc>
        <w:tc>
          <w:tcPr>
            <w:tcW w:w="3213" w:type="dxa"/>
          </w:tcPr>
          <w:p>
            <w:pPr>
              <w:pStyle w:val="Celda"/>
            </w:pPr>
          </w:p>
        </w:tc>
        <w:tc>
          <w:tcPr>
            <w:tcW w:w="3213" w:type="dxa"/>
          </w:tcPr>
          <w:p>
            <w:pPr>
              <w:pStyle w:val="Celda"/>
            </w:pPr>
            <w:r>
              <w:t xml:space="preserve">Tres líneas con el formato de respuesta: «Sí» · «Sí, con una condición: …» · «Todavía no, porque falta …» · «No, porque …». Responde a «¿está la IA dentro del apetito de riesgo?».</w:t>
            </w:r>
          </w:p>
        </w:tc>
      </w:tr>
      <w:tr>
        <w:tc>
          <w:tcPr>
            <w:tcW w:w="3213" w:type="dxa"/>
          </w:tcPr>
          <w:p>
            <w:pPr>
              <w:pStyle w:val="Celda"/>
            </w:pPr>
            <w:r>
              <w:t xml:space="preserve">Cambios desde el trimestre anterior</w:t>
            </w:r>
          </w:p>
        </w:tc>
        <w:tc>
          <w:tcPr>
            <w:tcW w:w="3213" w:type="dxa"/>
          </w:tcPr>
          <w:p>
            <w:pPr>
              <w:pStyle w:val="Celda"/>
            </w:pPr>
          </w:p>
        </w:tc>
        <w:tc>
          <w:tcPr>
            <w:tcW w:w="3213" w:type="dxa"/>
          </w:tcPr>
          <w:p>
            <w:pPr>
              <w:pStyle w:val="Celda"/>
            </w:pPr>
          </w:p>
        </w:tc>
      </w:tr>
      <w:tr>
        <w:tc>
          <w:tcPr>
            <w:tcW w:w="3213" w:type="dxa"/>
          </w:tcPr>
          <w:p>
            <w:pPr>
              <w:pStyle w:val="Celda"/>
            </w:pPr>
            <w:r>
              <w:t xml:space="preserve">Decisiones solicitadas</w:t>
            </w:r>
          </w:p>
        </w:tc>
        <w:tc>
          <w:tcPr>
            <w:tcW w:w="3213" w:type="dxa"/>
          </w:tcPr>
          <w:p>
            <w:pPr>
              <w:pStyle w:val="Celda"/>
            </w:pPr>
          </w:p>
        </w:tc>
        <w:tc>
          <w:tcPr>
            <w:tcW w:w="3213" w:type="dxa"/>
          </w:tcPr>
          <w:p>
            <w:pPr>
              <w:pStyle w:val="Celda"/>
            </w:pPr>
            <w:r>
              <w:t xml:space="preserve">Lista con código DEC y una línea; si no hay, se dice expresamente.</w:t>
            </w:r>
          </w:p>
        </w:tc>
      </w:tr>
      <w:tr>
        <w:tc>
          <w:tcPr>
            <w:tcW w:w="3213" w:type="dxa"/>
          </w:tcPr>
          <w:p>
            <w:pPr>
              <w:pStyle w:val="Celda"/>
            </w:pPr>
            <w:r>
              <w:rPr>
                <w:i/>
              </w:rPr>
              <w:t xml:space="preserve">(ejemplo ilustrativo)</w:t>
            </w:r>
            <w:r>
              <w:t xml:space="preserve"> Mensaje principal</w:t>
            </w:r>
          </w:p>
        </w:tc>
        <w:tc>
          <w:tcPr>
            <w:tcW w:w="3213" w:type="dxa"/>
          </w:tcPr>
          <w:p>
            <w:pPr>
              <w:pStyle w:val="Celda"/>
            </w:pPr>
            <w:r>
              <w:t xml:space="preserve">Sí, con una condición: que se apruebe el plan de salida del proveedor principal de modelos, del que depende el 62 % del valor validado.</w:t>
            </w:r>
          </w:p>
        </w:tc>
        <w:tc>
          <w:tcPr>
            <w:tcW w:w="3213" w:type="dxa"/>
          </w:tcPr>
          <w:p>
            <w:pPr>
              <w:pStyle w:val="Celda"/>
            </w:pPr>
          </w:p>
        </w:tc>
      </w:tr>
    </w:tbl>
    <w:p>
      <w:pPr>
        <w:pStyle w:val="Espacio"/>
      </w:pPr>
    </w:p>
    <w:p>
      <w:pPr>
        <w:pStyle w:val="Separador"/>
      </w:pPr>
    </w:p>
    <w:p>
      <w:pPr>
        <w:pStyle w:val="Heading1"/>
      </w:pPr>
      <w:r>
        <w:t xml:space="preserve">4. Riesgos de la cartera</w:t>
      </w:r>
    </w:p>
    <w:p>
      <w:pPr>
        <w:pStyle w:val="Heading2"/>
      </w:pPr>
      <w:r>
        <w:t xml:space="preserve">4.1 Riesgos residuales Críticos y Altos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Riesgo (iniciativa · Rnn)</w:t>
            </w:r>
          </w:p>
        </w:tc>
        <w:tc>
          <w:tcPr>
            <w:tcW w:w="1205" w:type="dxa"/>
            <w:shd w:val="clear" w:color="auto" w:fill="F2DFCE"/>
          </w:tcPr>
          <w:p>
            <w:pPr>
              <w:pStyle w:val="Celda"/>
            </w:pPr>
            <w:r>
              <w:rPr>
                <w:b/>
              </w:rPr>
              <w:t xml:space="preserve">Riesgo tipo</w:t>
            </w:r>
          </w:p>
        </w:tc>
        <w:tc>
          <w:tcPr>
            <w:tcW w:w="1205" w:type="dxa"/>
            <w:shd w:val="clear" w:color="auto" w:fill="F2DFCE"/>
          </w:tcPr>
          <w:p>
            <w:pPr>
              <w:pStyle w:val="Celda"/>
            </w:pPr>
            <w:r>
              <w:rPr>
                <w:b/>
              </w:rPr>
              <w:t xml:space="preserve">Nivel inherente</w:t>
            </w:r>
          </w:p>
        </w:tc>
        <w:tc>
          <w:tcPr>
            <w:tcW w:w="1205" w:type="dxa"/>
            <w:shd w:val="clear" w:color="auto" w:fill="F2DFCE"/>
          </w:tcPr>
          <w:p>
            <w:pPr>
              <w:pStyle w:val="Celda"/>
            </w:pPr>
            <w:r>
              <w:rPr>
                <w:b/>
              </w:rPr>
              <w:t xml:space="preserve">Nivel residual</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Controles y eficacia</w:t>
            </w:r>
          </w:p>
        </w:tc>
        <w:tc>
          <w:tcPr>
            <w:tcW w:w="1205" w:type="dxa"/>
            <w:shd w:val="clear" w:color="auto" w:fill="F2DFCE"/>
          </w:tcPr>
          <w:p>
            <w:pPr>
              <w:pStyle w:val="Celda"/>
            </w:pPr>
            <w:r>
              <w:rPr>
                <w:b/>
              </w:rPr>
              <w:t xml:space="preserve">Aceptado por y vigencia</w:t>
            </w:r>
          </w:p>
        </w:tc>
        <w:tc>
          <w:tcPr>
            <w:tcW w:w="1205" w:type="dxa"/>
            <w:shd w:val="clear" w:color="auto" w:fill="F2DFCE"/>
          </w:tcPr>
          <w:p>
            <w:pPr>
              <w:pStyle w:val="Celda"/>
            </w:pPr>
            <w:r>
              <w:rPr>
                <w:b/>
              </w:rPr>
              <w:t xml:space="preserve">Próxima revisión</w:t>
            </w:r>
          </w:p>
        </w:tc>
      </w:tr>
      <w:tr>
        <w:tc>
          <w:tcPr>
            <w:tcW w:w="1205" w:type="dxa"/>
          </w:tcPr>
          <w:p>
            <w:pPr>
              <w:pStyle w:val="Celda"/>
            </w:pPr>
            <w:r>
              <w:t xml:space="preserve">IA-AAAA-NNN · R01</w:t>
            </w:r>
          </w:p>
        </w:tc>
        <w:tc>
          <w:tcPr>
            <w:tcW w:w="1205" w:type="dxa"/>
          </w:tcPr>
          <w:p>
            <w:pPr>
              <w:pStyle w:val="Celda"/>
            </w:pPr>
            <w:r>
              <w:t xml:space="preserve">RT-XXX-NN</w:t>
            </w:r>
          </w:p>
        </w:tc>
        <w:tc>
          <w:tcPr>
            <w:tcW w:w="1205" w:type="dxa"/>
          </w:tcPr>
          <w:p>
            <w:pPr>
              <w:pStyle w:val="Celda"/>
            </w:pPr>
          </w:p>
        </w:tc>
        <w:tc>
          <w:tcPr>
            <w:tcW w:w="1205" w:type="dxa"/>
          </w:tcPr>
          <w:p>
            <w:pPr>
              <w:pStyle w:val="Celda"/>
            </w:pPr>
            <w:r>
              <w:t xml:space="preserve">Alto · Crítico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4.2 Concentración</w:t>
      </w:r>
    </w:p>
    <w:p>
      <w:r>
        <w:t xml:space="preserve">Factores de 33 §10.1 y 14 §9; umbrales aprobados en C2.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Situación del trimestre</w:t>
            </w:r>
          </w:p>
        </w:tc>
        <w:tc>
          <w:tcPr>
            <w:tcW w:w="1928" w:type="dxa"/>
            <w:shd w:val="clear" w:color="auto" w:fill="F2DFCE"/>
          </w:tcPr>
          <w:p>
            <w:pPr>
              <w:pStyle w:val="Celda"/>
            </w:pPr>
            <w:r>
              <w:rPr>
                <w:b/>
              </w:rPr>
              <w:t xml:space="preserve">Umbral de C2</w:t>
            </w:r>
          </w:p>
        </w:tc>
        <w:tc>
          <w:tcPr>
            <w:tcW w:w="1928" w:type="dxa"/>
            <w:shd w:val="clear" w:color="auto" w:fill="F2DFCE"/>
          </w:tcPr>
          <w:p>
            <w:pPr>
              <w:pStyle w:val="Celda"/>
            </w:pPr>
            <w:r>
              <w:rPr>
                <w:b/>
              </w:rPr>
              <w:t xml:space="preserve">¿Alerta? (Sí · No)</w:t>
            </w:r>
          </w:p>
        </w:tc>
        <w:tc>
          <w:tcPr>
            <w:tcW w:w="1928" w:type="dxa"/>
            <w:shd w:val="clear" w:color="auto" w:fill="F2DFCE"/>
          </w:tcPr>
          <w:p>
            <w:pPr>
              <w:pStyle w:val="Celda"/>
            </w:pPr>
            <w:r>
              <w:rPr>
                <w:b/>
              </w:rPr>
              <w:t xml:space="preserve">Medida propuesta</w:t>
            </w:r>
          </w:p>
        </w:tc>
      </w:tr>
      <w:tr>
        <w:tc>
          <w:tcPr>
            <w:tcW w:w="1928" w:type="dxa"/>
          </w:tcPr>
          <w:p>
            <w:pPr>
              <w:pStyle w:val="Celda"/>
            </w:pPr>
            <w:r>
              <w:t xml:space="preserve">Proveedor de modelos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Plataforma y nube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Función crítica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Personas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Esfera y ambición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4.3 Correlación: escenarios de cartera</w:t>
      </w:r>
    </w:p>
    <w:p>
      <w:r>
        <w:t xml:space="preserve">Valorados con la matriz de 33 §4: suma de impactos económicos de los sistemas afectados y peor impacto en los demás ejes (33 §10.2).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Escenario</w:t>
            </w:r>
          </w:p>
        </w:tc>
        <w:tc>
          <w:tcPr>
            <w:tcW w:w="1606" w:type="dxa"/>
            <w:shd w:val="clear" w:color="auto" w:fill="F2DFCE"/>
          </w:tcPr>
          <w:p>
            <w:pPr>
              <w:pStyle w:val="Celda"/>
            </w:pPr>
            <w:r>
              <w:rPr>
                <w:b/>
              </w:rPr>
              <w:t xml:space="preserve">Sistemas afectados</w:t>
            </w:r>
          </w:p>
        </w:tc>
        <w:tc>
          <w:tcPr>
            <w:tcW w:w="1606" w:type="dxa"/>
            <w:shd w:val="clear" w:color="auto" w:fill="F2DFCE"/>
          </w:tcPr>
          <w:p>
            <w:pPr>
              <w:pStyle w:val="Celda"/>
            </w:pPr>
            <w:r>
              <w:rPr>
                <w:b/>
              </w:rPr>
              <w:t xml:space="preserve">Impacto económico agregado</w:t>
            </w:r>
          </w:p>
        </w:tc>
        <w:tc>
          <w:tcPr>
            <w:tcW w:w="1606" w:type="dxa"/>
            <w:shd w:val="clear" w:color="auto" w:fill="F2DFCE"/>
          </w:tcPr>
          <w:p>
            <w:pPr>
              <w:pStyle w:val="Celda"/>
            </w:pPr>
            <w:r>
              <w:rPr>
                <w:b/>
              </w:rPr>
              <w:t xml:space="preserve">Peor impacto no económico</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Cambio frente al trimestre anterior</w:t>
            </w:r>
          </w:p>
        </w:tc>
      </w:tr>
      <w:tr>
        <w:tc>
          <w:tcPr>
            <w:tcW w:w="1606" w:type="dxa"/>
          </w:tcPr>
          <w:p>
            <w:pPr>
              <w:pStyle w:val="Celda"/>
            </w:pPr>
            <w:r>
              <w:t xml:space="preserve">Indisponibilidad del principal proveedor de modelos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Cambio de comportamiento de un modelo base común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Vulnerabilidad en un componente común de agentes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Reclasificación regulatoria de un tipo de uso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Brecha en una base de conocimiento compartida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4.4 Indicadores de riesgo clave</w:t>
      </w:r>
    </w:p>
    <w:p>
      <w:r>
        <w:t xml:space="preserve">Umbrales aprobados en C2 (33 §11.2).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Umbral</w:t>
            </w:r>
          </w:p>
        </w:tc>
        <w:tc>
          <w:tcPr>
            <w:tcW w:w="1928" w:type="dxa"/>
            <w:shd w:val="clear" w:color="auto" w:fill="F2DFCE"/>
          </w:tcPr>
          <w:p>
            <w:pPr>
              <w:pStyle w:val="Celda"/>
            </w:pPr>
            <w:r>
              <w:rPr>
                <w:b/>
              </w:rPr>
              <w:t xml:space="preserve">Valor</w:t>
            </w:r>
          </w:p>
        </w:tc>
        <w:tc>
          <w:tcPr>
            <w:tcW w:w="1928" w:type="dxa"/>
            <w:shd w:val="clear" w:color="auto" w:fill="F2DFCE"/>
          </w:tcPr>
          <w:p>
            <w:pPr>
              <w:pStyle w:val="Celda"/>
            </w:pPr>
            <w:r>
              <w:rPr>
                <w:b/>
              </w:rPr>
              <w:t xml:space="preserve">Trimestre anterior</w:t>
            </w:r>
          </w:p>
        </w:tc>
        <w:tc>
          <w:tcPr>
            <w:tcW w:w="1928" w:type="dxa"/>
            <w:shd w:val="clear" w:color="auto" w:fill="F2DFCE"/>
          </w:tcPr>
          <w:p>
            <w:pPr>
              <w:pStyle w:val="Celda"/>
            </w:pPr>
            <w:r>
              <w:rPr>
                <w:b/>
              </w:rPr>
              <w:t xml:space="preserve">Estado (Dentro · Fuera)</w:t>
            </w:r>
          </w:p>
        </w:tc>
      </w:tr>
      <w:tr>
        <w:tc>
          <w:tcPr>
            <w:tcW w:w="1928" w:type="dxa"/>
          </w:tcPr>
          <w:p>
            <w:pPr>
              <w:pStyle w:val="Celda"/>
            </w:pPr>
            <w:r>
              <w:t xml:space="preserve">Residuales Críticos sin aprobación del consejo</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Residuales Altos aceptados</w:t>
            </w:r>
          </w:p>
        </w:tc>
        <w:tc>
          <w:tcPr>
            <w:tcW w:w="1928" w:type="dxa"/>
          </w:tcPr>
          <w:p>
            <w:pPr>
              <w:pStyle w:val="Celda"/>
            </w:pPr>
            <w:r>
              <w:t xml:space="preserve">Sin crecimiento dos trimestres seguidos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Aceptaciones caducadas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Controles no probados (Alto o Crítico)</w:t>
            </w:r>
          </w:p>
        </w:tc>
        <w:tc>
          <w:tcPr>
            <w:tcW w:w="1928" w:type="dxa"/>
          </w:tcPr>
          <w:p>
            <w:pPr>
              <w:pStyle w:val="Celda"/>
            </w:pPr>
            <w:r>
              <w:t xml:space="preserve">&lt; 10 %</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Acciones de tratamiento vencidas</w:t>
            </w:r>
          </w:p>
        </w:tc>
        <w:tc>
          <w:tcPr>
            <w:tcW w:w="1928" w:type="dxa"/>
          </w:tcPr>
          <w:p>
            <w:pPr>
              <w:pStyle w:val="Celda"/>
            </w:pPr>
            <w:r>
              <w:t xml:space="preserve">0 con más de 30 días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Riesgos materializados sin riesgo previo</w:t>
            </w:r>
          </w:p>
        </w:tc>
        <w:tc>
          <w:tcPr>
            <w:tcW w:w="1928" w:type="dxa"/>
          </w:tcPr>
          <w:p>
            <w:pPr>
              <w:pStyle w:val="Celda"/>
            </w:pPr>
            <w:r>
              <w:t xml:space="preserve">Tendencia a la baja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Deriva fuera de umbral sin acción</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Éxito de inyección en la última campaña</w:t>
            </w:r>
          </w:p>
        </w:tc>
        <w:tc>
          <w:tcPr>
            <w:tcW w:w="1928" w:type="dxa"/>
          </w:tcPr>
          <w:p>
            <w:pPr>
              <w:pStyle w:val="Celda"/>
            </w:pPr>
            <w:r>
              <w:t xml:space="preserve">Tendencia a la baja; 0 en acciones sensibles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Agentes con permisos excesivos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Concentración de proveedor</w:t>
            </w:r>
          </w:p>
        </w:tc>
        <w:tc>
          <w:tcPr>
            <w:tcW w:w="1928" w:type="dxa"/>
          </w:tcPr>
          <w:p>
            <w:pPr>
              <w:pStyle w:val="Celda"/>
            </w:pPr>
            <w:r>
              <w:t xml:space="preserve">Según límite de C2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Clasificación regulatoria vencida</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Uso no autorizado no regularizado</w:t>
            </w:r>
          </w:p>
        </w:tc>
        <w:tc>
          <w:tcPr>
            <w:tcW w:w="1928" w:type="dxa"/>
          </w:tcPr>
          <w:p>
            <w:pPr>
              <w:pStyle w:val="Celda"/>
            </w:pPr>
            <w:r>
              <w:t xml:space="preserve">Tendencia a la baja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Cumplimiento del apetito de riesgo</w:t>
            </w:r>
          </w:p>
        </w:tc>
        <w:tc>
          <w:tcPr>
            <w:tcW w:w="4819" w:type="dxa"/>
          </w:tcPr>
          <w:p>
            <w:pPr>
              <w:pStyle w:val="Celda"/>
            </w:pPr>
            <w:r>
              <w:t xml:space="preserve">Dentro · Fuera, con los límites superados.</w:t>
            </w:r>
          </w:p>
        </w:tc>
      </w:tr>
      <w:tr>
        <w:tc>
          <w:tcPr>
            <w:tcW w:w="4819" w:type="dxa"/>
          </w:tcPr>
          <w:p>
            <w:pPr>
              <w:pStyle w:val="Celda"/>
            </w:pPr>
            <w:r>
              <w:t xml:space="preserve">Exposición a IA ofensiva (documento 35)</w:t>
            </w:r>
          </w:p>
        </w:tc>
        <w:tc>
          <w:tcPr>
            <w:tcW w:w="4819" w:type="dxa"/>
          </w:tcPr>
          <w:p>
            <w:pPr>
              <w:pStyle w:val="Celda"/>
            </w:pPr>
            <w:r>
              <w:t xml:space="preserve">Indicadores principales y hechos del trimestre.</w:t>
            </w:r>
          </w:p>
        </w:tc>
      </w:tr>
    </w:tbl>
    <w:p>
      <w:pPr>
        <w:pStyle w:val="Espacio"/>
      </w:pPr>
    </w:p>
    <w:p>
      <w:pPr>
        <w:pStyle w:val="Separador"/>
      </w:pPr>
    </w:p>
    <w:p>
      <w:pPr>
        <w:pStyle w:val="Heading1"/>
      </w:pPr>
      <w:r>
        <w:t xml:space="preserve">5. Incidentes</w:t>
      </w:r>
    </w:p>
    <w:p>
      <w:r>
        <w:t xml:space="preserve">Contenido trimestral de 37 §9 y 60 §4.6.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Sistema e iniciativa</w:t>
            </w:r>
          </w:p>
        </w:tc>
        <w:tc>
          <w:tcPr>
            <w:tcW w:w="1205" w:type="dxa"/>
            <w:shd w:val="clear" w:color="auto" w:fill="F2DFCE"/>
          </w:tcPr>
          <w:p>
            <w:pPr>
              <w:pStyle w:val="Celda"/>
            </w:pPr>
            <w:r>
              <w:rPr>
                <w:b/>
              </w:rPr>
              <w:t xml:space="preserve">Severidad</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Notificaciones (régimen, plazo cumplido)</w:t>
            </w:r>
          </w:p>
        </w:tc>
        <w:tc>
          <w:tcPr>
            <w:tcW w:w="1205" w:type="dxa"/>
            <w:shd w:val="clear" w:color="auto" w:fill="F2DFCE"/>
          </w:tcPr>
          <w:p>
            <w:pPr>
              <w:pStyle w:val="Celda"/>
            </w:pPr>
            <w:r>
              <w:rPr>
                <w:b/>
              </w:rPr>
              <w:t xml:space="preserve">Lecciones y acciones</w:t>
            </w:r>
          </w:p>
        </w:tc>
      </w:tr>
      <w:tr>
        <w:tc>
          <w:tcPr>
            <w:tcW w:w="1205" w:type="dxa"/>
          </w:tcPr>
          <w:p>
            <w:pPr>
              <w:pStyle w:val="Celda"/>
            </w:pPr>
            <w:r>
              <w:t xml:space="preserve">INC-AAAA-NNN</w:t>
            </w:r>
          </w:p>
        </w:tc>
        <w:tc>
          <w:tcPr>
            <w:tcW w:w="1205" w:type="dxa"/>
          </w:tcPr>
          <w:p>
            <w:pPr>
              <w:pStyle w:val="Celda"/>
            </w:pPr>
          </w:p>
        </w:tc>
        <w:tc>
          <w:tcPr>
            <w:tcW w:w="1205" w:type="dxa"/>
          </w:tcPr>
          <w:p>
            <w:pPr>
              <w:pStyle w:val="Celda"/>
            </w:pPr>
            <w:r>
              <w:t xml:space="preserve">S1 · S2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Agregado S3 y S4</w:t>
            </w:r>
          </w:p>
        </w:tc>
        <w:tc>
          <w:tcPr>
            <w:tcW w:w="2410" w:type="dxa"/>
            <w:shd w:val="clear" w:color="auto" w:fill="F2DFCE"/>
          </w:tcPr>
          <w:p>
            <w:pPr>
              <w:pStyle w:val="Celda"/>
            </w:pPr>
            <w:r>
              <w:rPr>
                <w:b/>
              </w:rPr>
              <w:t xml:space="preserve">Número</w:t>
            </w:r>
          </w:p>
        </w:tc>
        <w:tc>
          <w:tcPr>
            <w:tcW w:w="2410" w:type="dxa"/>
            <w:shd w:val="clear" w:color="auto" w:fill="F2DFCE"/>
          </w:tcPr>
          <w:p>
            <w:pPr>
              <w:pStyle w:val="Celda"/>
            </w:pPr>
            <w:r>
              <w:rPr>
                <w:b/>
              </w:rPr>
              <w:t xml:space="preserve">Tipología principal</w:t>
            </w:r>
          </w:p>
        </w:tc>
        <w:tc>
          <w:tcPr>
            <w:tcW w:w="2410" w:type="dxa"/>
            <w:shd w:val="clear" w:color="auto" w:fill="F2DFCE"/>
          </w:tcPr>
          <w:p>
            <w:pPr>
              <w:pStyle w:val="Celda"/>
            </w:pPr>
            <w:r>
              <w:rPr>
                <w:b/>
              </w:rPr>
              <w:t xml:space="preserve">Tiempo mediano de contención</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Notificaciones regulatorias del trimestre y cumplimiento de plazos</w:t>
            </w:r>
          </w:p>
        </w:tc>
        <w:tc>
          <w:tcPr>
            <w:tcW w:w="4819" w:type="dxa"/>
          </w:tcPr>
          <w:p>
            <w:pPr>
              <w:pStyle w:val="Celda"/>
            </w:pPr>
          </w:p>
        </w:tc>
      </w:tr>
      <w:tr>
        <w:tc>
          <w:tcPr>
            <w:tcW w:w="4819" w:type="dxa"/>
          </w:tcPr>
          <w:p>
            <w:pPr>
              <w:pStyle w:val="Celda"/>
            </w:pPr>
            <w:r>
              <w:t xml:space="preserve">Incidentes de proveedores</w:t>
            </w:r>
          </w:p>
        </w:tc>
        <w:tc>
          <w:tcPr>
            <w:tcW w:w="4819" w:type="dxa"/>
          </w:tcPr>
          <w:p>
            <w:pPr>
              <w:pStyle w:val="Celda"/>
            </w:pPr>
          </w:p>
        </w:tc>
      </w:tr>
      <w:tr>
        <w:tc>
          <w:tcPr>
            <w:tcW w:w="4819" w:type="dxa"/>
          </w:tcPr>
          <w:p>
            <w:pPr>
              <w:pStyle w:val="Celda"/>
            </w:pPr>
            <w:r>
              <w:t xml:space="preserve">Lecciones sistémicas</w:t>
            </w:r>
          </w:p>
        </w:tc>
        <w:tc>
          <w:tcPr>
            <w:tcW w:w="4819" w:type="dxa"/>
          </w:tcPr>
          <w:p>
            <w:pPr>
              <w:pStyle w:val="Celda"/>
            </w:pPr>
          </w:p>
        </w:tc>
      </w:tr>
    </w:tbl>
    <w:p>
      <w:pPr>
        <w:pStyle w:val="Espacio"/>
      </w:pPr>
    </w:p>
    <w:p>
      <w:pPr>
        <w:pStyle w:val="Separador"/>
      </w:pPr>
    </w:p>
    <w:p>
      <w:pPr>
        <w:pStyle w:val="Heading1"/>
      </w:pPr>
      <w:r>
        <w:t xml:space="preserve">6. No conformidades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Requisito incumplido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Alcance</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Plazo</w:t>
            </w:r>
          </w:p>
        </w:tc>
        <w:tc>
          <w:tcPr>
            <w:tcW w:w="1205" w:type="dxa"/>
            <w:shd w:val="clear" w:color="auto" w:fill="F2DFCE"/>
          </w:tcPr>
          <w:p>
            <w:pPr>
              <w:pStyle w:val="Celda"/>
            </w:pPr>
            <w:r>
              <w:rPr>
                <w:b/>
              </w:rPr>
              <w:t xml:space="preserve">¿Vencida?</w:t>
            </w:r>
          </w:p>
        </w:tc>
        <w:tc>
          <w:tcPr>
            <w:tcW w:w="1205" w:type="dxa"/>
            <w:shd w:val="clear" w:color="auto" w:fill="F2DFCE"/>
          </w:tcPr>
          <w:p>
            <w:pPr>
              <w:pStyle w:val="Celda"/>
            </w:pPr>
            <w:r>
              <w:rPr>
                <w:b/>
              </w:rPr>
              <w:t xml:space="preserve">Acción correctiva</w:t>
            </w:r>
          </w:p>
        </w:tc>
      </w:tr>
      <w:tr>
        <w:tc>
          <w:tcPr>
            <w:tcW w:w="1205" w:type="dxa"/>
          </w:tcPr>
          <w:p>
            <w:pPr>
              <w:pStyle w:val="Celda"/>
            </w:pPr>
            <w:r>
              <w:t xml:space="preserve">NC-AAAA-NNN</w:t>
            </w:r>
          </w:p>
        </w:tc>
        <w:tc>
          <w:tcPr>
            <w:tcW w:w="1205" w:type="dxa"/>
          </w:tcPr>
          <w:p>
            <w:pPr>
              <w:pStyle w:val="Celda"/>
            </w:pPr>
          </w:p>
        </w:tc>
        <w:tc>
          <w:tcPr>
            <w:tcW w:w="1205" w:type="dxa"/>
          </w:tcPr>
          <w:p>
            <w:pPr>
              <w:pStyle w:val="Celda"/>
            </w:pPr>
            <w:r>
              <w:t xml:space="preserve">Crítica · Mayor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Sí · No</w:t>
            </w:r>
          </w:p>
        </w:tc>
        <w:tc>
          <w:tcPr>
            <w:tcW w:w="1205" w:type="dxa"/>
          </w:tcPr>
          <w:p>
            <w:pPr>
              <w:pStyle w:val="Celda"/>
            </w:pPr>
          </w:p>
        </w:tc>
      </w:tr>
    </w:tbl>
    <w:p>
      <w:pPr>
        <w:pStyle w:val="Espacio"/>
      </w:pPr>
    </w:p>
    <w:p>
      <w:r>
        <w:t xml:space="preserve">Críticas: siempre individualmente. Mayores: individualmente si están abiertas fuera de plazo; agregadas en el resto. Menores: solo el número.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Resumen</w:t>
            </w:r>
          </w:p>
        </w:tc>
        <w:tc>
          <w:tcPr>
            <w:tcW w:w="2410" w:type="dxa"/>
            <w:shd w:val="clear" w:color="auto" w:fill="F2DFCE"/>
          </w:tcPr>
          <w:p>
            <w:pPr>
              <w:pStyle w:val="Celda"/>
            </w:pPr>
            <w:r>
              <w:rPr>
                <w:b/>
              </w:rPr>
              <w:t xml:space="preserve">Críticas</w:t>
            </w:r>
          </w:p>
        </w:tc>
        <w:tc>
          <w:tcPr>
            <w:tcW w:w="2410" w:type="dxa"/>
            <w:shd w:val="clear" w:color="auto" w:fill="F2DFCE"/>
          </w:tcPr>
          <w:p>
            <w:pPr>
              <w:pStyle w:val="Celda"/>
            </w:pPr>
            <w:r>
              <w:rPr>
                <w:b/>
              </w:rPr>
              <w:t xml:space="preserve">Mayores</w:t>
            </w:r>
          </w:p>
        </w:tc>
        <w:tc>
          <w:tcPr>
            <w:tcW w:w="2410" w:type="dxa"/>
            <w:shd w:val="clear" w:color="auto" w:fill="F2DFCE"/>
          </w:tcPr>
          <w:p>
            <w:pPr>
              <w:pStyle w:val="Celda"/>
            </w:pPr>
            <w:r>
              <w:rPr>
                <w:b/>
              </w:rPr>
              <w:t xml:space="preserve">Menores</w:t>
            </w:r>
          </w:p>
        </w:tc>
      </w:tr>
      <w:tr>
        <w:tc>
          <w:tcPr>
            <w:tcW w:w="2410" w:type="dxa"/>
          </w:tcPr>
          <w:p>
            <w:pPr>
              <w:pStyle w:val="Celda"/>
            </w:pPr>
            <w:r>
              <w:t xml:space="preserve">Abiertas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Vencidas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Cerradas en el trimestre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Excepciones vigentes</w:t>
      </w:r>
    </w:p>
    <w:p>
      <w:r>
        <w:t xml:space="preserve">Resumen del registro de P40 (30 §7.4).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Requisito afectado</w:t>
            </w:r>
          </w:p>
        </w:tc>
        <w:tc>
          <w:tcPr>
            <w:tcW w:w="1377" w:type="dxa"/>
            <w:shd w:val="clear" w:color="auto" w:fill="F2DFCE"/>
          </w:tcPr>
          <w:p>
            <w:pPr>
              <w:pStyle w:val="Celda"/>
            </w:pPr>
            <w:r>
              <w:rPr>
                <w:b/>
              </w:rPr>
              <w:t xml:space="preserve">Nivel de riesgo con medidas</w:t>
            </w:r>
          </w:p>
        </w:tc>
        <w:tc>
          <w:tcPr>
            <w:tcW w:w="1377" w:type="dxa"/>
            <w:shd w:val="clear" w:color="auto" w:fill="F2DFCE"/>
          </w:tcPr>
          <w:p>
            <w:pPr>
              <w:pStyle w:val="Celda"/>
            </w:pPr>
            <w:r>
              <w:rPr>
                <w:b/>
              </w:rPr>
              <w:t xml:space="preserve">Aprobada por</w:t>
            </w:r>
          </w:p>
        </w:tc>
        <w:tc>
          <w:tcPr>
            <w:tcW w:w="1377" w:type="dxa"/>
            <w:shd w:val="clear" w:color="auto" w:fill="F2DFCE"/>
          </w:tcPr>
          <w:p>
            <w:pPr>
              <w:pStyle w:val="Celda"/>
            </w:pPr>
            <w:r>
              <w:rPr>
                <w:b/>
              </w:rPr>
              <w:t xml:space="preserve">Caducidad</w:t>
            </w:r>
          </w:p>
        </w:tc>
        <w:tc>
          <w:tcPr>
            <w:tcW w:w="1377" w:type="dxa"/>
            <w:shd w:val="clear" w:color="auto" w:fill="F2DFCE"/>
          </w:tcPr>
          <w:p>
            <w:pPr>
              <w:pStyle w:val="Celda"/>
            </w:pPr>
            <w:r>
              <w:rPr>
                <w:b/>
              </w:rPr>
              <w:t xml:space="preserve">Estado</w:t>
            </w:r>
          </w:p>
        </w:tc>
      </w:tr>
      <w:tr>
        <w:tc>
          <w:tcPr>
            <w:tcW w:w="1377" w:type="dxa"/>
          </w:tcPr>
          <w:p>
            <w:pPr>
              <w:pStyle w:val="Celda"/>
            </w:pPr>
            <w:r>
              <w:t xml:space="preserve">EXC-AAAA-NNN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Vigente · Vencida</w:t>
            </w:r>
          </w:p>
        </w:tc>
      </w:tr>
    </w:tbl>
    <w:p>
      <w:pPr>
        <w:pStyle w:val="Espacio"/>
      </w:pPr>
    </w:p>
    <w:p>
      <w:pPr>
        <w:pStyle w:val="Separador"/>
      </w:pPr>
    </w:p>
    <w:p>
      <w:pPr>
        <w:pStyle w:val="Heading1"/>
      </w:pPr>
      <w:r>
        <w:t xml:space="preserve">8. Conciliación trimestral del inventario</w:t>
      </w:r>
    </w:p>
    <w:p>
      <w:r>
        <w:t xml:space="preserve">Resultado de la conciliación de 32 §9, realizada por la oficina de 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Fuente contrastada</w:t>
            </w:r>
          </w:p>
        </w:tc>
        <w:tc>
          <w:tcPr>
            <w:tcW w:w="2410" w:type="dxa"/>
            <w:shd w:val="clear" w:color="auto" w:fill="F2DFCE"/>
          </w:tcPr>
          <w:p>
            <w:pPr>
              <w:pStyle w:val="Celda"/>
            </w:pPr>
            <w:r>
              <w:rPr>
                <w:b/>
              </w:rPr>
              <w:t xml:space="preserve">Diferencias encontradas</w:t>
            </w:r>
          </w:p>
        </w:tc>
        <w:tc>
          <w:tcPr>
            <w:tcW w:w="2410" w:type="dxa"/>
            <w:shd w:val="clear" w:color="auto" w:fill="F2DFCE"/>
          </w:tcPr>
          <w:p>
            <w:pPr>
              <w:pStyle w:val="Celda"/>
            </w:pPr>
            <w:r>
              <w:rPr>
                <w:b/>
              </w:rPr>
              <w:t xml:space="preserve">Tratamiento</w:t>
            </w:r>
          </w:p>
        </w:tc>
        <w:tc>
          <w:tcPr>
            <w:tcW w:w="2410" w:type="dxa"/>
            <w:shd w:val="clear" w:color="auto" w:fill="F2DFCE"/>
          </w:tcPr>
          <w:p>
            <w:pPr>
              <w:pStyle w:val="Celda"/>
            </w:pPr>
            <w:r>
              <w:rPr>
                <w:b/>
              </w:rPr>
              <w:t xml:space="preserve">No conformidades abiertas</w:t>
            </w:r>
          </w:p>
        </w:tc>
      </w:tr>
      <w:tr>
        <w:tc>
          <w:tcPr>
            <w:tcW w:w="2410" w:type="dxa"/>
          </w:tcPr>
          <w:p>
            <w:pPr>
              <w:pStyle w:val="Celda"/>
            </w:pPr>
            <w:r>
              <w:t xml:space="preserve">Registro de aplicaciones y arquitectura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Contratos, compras y renovaciones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 de proveedores de IA (T09) y registro de proveedores TIC (DORA, cuando aplique)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Facturación de nube y consumo de APIs de modelos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Repositorios de código y plataformas de 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 de actividades de tratamiento (RGPD)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Navegación, prevención de fuga de datos y dispositivos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Notas de gasto y tarjetas corporativas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Notas de versión de proveedores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Comunicaciones, encuestas y auditorías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Sistemas dados de alta por la conciliación</w:t>
            </w:r>
          </w:p>
        </w:tc>
        <w:tc>
          <w:tcPr>
            <w:tcW w:w="4819" w:type="dxa"/>
          </w:tcPr>
          <w:p>
            <w:pPr>
              <w:pStyle w:val="Celda"/>
            </w:pPr>
          </w:p>
        </w:tc>
      </w:tr>
      <w:tr>
        <w:tc>
          <w:tcPr>
            <w:tcW w:w="4819" w:type="dxa"/>
          </w:tcPr>
          <w:p>
            <w:pPr>
              <w:pStyle w:val="Celda"/>
            </w:pPr>
            <w:r>
              <w:t xml:space="preserve">Sistemas en producción sin </w:t>
            </w:r>
            <w:r>
              <w:rPr>
                <w:i/>
              </w:rPr>
              <w:t xml:space="preserve">gate</w:t>
            </w:r>
            <w:r>
              <w:t xml:space="preserve"> detectados</w:t>
            </w:r>
          </w:p>
        </w:tc>
        <w:tc>
          <w:tcPr>
            <w:tcW w:w="4819" w:type="dxa"/>
          </w:tcPr>
          <w:p>
            <w:pPr>
              <w:pStyle w:val="Celda"/>
            </w:pPr>
            <w:r>
              <w:t xml:space="preserve">Cada uno es no conformidad crítica (01 §12).</w:t>
            </w:r>
          </w:p>
        </w:tc>
      </w:tr>
    </w:tbl>
    <w:p>
      <w:pPr>
        <w:pStyle w:val="Espacio"/>
      </w:pPr>
    </w:p>
    <w:p>
      <w:pPr>
        <w:pStyle w:val="Separador"/>
      </w:pPr>
    </w:p>
    <w:p>
      <w:pPr>
        <w:pStyle w:val="Heading1"/>
      </w:pPr>
      <w:r>
        <w:t xml:space="preserve">9. Cambios regulatorios</w:t>
      </w:r>
    </w:p>
    <w:p>
      <w:r>
        <w:t xml:space="preserve">Registro de cambios del mapeo (34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Cambio</w:t>
            </w:r>
          </w:p>
        </w:tc>
        <w:tc>
          <w:tcPr>
            <w:tcW w:w="1606" w:type="dxa"/>
            <w:shd w:val="clear" w:color="auto" w:fill="F2DFCE"/>
          </w:tcPr>
          <w:p>
            <w:pPr>
              <w:pStyle w:val="Celda"/>
            </w:pPr>
            <w:r>
              <w:rPr>
                <w:b/>
              </w:rPr>
              <w:t xml:space="preserve">Fuente oficial y fecha de consulta</w:t>
            </w:r>
          </w:p>
        </w:tc>
        <w:tc>
          <w:tcPr>
            <w:tcW w:w="1606" w:type="dxa"/>
            <w:shd w:val="clear" w:color="auto" w:fill="F2DFCE"/>
          </w:tcPr>
          <w:p>
            <w:pPr>
              <w:pStyle w:val="Celda"/>
            </w:pPr>
            <w:r>
              <w:rPr>
                <w:b/>
              </w:rPr>
              <w:t xml:space="preserve">Iniciativas o sistemas afectados</w:t>
            </w:r>
          </w:p>
        </w:tc>
        <w:tc>
          <w:tcPr>
            <w:tcW w:w="1606" w:type="dxa"/>
            <w:shd w:val="clear" w:color="auto" w:fill="F2DFCE"/>
          </w:tcPr>
          <w:p>
            <w:pPr>
              <w:pStyle w:val="Celda"/>
            </w:pPr>
            <w:r>
              <w:rPr>
                <w:b/>
              </w:rPr>
              <w:t xml:space="preserve">Paso alcanzado (1–8 de 34 §10.3)</w:t>
            </w:r>
          </w:p>
        </w:tc>
        <w:tc>
          <w:tcPr>
            <w:tcW w:w="1606" w:type="dxa"/>
            <w:shd w:val="clear" w:color="auto" w:fill="F2DFCE"/>
          </w:tcPr>
          <w:p>
            <w:pPr>
              <w:pStyle w:val="Celda"/>
            </w:pPr>
            <w:r>
              <w:rPr>
                <w:b/>
              </w:rPr>
              <w:t xml:space="preserve">Aprobado por el comité (Sí · No · No requerido)</w:t>
            </w:r>
          </w:p>
        </w:tc>
        <w:tc>
          <w:tcPr>
            <w:tcW w:w="1606" w:type="dxa"/>
            <w:shd w:val="clear" w:color="auto" w:fill="F2DFCE"/>
          </w:tcPr>
          <w:p>
            <w:pPr>
              <w:pStyle w:val="Celda"/>
            </w:pPr>
            <w:r>
              <w:rPr>
                <w:b/>
              </w:rPr>
              <w:t xml:space="preserve">Acción pendiente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Condiciones vencidas, aceptaciones caducadas y desacuerdos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Referencia</w:t>
            </w:r>
          </w:p>
        </w:tc>
        <w:tc>
          <w:tcPr>
            <w:tcW w:w="1928" w:type="dxa"/>
            <w:shd w:val="clear" w:color="auto" w:fill="F2DFCE"/>
          </w:tcPr>
          <w:p>
            <w:pPr>
              <w:pStyle w:val="Celda"/>
            </w:pPr>
            <w:r>
              <w:rPr>
                <w:b/>
              </w:rPr>
              <w:t xml:space="preserve">Órgano que la impuso</w:t>
            </w:r>
          </w:p>
        </w:tc>
        <w:tc>
          <w:tcPr>
            <w:tcW w:w="1928" w:type="dxa"/>
            <w:shd w:val="clear" w:color="auto" w:fill="F2DFCE"/>
          </w:tcPr>
          <w:p>
            <w:pPr>
              <w:pStyle w:val="Celda"/>
            </w:pPr>
            <w:r>
              <w:rPr>
                <w:b/>
              </w:rPr>
              <w:t xml:space="preserve">Fecha de vencimiento</w:t>
            </w:r>
          </w:p>
        </w:tc>
        <w:tc>
          <w:tcPr>
            <w:tcW w:w="1928" w:type="dxa"/>
            <w:shd w:val="clear" w:color="auto" w:fill="F2DFCE"/>
          </w:tcPr>
          <w:p>
            <w:pPr>
              <w:pStyle w:val="Celda"/>
            </w:pPr>
            <w:r>
              <w:rPr>
                <w:b/>
              </w:rPr>
              <w:t xml:space="preserve">Tratamiento</w:t>
            </w:r>
          </w:p>
        </w:tc>
      </w:tr>
      <w:tr>
        <w:tc>
          <w:tcPr>
            <w:tcW w:w="1928" w:type="dxa"/>
          </w:tcPr>
          <w:p>
            <w:pPr>
              <w:pStyle w:val="Celda"/>
            </w:pPr>
            <w:r>
              <w:t xml:space="preserve">Condición de </w:t>
            </w:r>
            <w:r>
              <w:rPr>
                <w:i/>
              </w:rPr>
              <w:t xml:space="preserve">gate</w:t>
            </w:r>
            <w:r>
              <w:t xml:space="preserve"> vencida</w:t>
            </w:r>
          </w:p>
        </w:tc>
        <w:tc>
          <w:tcPr>
            <w:tcW w:w="1928" w:type="dxa"/>
          </w:tcPr>
          <w:p>
            <w:pPr>
              <w:pStyle w:val="Celda"/>
            </w:pPr>
            <w:r>
              <w:t xml:space="preserve">P29</w:t>
            </w:r>
          </w:p>
        </w:tc>
        <w:tc>
          <w:tcPr>
            <w:tcW w:w="1928" w:type="dxa"/>
          </w:tcPr>
          <w:p>
            <w:pPr>
              <w:pStyle w:val="Celda"/>
            </w:pPr>
          </w:p>
        </w:tc>
        <w:tc>
          <w:tcPr>
            <w:tcW w:w="1928" w:type="dxa"/>
          </w:tcPr>
          <w:p>
            <w:pPr>
              <w:pStyle w:val="Celda"/>
            </w:pPr>
          </w:p>
        </w:tc>
        <w:tc>
          <w:tcPr>
            <w:tcW w:w="1928" w:type="dxa"/>
          </w:tcPr>
          <w:p>
            <w:pPr>
              <w:pStyle w:val="Celda"/>
            </w:pPr>
            <w:r>
              <w:t xml:space="preserve">Resultado pasa a Iterar (01 §7.4, regla 4).</w:t>
            </w:r>
          </w:p>
        </w:tc>
      </w:tr>
      <w:tr>
        <w:tc>
          <w:tcPr>
            <w:tcW w:w="1928" w:type="dxa"/>
          </w:tcPr>
          <w:p>
            <w:pPr>
              <w:pStyle w:val="Celda"/>
            </w:pPr>
            <w:r>
              <w:t xml:space="preserve">Condición de decisión del consejo vencida</w:t>
            </w:r>
          </w:p>
        </w:tc>
        <w:tc>
          <w:tcPr>
            <w:tcW w:w="1928" w:type="dxa"/>
          </w:tcPr>
          <w:p>
            <w:pPr>
              <w:pStyle w:val="Celda"/>
            </w:pPr>
            <w:r>
              <w:t xml:space="preserve">DEC-AAAA-NNN</w:t>
            </w:r>
          </w:p>
        </w:tc>
        <w:tc>
          <w:tcPr>
            <w:tcW w:w="1928" w:type="dxa"/>
          </w:tcPr>
          <w:p>
            <w:pPr>
              <w:pStyle w:val="Celda"/>
            </w:pPr>
          </w:p>
        </w:tc>
        <w:tc>
          <w:tcPr>
            <w:tcW w:w="1928" w:type="dxa"/>
          </w:tcPr>
          <w:p>
            <w:pPr>
              <w:pStyle w:val="Celda"/>
            </w:pPr>
          </w:p>
        </w:tc>
        <w:tc>
          <w:tcPr>
            <w:tcW w:w="1928" w:type="dxa"/>
          </w:tcPr>
          <w:p>
            <w:pPr>
              <w:pStyle w:val="Celda"/>
            </w:pPr>
            <w:r>
              <w:t xml:space="preserve">Se informa al órgano (62 §10.3).</w:t>
            </w:r>
          </w:p>
        </w:tc>
      </w:tr>
      <w:tr>
        <w:tc>
          <w:tcPr>
            <w:tcW w:w="1928" w:type="dxa"/>
          </w:tcPr>
          <w:p>
            <w:pPr>
              <w:pStyle w:val="Celda"/>
            </w:pPr>
            <w:r>
              <w:t xml:space="preserve">Aceptación de riesgo caducada</w:t>
            </w:r>
          </w:p>
        </w:tc>
        <w:tc>
          <w:tcPr>
            <w:tcW w:w="1928" w:type="dxa"/>
          </w:tcPr>
          <w:p>
            <w:pPr>
              <w:pStyle w:val="Celda"/>
            </w:pPr>
            <w:r>
              <w:t xml:space="preserve">IA-AAAA-NNN · Rnn</w:t>
            </w:r>
          </w:p>
        </w:tc>
        <w:tc>
          <w:tcPr>
            <w:tcW w:w="1928" w:type="dxa"/>
          </w:tcPr>
          <w:p>
            <w:pPr>
              <w:pStyle w:val="Celda"/>
            </w:pPr>
          </w:p>
        </w:tc>
        <w:tc>
          <w:tcPr>
            <w:tcW w:w="1928" w:type="dxa"/>
          </w:tcPr>
          <w:p>
            <w:pPr>
              <w:pStyle w:val="Celda"/>
            </w:pPr>
          </w:p>
        </w:tc>
        <w:tc>
          <w:tcPr>
            <w:tcW w:w="1928" w:type="dxa"/>
          </w:tcPr>
          <w:p>
            <w:pPr>
              <w:pStyle w:val="Celda"/>
            </w:pPr>
            <w:r>
              <w:t xml:space="preserve">El riesgo vuelve a bloquear el </w:t>
            </w:r>
            <w:r>
              <w:rPr>
                <w:i/>
              </w:rPr>
              <w:t xml:space="preserve">gate</w:t>
            </w:r>
            <w:r>
              <w:t xml:space="preserve">.</w:t>
            </w:r>
          </w:p>
        </w:tc>
      </w:tr>
      <w:tr>
        <w:tc>
          <w:tcPr>
            <w:tcW w:w="1928" w:type="dxa"/>
          </w:tcPr>
          <w:p>
            <w:pPr>
              <w:pStyle w:val="Celda"/>
            </w:pPr>
            <w:r>
              <w:t xml:space="preserve">Desacuerdo con el comité de IA (E-13)</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Propuesta de resolución.</w:t>
            </w:r>
          </w:p>
        </w:tc>
      </w:tr>
    </w:tbl>
    <w:p>
      <w:pPr>
        <w:pStyle w:val="Espacio"/>
      </w:pPr>
    </w:p>
    <w:p>
      <w:pPr>
        <w:pStyle w:val="Separador"/>
      </w:pPr>
    </w:p>
    <w:p>
      <w:pPr>
        <w:pStyle w:val="Heading1"/>
      </w:pPr>
      <w:r>
        <w:t xml:space="preserve">11. Propuestas de decisión</w:t>
      </w:r>
    </w:p>
    <w:p>
      <w:r>
        <w:t xml:space="preserve">Cada propuesta con la ficha de decisión de 60 §5.1.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w:t>
            </w:r>
          </w:p>
        </w:tc>
        <w:tc>
          <w:tcPr>
            <w:tcW w:w="1606" w:type="dxa"/>
            <w:shd w:val="clear" w:color="auto" w:fill="F2DFCE"/>
          </w:tcPr>
          <w:p>
            <w:pPr>
              <w:pStyle w:val="Celda"/>
            </w:pPr>
            <w:r>
              <w:rPr>
                <w:b/>
              </w:rPr>
              <w:t xml:space="preserve">Qué se solicita</w:t>
            </w:r>
          </w:p>
        </w:tc>
        <w:tc>
          <w:tcPr>
            <w:tcW w:w="1606" w:type="dxa"/>
            <w:shd w:val="clear" w:color="auto" w:fill="F2DFCE"/>
          </w:tcPr>
          <w:p>
            <w:pPr>
              <w:pStyle w:val="Celda"/>
            </w:pPr>
            <w:r>
              <w:rPr>
                <w:b/>
              </w:rPr>
              <w:t xml:space="preserve">Tipo</w:t>
            </w:r>
          </w:p>
        </w:tc>
        <w:tc>
          <w:tcPr>
            <w:tcW w:w="1606" w:type="dxa"/>
            <w:shd w:val="clear" w:color="auto" w:fill="F2DFCE"/>
          </w:tcPr>
          <w:p>
            <w:pPr>
              <w:pStyle w:val="Celda"/>
            </w:pPr>
            <w:r>
              <w:rPr>
                <w:b/>
              </w:rPr>
              <w:t xml:space="preserve">Respuesta de la segunda línea</w:t>
            </w:r>
          </w:p>
        </w:tc>
        <w:tc>
          <w:tcPr>
            <w:tcW w:w="1606" w:type="dxa"/>
            <w:shd w:val="clear" w:color="auto" w:fill="F2DFCE"/>
          </w:tcPr>
          <w:p>
            <w:pPr>
              <w:pStyle w:val="Celda"/>
            </w:pPr>
            <w:r>
              <w:rPr>
                <w:b/>
              </w:rPr>
              <w:t xml:space="preserve">Opciones</w:t>
            </w:r>
          </w:p>
        </w:tc>
        <w:tc>
          <w:tcPr>
            <w:tcW w:w="1606" w:type="dxa"/>
            <w:shd w:val="clear" w:color="auto" w:fill="F2DFCE"/>
          </w:tcPr>
          <w:p>
            <w:pPr>
              <w:pStyle w:val="Celda"/>
            </w:pPr>
            <w:r>
              <w:rPr>
                <w:b/>
              </w:rPr>
              <w:t xml:space="preserve">Qué ocurre si no se decide</w:t>
            </w:r>
          </w:p>
        </w:tc>
      </w:tr>
      <w:tr>
        <w:tc>
          <w:tcPr>
            <w:tcW w:w="1606" w:type="dxa"/>
          </w:tcPr>
          <w:p>
            <w:pPr>
              <w:pStyle w:val="Celda"/>
            </w:pPr>
            <w:r>
              <w:t xml:space="preserve">DEC-AAAA-NNN</w:t>
            </w:r>
          </w:p>
        </w:tc>
        <w:tc>
          <w:tcPr>
            <w:tcW w:w="1606" w:type="dxa"/>
          </w:tcPr>
          <w:p>
            <w:pPr>
              <w:pStyle w:val="Celda"/>
            </w:pPr>
          </w:p>
        </w:tc>
        <w:tc>
          <w:tcPr>
            <w:tcW w:w="1606" w:type="dxa"/>
          </w:tcPr>
          <w:p>
            <w:pPr>
              <w:pStyle w:val="Celda"/>
            </w:pPr>
            <w:r>
              <w:t xml:space="preserve">Aprobar · Aceptar un riesgo · Tomar conocimiento · Encargar</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riesgos Críticos y Altos, la concentración y los escenarios de cartera están actualizados (33 §10).</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Todos los indicadores de riesgo clave tienen valor y umbral aprobado en C2, o se declara «sin dato».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incidentes S1 y S2 y las no conformidades críticas se informan individualmente (37 §9; 60 §4.6).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excepciones vigentes coinciden con el registro de P40.</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conciliación del inventario se hizo en el trimestre con todas las fuentes de 32 §9.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cambio regulatorio tiene fuente oficial y fecha de consulta.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propuestas de decisión se pueden aprobar o rechazar tal como están escritas.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distinguen hechos confirmados de valoraciones en curso.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Coordinador de segunda línea para la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datos</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 consultada</w:t>
            </w:r>
          </w:p>
        </w:tc>
        <w:tc>
          <w:tcPr>
            <w:tcW w:w="1928" w:type="dxa"/>
          </w:tcPr>
          <w:p>
            <w:pPr>
              <w:pStyle w:val="Celda"/>
            </w:pPr>
            <w:r>
              <w:t xml:space="preserve">Tercera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Conoce y añade su posición</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Supervisa y decide</w:t>
            </w:r>
          </w:p>
        </w:tc>
        <w:tc>
          <w:tcPr>
            <w:tcW w:w="1928" w:type="dxa"/>
          </w:tcPr>
          <w:p>
            <w:pPr>
              <w:pStyle w:val="Celda"/>
            </w:pPr>
            <w:r>
              <w:t xml:space="preserve">Comisión delegada</w:t>
            </w:r>
          </w:p>
        </w:tc>
        <w:tc>
          <w:tcPr>
            <w:tcW w:w="1928" w:type="dxa"/>
          </w:tcPr>
          <w:p>
            <w:pPr>
              <w:pStyle w:val="Celda"/>
            </w:pPr>
          </w:p>
        </w:tc>
        <w:tc>
          <w:tcPr>
            <w:tcW w:w="1928" w:type="dxa"/>
          </w:tcPr>
          <w:p>
            <w:pPr>
              <w:pStyle w:val="Celda"/>
            </w:pPr>
          </w:p>
        </w:tc>
        <w:tc>
          <w:tcPr>
            <w:tcW w:w="1928" w:type="dxa"/>
          </w:tcPr>
          <w:p>
            <w:pPr>
              <w:pStyle w:val="Celda"/>
            </w:pPr>
            <w:r>
              <w:t xml:space="preserve">Sesión y acuerdo (P39)</w:t>
            </w:r>
          </w:p>
        </w:tc>
      </w:tr>
    </w:tbl>
    <w:p>
      <w:pPr>
        <w:pStyle w:val="Espacio"/>
      </w:pPr>
    </w:p>
    <w:p>
      <w:r>
        <w:t xml:space="preserve">Separación de funciones: la segunda línea informa con independencia de las áreas que patrocinan la cartera; el comité de IA puede añadir su posición, pero no modifica el informe.</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la información trimestral de riesgos (33 §10–12), incidentes y no conformidades (37 §9), excepciones (30 §7.4), conciliación del inventario (32 §9) y cambios regulatorios (34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P42 · Informe trimestral de segunda línea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P42 · Informe trimestral de segunda línea</dc:title>
  <dc:creator>Fernando García Varela</dc:creator>
  <dc:language>es</dc:language>
  <dc:description>sha256:52906b230122b17d1ccac477f3a689e7fb6171a111bc1600dd4d74b5dc864360</dc:description>
  <cp:keywords>SEVEN-G</cp:keywords>
</cp:coreProperties>
</file>