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governance profile (NIST AI RMF)</w:t>
      </w:r>
    </w:p>
    <w:p>
      <w:r>
        <w:rPr>
          <w:b/>
        </w:rPr>
        <w:t xml:space="preserve">Describes, for each NIST AI RMF subcategory, the current level with its evidence, the target level set by the company, the gap and the action that closes it, on the SEVEN-G 0–5 scale.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P73 · AI governance profile (NIST AI RMF)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NIST AI RMF organises AI governance into verifiable outcomes, but it does not set a scale to measure how far each one has progressed. This profile uses the SEVEN-G maturity scale and derives each level from the already verified questionnaire of document 11: the board sees a single number per outcome, the characteristics of trustworthy AI (bias, transparency, accountability, human oversight) are visible and the gap against the target turns into actions with an owner, without a second assessment.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and when the company wants to report with the NIST AI RMF to its risk committee, a customer or a supervisor.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on the basis of the P34 answer sheet; the "Own" subcategories are assessed by the same assessment team with the rules in 11 §4.</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who also reviews all "Own" subcategories at level 3 or above.</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and the proposed target levels; the board or its board committee approves the target levels in C2.</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w:t>
            </w:r>
          </w:p>
        </w:tc>
      </w:tr>
      <w:tr>
        <w:tc>
          <w:tcPr>
            <w:tcW w:w="4819" w:type="dxa"/>
          </w:tcPr>
          <w:p>
            <w:pPr>
              <w:pStyle w:val="Celda"/>
            </w:pPr>
            <w:r>
              <w:rPr>
                <w:b/>
              </w:rPr>
              <w:t xml:space="preserve">Tool</w:t>
            </w:r>
          </w:p>
        </w:tc>
        <w:tc>
          <w:tcPr>
            <w:tcW w:w="4819" w:type="dxa"/>
          </w:tcPr>
          <w:p>
            <w:pPr>
              <w:pStyle w:val="Celda"/>
            </w:pPr>
            <w:r>
              <w:t xml:space="preserve">T15 · Maturity assessment provides the answers and the level of each dimension; in version 0.x, the profile is completed in this template or in its Word version.</w:t>
            </w:r>
          </w:p>
        </w:tc>
      </w:tr>
      <w:tr>
        <w:tc>
          <w:tcPr>
            <w:tcW w:w="4819" w:type="dxa"/>
          </w:tcPr>
          <w:p>
            <w:pPr>
              <w:pStyle w:val="Celda"/>
            </w:pPr>
            <w:r>
              <w:rPr>
                <w:b/>
              </w:rPr>
              <w:t xml:space="preserve">Reference document</w:t>
            </w:r>
          </w:p>
        </w:tc>
        <w:tc>
          <w:tcPr>
            <w:tcW w:w="4819" w:type="dxa"/>
          </w:tcPr>
          <w:p>
            <w:pPr>
              <w:pStyle w:val="Celda"/>
            </w:pPr>
            <w:r>
              <w:t xml:space="preserve">Document 34 §5.4 (subcategories, coverage in SEVEN-G and associated questions); document 11 §2.2 (levels and equivalence with </w:t>
            </w:r>
            <w:r>
              <w:rPr>
                <w:i/>
              </w:rPr>
              <w:t xml:space="preserve">tiers</w:t>
            </w:r>
            <w:r>
              <w:t xml:space="preserve">) and §7.5 (derivation rule).</w:t>
            </w:r>
          </w:p>
        </w:tc>
      </w:tr>
      <w:tr>
        <w:tc>
          <w:tcPr>
            <w:tcW w:w="4819" w:type="dxa"/>
          </w:tcPr>
          <w:p>
            <w:pPr>
              <w:pStyle w:val="Celda"/>
            </w:pPr>
            <w:r>
              <w:rPr>
                <w:b/>
              </w:rPr>
              <w:t xml:space="preserve">Lite versus Enterprise</w:t>
            </w:r>
          </w:p>
        </w:tc>
        <w:tc>
          <w:tcPr>
            <w:tcW w:w="4819" w:type="dxa"/>
          </w:tcPr>
          <w:p>
            <w:pPr>
              <w:pStyle w:val="Celda"/>
            </w:pPr>
            <w:r>
              <w:t xml:space="preserve">In Lite scope the company may select only the GOVERN subcategories and those that correspond to its Enterprise initiatives, and leave the others out of the profile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the level of the reference dimension, lowered to the level below that of the lowest-level associated question that is not at "Yes" or "Not applicable". For "Own" subcategories, the level evidenced, without exceeding the level of its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 which is not 0.</w:t>
      </w:r>
    </w:p>
    <w:p>
      <w:pPr>
        <w:pStyle w:val="Lista"/>
      </w:pPr>
      <w:r>
        <w:t xml:space="preserve">• </w:t>
      </w:r>
      <w:r>
        <w:rPr>
          <w:b/>
        </w:rPr>
        <w:t xml:space="preserve">Evidence</w:t>
      </w:r>
      <w:r>
        <w:t xml:space="preserve">: for derived subcategories it is enough to cite the P34 questions and their answer; for "Own" ones, the traceable reference to the evidence (author, date and version). P34 evidence is not copied here.</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never a separate data item.</w:t>
      </w:r>
    </w:p>
    <w:p>
      <w:pPr>
        <w:pStyle w:val="Lista"/>
      </w:pPr>
      <w:r>
        <w:t xml:space="preserve">• The description of each subcategory is in 34 §5.4; the NIST text is not reproduced here.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The same as the maturity assessment from which it is derived.</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PG-YYYY-MM.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AI RMF version</w:t>
            </w:r>
          </w:p>
        </w:tc>
        <w:tc>
          <w:tcPr>
            <w:tcW w:w="3213" w:type="dxa"/>
          </w:tcPr>
          <w:p>
            <w:pPr>
              <w:pStyle w:val="Celda"/>
            </w:pPr>
          </w:p>
        </w:tc>
        <w:tc>
          <w:tcPr>
            <w:tcW w:w="3213" w:type="dxa"/>
          </w:tcPr>
          <w:p>
            <w:pPr>
              <w:pStyle w:val="Celda"/>
            </w:pPr>
            <w:r>
              <w:t xml:space="preserve">NIST AI 100-1, version 1.0, until NIST publishes another.</w:t>
            </w:r>
          </w:p>
        </w:tc>
      </w:tr>
      <w:tr>
        <w:tc>
          <w:tcPr>
            <w:tcW w:w="3213" w:type="dxa"/>
          </w:tcPr>
          <w:p>
            <w:pPr>
              <w:pStyle w:val="Celda"/>
            </w:pPr>
            <w:r>
              <w:t xml:space="preserve">Selected subcategories</w:t>
            </w:r>
          </w:p>
        </w:tc>
        <w:tc>
          <w:tcPr>
            <w:tcW w:w="3213" w:type="dxa"/>
          </w:tcPr>
          <w:p>
            <w:pPr>
              <w:pStyle w:val="Celda"/>
            </w:pPr>
          </w:p>
        </w:tc>
        <w:tc>
          <w:tcPr>
            <w:tcW w:w="3213" w:type="dxa"/>
          </w:tcPr>
          <w:p>
            <w:pPr>
              <w:pStyle w:val="Celda"/>
            </w:pPr>
            <w:r>
              <w:t xml:space="preserve">By default, all 72; excluded ones are listed with their reason in section 7.</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GOVERN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Own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Own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at 3; D6.05 at "Partial": third-party systems missing from the inventory.</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MEASURE 2.11</w:t>
            </w:r>
          </w:p>
        </w:tc>
        <w:tc>
          <w:tcPr>
            <w:tcW w:w="1205" w:type="dxa"/>
          </w:tcPr>
          <w:p>
            <w:pPr>
              <w:pStyle w:val="Celda"/>
            </w:pPr>
            <w:r>
              <w:t xml:space="preserve">Own (D6)</w:t>
            </w:r>
          </w:p>
        </w:tc>
        <w:tc>
          <w:tcPr>
            <w:tcW w:w="1205" w:type="dxa"/>
          </w:tcPr>
          <w:p>
            <w:pPr>
              <w:pStyle w:val="Celda"/>
            </w:pPr>
            <w:r>
              <w:t xml:space="preserve">2</w:t>
            </w:r>
          </w:p>
        </w:tc>
        <w:tc>
          <w:tcPr>
            <w:tcW w:w="1205" w:type="dxa"/>
          </w:tcPr>
          <w:p>
            <w:pPr>
              <w:pStyle w:val="Celda"/>
            </w:pPr>
            <w:r>
              <w:t xml:space="preserve">Bias tests with counterfactual pairs in two of five initiatives with decisions about people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Characteristics of trustworthy AI</w:t>
      </w:r>
    </w:p>
    <w:p>
      <w:r>
        <w:t xml:space="preserve">The AI RMF describes seven characteristics of trustworthy AI. This table makes them visible to the board: it takes the </w:t>
      </w:r>
      <w:r>
        <w:rPr>
          <w:b/>
        </w:rPr>
        <w:t xml:space="preserve">lowest</w:t>
      </w:r>
      <w:r>
        <w:t xml:space="preserve"> level of the subcategories that assess them most directly.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Characteristic</w:t>
            </w:r>
          </w:p>
        </w:tc>
        <w:tc>
          <w:tcPr>
            <w:tcW w:w="1928" w:type="dxa"/>
            <w:shd w:val="clear" w:color="auto" w:fill="F2DFCE"/>
          </w:tcPr>
          <w:p>
            <w:pPr>
              <w:pStyle w:val="Celda"/>
            </w:pPr>
            <w:r>
              <w:rPr>
                <w:b/>
              </w:rPr>
              <w:t xml:space="preserve">Subcategories that assess it</w:t>
            </w:r>
          </w:p>
        </w:tc>
        <w:tc>
          <w:tcPr>
            <w:tcW w:w="1928" w:type="dxa"/>
            <w:shd w:val="clear" w:color="auto" w:fill="F2DFCE"/>
          </w:tcPr>
          <w:p>
            <w:pPr>
              <w:pStyle w:val="Celda"/>
            </w:pPr>
            <w:r>
              <w:rPr>
                <w:b/>
              </w:rPr>
              <w:t xml:space="preserve">Current level (minimum)</w:t>
            </w:r>
          </w:p>
        </w:tc>
        <w:tc>
          <w:tcPr>
            <w:tcW w:w="1928" w:type="dxa"/>
            <w:shd w:val="clear" w:color="auto" w:fill="F2DFCE"/>
          </w:tcPr>
          <w:p>
            <w:pPr>
              <w:pStyle w:val="Celda"/>
            </w:pPr>
            <w:r>
              <w:rPr>
                <w:b/>
              </w:rPr>
              <w:t xml:space="preserve">Target level</w:t>
            </w:r>
          </w:p>
        </w:tc>
        <w:tc>
          <w:tcPr>
            <w:tcW w:w="1928" w:type="dxa"/>
            <w:shd w:val="clear" w:color="auto" w:fill="F2DFCE"/>
          </w:tcPr>
          <w:p>
            <w:pPr>
              <w:pStyle w:val="Celda"/>
            </w:pPr>
            <w:r>
              <w:rPr>
                <w:b/>
              </w:rPr>
              <w:t xml:space="preserve">Gap</w:t>
            </w:r>
          </w:p>
        </w:tc>
      </w:tr>
      <w:tr>
        <w:tc>
          <w:tcPr>
            <w:tcW w:w="1928" w:type="dxa"/>
          </w:tcPr>
          <w:p>
            <w:pPr>
              <w:pStyle w:val="Celda"/>
            </w:pPr>
            <w:r>
              <w:t xml:space="preserve">Valid and reliable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Safe for people (free from harm)</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Secure and resilient against attacks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and transparent</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Explainable and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Privacy-enhanced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Fair, with harmful bias managed</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Human oversight</w:t>
            </w:r>
            <w:r>
              <w:t xml:space="preserve"> (cross-cutting)</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Subcategories excluded from the profile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Subcategory</w:t>
            </w:r>
          </w:p>
        </w:tc>
        <w:tc>
          <w:tcPr>
            <w:tcW w:w="3213" w:type="dxa"/>
            <w:shd w:val="clear" w:color="auto" w:fill="F2DFCE"/>
          </w:tcPr>
          <w:p>
            <w:pPr>
              <w:pStyle w:val="Celda"/>
            </w:pPr>
            <w:r>
              <w:rPr>
                <w:b/>
              </w:rPr>
              <w:t xml:space="preserve">Reason for exclusion</w:t>
            </w:r>
          </w:p>
        </w:tc>
        <w:tc>
          <w:tcPr>
            <w:tcW w:w="3213" w:type="dxa"/>
            <w:shd w:val="clear" w:color="auto" w:fill="F2DFCE"/>
          </w:tcPr>
          <w:p>
            <w:pPr>
              <w:pStyle w:val="Celda"/>
            </w:pPr>
            <w:r>
              <w:rPr>
                <w:b/>
              </w:rPr>
              <w:t xml:space="preserve">Who decides it</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Summary by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Selected subcategories</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Action plan</w:t>
      </w:r>
    </w:p>
    <w:p>
      <w:r>
        <w:t xml:space="preserve">Actions are added to the improvement plan of the maturity report (P34 §6.6) with the same code; here they are only linked to the subcategories they close.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Subcategories</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Closure criterion</w:t>
            </w:r>
          </w:p>
        </w:tc>
      </w:tr>
      <w:tr>
        <w:tc>
          <w:tcPr>
            <w:tcW w:w="1606" w:type="dxa"/>
          </w:tcPr>
          <w:p>
            <w:pPr>
              <w:pStyle w:val="Celda"/>
            </w:pPr>
            <w:r>
              <w:t xml:space="preserve">AM-YYYY-NN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AM-2026-03</w:t>
            </w:r>
          </w:p>
        </w:tc>
        <w:tc>
          <w:tcPr>
            <w:tcW w:w="1606" w:type="dxa"/>
          </w:tcPr>
          <w:p>
            <w:pPr>
              <w:pStyle w:val="Celda"/>
            </w:pPr>
            <w:r>
              <w:t xml:space="preserve">MEASURE 2.11</w:t>
            </w:r>
          </w:p>
        </w:tc>
        <w:tc>
          <w:tcPr>
            <w:tcW w:w="1606" w:type="dxa"/>
          </w:tcPr>
          <w:p>
            <w:pPr>
              <w:pStyle w:val="Celda"/>
            </w:pPr>
            <w:r>
              <w:t xml:space="preserve">Apply bias tests with counterfactual pairs to all initiatives with decisions about people, with a threshold in P17.</w:t>
            </w:r>
          </w:p>
        </w:tc>
        <w:tc>
          <w:tcPr>
            <w:tcW w:w="1606" w:type="dxa"/>
          </w:tcPr>
          <w:p>
            <w:pPr>
              <w:pStyle w:val="Celda"/>
            </w:pPr>
            <w:r>
              <w:t xml:space="preserve">AI Risk Owner</w:t>
            </w:r>
          </w:p>
        </w:tc>
        <w:tc>
          <w:tcPr>
            <w:tcW w:w="1606" w:type="dxa"/>
          </w:tcPr>
          <w:p>
            <w:pPr>
              <w:pStyle w:val="Celda"/>
            </w:pPr>
            <w:r>
              <w:t xml:space="preserve">31-12-2026</w:t>
            </w:r>
          </w:p>
        </w:tc>
        <w:tc>
          <w:tcPr>
            <w:tcW w:w="1606" w:type="dxa"/>
          </w:tcPr>
          <w:p>
            <w:pPr>
              <w:pStyle w:val="Celda"/>
            </w:pPr>
            <w:r>
              <w:t xml:space="preserve">Subcategory at level 3 with verified evidence in the next assessment.</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§5.4; no level has been set by hand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"Own" subcategory exceeds the level of its reference dimension.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target levels are approved in C2 and proportionate to ambition and risk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equivalent </w:t>
            </w:r>
            <w:r>
              <w:rPr>
                <w:i/>
              </w:rPr>
              <w:t xml:space="preserve">tier</w:t>
            </w:r>
            <w:r>
              <w:t xml:space="preserve"> has been calculated with the table in 11 §2.2 and is not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responsible for a dimension does not assess its subcategories; the verifier has not taken part in the assessment.</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72 subcategories of the NIST AI RMF 1.0 on the 0–5 scale of document 11, with the level derived from the questionnaire (11 §7.5), the gap, the equivalent </w:t>
            </w:r>
            <w:r>
              <w:rPr>
                <w:i/>
              </w:rPr>
              <w:t xml:space="preserve">tier</w:t>
            </w:r>
            <w:r>
              <w:t xml:space="preserve"> as a view, the seven characteristics of trustworthy AI plus human oversight and the action plan linked to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P73 · AI governance profile (NIST AI RMF)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AI governance profile (NIST AI RMF)</dc:title>
  <dc:creator>Fernando García Varela</dc:creator>
  <dc:language>en</dc:language>
  <dc:description>sha256:e4a4f305780d9e6b11309147a87c342f3e29ae9d012bef83afb0e40673bf57fd</dc:description>
  <cp:keywords>SEVEN-G</cp:keywords>
</cp:coreProperties>
</file>