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Baseline</w:t>
      </w:r>
    </w:p>
    <w:p>
      <w:r>
        <w:rPr>
          <w:b/>
        </w:rPr>
        <w:t xml:space="preserve">Measures the starting position of the value hypothesis metrics, with a reproducible method, so that subsequent value is incremental and verifiable.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P09 · Baseline</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2, before G2, in parallel with the value hypothesis canvas (P08). The baseline is frozen at G2 and used in phases 5, 6 and 7.</w:t>
            </w:r>
          </w:p>
        </w:tc>
      </w:tr>
      <w:tr>
        <w:tc>
          <w:tcPr>
            <w:tcW w:w="4819" w:type="dxa"/>
          </w:tcPr>
          <w:p>
            <w:pPr>
              <w:pStyle w:val="Celda"/>
            </w:pPr>
            <w:r>
              <w:rPr>
                <w:b/>
              </w:rPr>
              <w:t xml:space="preserve">Who completes it</w:t>
            </w:r>
          </w:p>
        </w:tc>
        <w:tc>
          <w:tcPr>
            <w:tcW w:w="4819" w:type="dxa"/>
          </w:tcPr>
          <w:p>
            <w:pPr>
              <w:pStyle w:val="Celda"/>
            </w:pPr>
            <w:r>
              <w:t xml:space="preserve">The AI Product Owner, with the owner of the process data. Management control reviews the unit values.</w:t>
            </w:r>
          </w:p>
        </w:tc>
      </w:tr>
      <w:tr>
        <w:tc>
          <w:tcPr>
            <w:tcW w:w="4819" w:type="dxa"/>
          </w:tcPr>
          <w:p>
            <w:pPr>
              <w:pStyle w:val="Celda"/>
            </w:pPr>
            <w:r>
              <w:rPr>
                <w:b/>
              </w:rPr>
              <w:t xml:space="preserve">Who verifies it</w:t>
            </w:r>
          </w:p>
        </w:tc>
        <w:tc>
          <w:tcPr>
            <w:tcW w:w="4819" w:type="dxa"/>
          </w:tcPr>
          <w:p>
            <w:pPr>
              <w:pStyle w:val="Celda"/>
            </w:pPr>
            <w:r>
              <w:t xml:space="preserve">Lite: AI Office. Enterprise: AI Auditor.</w:t>
            </w:r>
          </w:p>
        </w:tc>
      </w:tr>
      <w:tr>
        <w:tc>
          <w:tcPr>
            <w:tcW w:w="4819" w:type="dxa"/>
          </w:tcPr>
          <w:p>
            <w:pPr>
              <w:pStyle w:val="Celda"/>
            </w:pPr>
            <w:r>
              <w:rPr>
                <w:b/>
              </w:rPr>
              <w:t xml:space="preserve">Who decides</w:t>
            </w:r>
          </w:p>
        </w:tc>
        <w:tc>
          <w:tcPr>
            <w:tcW w:w="4819" w:type="dxa"/>
          </w:tcPr>
          <w:p>
            <w:pPr>
              <w:pStyle w:val="Celda"/>
            </w:pPr>
            <w:r>
              <w:t xml:space="preserve">It is approved with G2: sponsor (Lite) · AI Committee (Enterprise).</w:t>
            </w:r>
          </w:p>
        </w:tc>
      </w:tr>
      <w:tr>
        <w:tc>
          <w:tcPr>
            <w:tcW w:w="4819" w:type="dxa"/>
          </w:tcPr>
          <w:p>
            <w:pPr>
              <w:pStyle w:val="Celda"/>
            </w:pPr>
            <w:r>
              <w:rPr>
                <w:b/>
              </w:rPr>
              <w:t xml:space="preserve">Gate at which it is reviewed</w:t>
            </w:r>
          </w:p>
        </w:tc>
        <w:tc>
          <w:tcPr>
            <w:tcW w:w="4819" w:type="dxa"/>
          </w:tcPr>
          <w:p>
            <w:pPr>
              <w:pStyle w:val="Celda"/>
            </w:pPr>
            <w:r>
              <w:t xml:space="preserve">G2 · Hypothesis. It is consulted again at G5, R6 and G7.</w:t>
            </w:r>
          </w:p>
        </w:tc>
      </w:tr>
      <w:tr>
        <w:tc>
          <w:tcPr>
            <w:tcW w:w="4819" w:type="dxa"/>
          </w:tcPr>
          <w:p>
            <w:pPr>
              <w:pStyle w:val="Celda"/>
            </w:pPr>
            <w:r>
              <w:rPr>
                <w:b/>
              </w:rPr>
              <w:t xml:space="preserve">Tool</w:t>
            </w:r>
          </w:p>
        </w:tc>
        <w:tc>
          <w:tcPr>
            <w:tcW w:w="4819" w:type="dxa"/>
          </w:tcPr>
          <w:p>
            <w:pPr>
              <w:pStyle w:val="Celda"/>
            </w:pPr>
            <w:r>
              <w:t xml:space="preserve">T11 · Value hypothesis canvas and calculator.</w:t>
            </w:r>
          </w:p>
        </w:tc>
      </w:tr>
      <w:tr>
        <w:tc>
          <w:tcPr>
            <w:tcW w:w="4819" w:type="dxa"/>
          </w:tcPr>
          <w:p>
            <w:pPr>
              <w:pStyle w:val="Celda"/>
            </w:pPr>
            <w:r>
              <w:rPr>
                <w:b/>
              </w:rPr>
              <w:t xml:space="preserve">Lite versus Enterprise</w:t>
            </w:r>
          </w:p>
        </w:tc>
        <w:tc>
          <w:tcPr>
            <w:tcW w:w="4819" w:type="dxa"/>
          </w:tcPr>
          <w:p>
            <w:pPr>
              <w:pStyle w:val="Celda"/>
            </w:pPr>
            <w:r>
              <w:t xml:space="preserve">Lite may omit the fields and blocks marked </w:t>
            </w:r>
            <w:r>
              <w:rPr>
                <w:b/>
              </w:rPr>
              <w:t xml:space="preserve">(Enterprise)</w:t>
            </w:r>
            <w:r>
              <w:t xml:space="preserve">. The definition of metrics, the period, the method and the results are mandatory in both.</w:t>
            </w:r>
          </w:p>
        </w:tc>
      </w:tr>
    </w:tbl>
    <w:p>
      <w:pPr>
        <w:pStyle w:val="Espacio"/>
      </w:pPr>
    </w:p>
    <w:p>
      <w:r>
        <w:t xml:space="preserve">Completion rules:</w:t>
      </w:r>
    </w:p>
    <w:p>
      <w:pPr>
        <w:pStyle w:val="Lista"/>
      </w:pPr>
      <w:r>
        <w:t xml:space="preserve">• The baseline is </w:t>
      </w:r>
      <w:r>
        <w:rPr>
          <w:b/>
        </w:rPr>
        <w:t xml:space="preserve">measured</w:t>
      </w:r>
      <w:r>
        <w:t xml:space="preserve">; it is only estimated if it is justified why it cannot be measured and how this will be corrected (01 §6.4).</w:t>
      </w:r>
    </w:p>
    <w:p>
      <w:pPr>
        <w:pStyle w:val="Lista"/>
      </w:pPr>
      <w:r>
        <w:t xml:space="preserve">• "No data" is not zero: missing data is shown as missing and is never filled in without saying so (rule 8).</w:t>
      </w:r>
    </w:p>
    <w:p>
      <w:pPr>
        <w:pStyle w:val="Lista"/>
      </w:pPr>
      <w:r>
        <w:t xml:space="preserve">• The metrics must be </w:t>
      </w:r>
      <w:r>
        <w:rPr>
          <w:b/>
        </w:rPr>
        <w:t xml:space="preserve">the same</w:t>
      </w:r>
      <w:r>
        <w:t xml:space="preserve">, with the same definition, as those that will be used to measure the result.</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Version of the associated canvas</w:t>
            </w:r>
          </w:p>
        </w:tc>
        <w:tc>
          <w:tcPr>
            <w:tcW w:w="3213" w:type="dxa"/>
          </w:tcPr>
          <w:p>
            <w:pPr>
              <w:pStyle w:val="Celda"/>
            </w:pPr>
          </w:p>
        </w:tc>
        <w:tc>
          <w:tcPr>
            <w:tcW w:w="3213" w:type="dxa"/>
          </w:tcPr>
          <w:p>
            <w:pPr>
              <w:pStyle w:val="Celda"/>
            </w:pPr>
            <w:r>
              <w:t xml:space="preserve">Version of P08 to which this baseline corresponds.</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r>
        <w:tc>
          <w:tcPr>
            <w:tcW w:w="3213" w:type="dxa"/>
          </w:tcPr>
          <w:p>
            <w:pPr>
              <w:pStyle w:val="Celda"/>
            </w:pPr>
            <w:r>
              <w:t xml:space="preserve">Freeze date</w:t>
            </w:r>
          </w:p>
        </w:tc>
        <w:tc>
          <w:tcPr>
            <w:tcW w:w="3213" w:type="dxa"/>
          </w:tcPr>
          <w:p>
            <w:pPr>
              <w:pStyle w:val="Celda"/>
            </w:pPr>
          </w:p>
        </w:tc>
        <w:tc>
          <w:tcPr>
            <w:tcW w:w="3213" w:type="dxa"/>
          </w:tcPr>
          <w:p>
            <w:pPr>
              <w:pStyle w:val="Celda"/>
            </w:pPr>
            <w:r>
              <w:t xml:space="preserve">Date of G2. Thereafter it is only modified in accordance with section 9.</w:t>
            </w:r>
          </w:p>
        </w:tc>
      </w:tr>
    </w:tbl>
    <w:p>
      <w:pPr>
        <w:pStyle w:val="Espacio"/>
      </w:pPr>
    </w:p>
    <w:p>
      <w:pPr>
        <w:pStyle w:val="Separador"/>
      </w:pPr>
    </w:p>
    <w:p>
      <w:pPr>
        <w:pStyle w:val="Heading1"/>
      </w:pPr>
      <w:r>
        <w:t xml:space="preserve">3. Definition of the metrics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Metric</w:t>
            </w:r>
          </w:p>
        </w:tc>
        <w:tc>
          <w:tcPr>
            <w:tcW w:w="1377" w:type="dxa"/>
            <w:shd w:val="clear" w:color="auto" w:fill="F2DFCE"/>
          </w:tcPr>
          <w:p>
            <w:pPr>
              <w:pStyle w:val="Celda"/>
            </w:pPr>
            <w:r>
              <w:rPr>
                <w:b/>
              </w:rPr>
              <w:t xml:space="preserve">Type</w:t>
            </w:r>
          </w:p>
        </w:tc>
        <w:tc>
          <w:tcPr>
            <w:tcW w:w="1377" w:type="dxa"/>
            <w:shd w:val="clear" w:color="auto" w:fill="F2DFCE"/>
          </w:tcPr>
          <w:p>
            <w:pPr>
              <w:pStyle w:val="Celda"/>
            </w:pPr>
            <w:r>
              <w:rPr>
                <w:b/>
              </w:rPr>
              <w:t xml:space="preserve">Operational definition</w:t>
            </w:r>
          </w:p>
        </w:tc>
        <w:tc>
          <w:tcPr>
            <w:tcW w:w="1377" w:type="dxa"/>
            <w:shd w:val="clear" w:color="auto" w:fill="F2DFCE"/>
          </w:tcPr>
          <w:p>
            <w:pPr>
              <w:pStyle w:val="Celda"/>
            </w:pPr>
            <w:r>
              <w:rPr>
                <w:b/>
              </w:rPr>
              <w:t xml:space="preserve">Formula</w:t>
            </w:r>
          </w:p>
        </w:tc>
        <w:tc>
          <w:tcPr>
            <w:tcW w:w="1377" w:type="dxa"/>
            <w:shd w:val="clear" w:color="auto" w:fill="F2DFCE"/>
          </w:tcPr>
          <w:p>
            <w:pPr>
              <w:pStyle w:val="Celda"/>
            </w:pPr>
            <w:r>
              <w:rPr>
                <w:b/>
              </w:rPr>
              <w:t xml:space="preserve">Unit</w:t>
            </w:r>
          </w:p>
        </w:tc>
        <w:tc>
          <w:tcPr>
            <w:tcW w:w="1377" w:type="dxa"/>
            <w:shd w:val="clear" w:color="auto" w:fill="F2DFCE"/>
          </w:tcPr>
          <w:p>
            <w:pPr>
              <w:pStyle w:val="Celda"/>
            </w:pPr>
            <w:r>
              <w:rPr>
                <w:b/>
              </w:rPr>
              <w:t xml:space="preserve">Data source</w:t>
            </w:r>
          </w:p>
        </w:tc>
        <w:tc>
          <w:tcPr>
            <w:tcW w:w="1377" w:type="dxa"/>
            <w:shd w:val="clear" w:color="auto" w:fill="F2DFCE"/>
          </w:tcPr>
          <w:p>
            <w:pPr>
              <w:pStyle w:val="Celda"/>
            </w:pPr>
            <w:r>
              <w:rPr>
                <w:b/>
              </w:rPr>
              <w:t xml:space="preserve">Data owner</w:t>
            </w:r>
          </w:p>
        </w:tc>
      </w:tr>
      <w:tr>
        <w:tc>
          <w:tcPr>
            <w:tcW w:w="1377" w:type="dxa"/>
          </w:tcPr>
          <w:p>
            <w:pPr>
              <w:pStyle w:val="Celda"/>
            </w:pPr>
          </w:p>
        </w:tc>
        <w:tc>
          <w:tcPr>
            <w:tcW w:w="1377" w:type="dxa"/>
          </w:tcPr>
          <w:p>
            <w:pPr>
              <w:pStyle w:val="Celda"/>
            </w:pPr>
            <w:r>
              <w:t xml:space="preserve">Main · Secondary · Safeguard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Average time to first response</w:t>
            </w:r>
          </w:p>
        </w:tc>
        <w:tc>
          <w:tcPr>
            <w:tcW w:w="1377" w:type="dxa"/>
          </w:tcPr>
          <w:p>
            <w:pPr>
              <w:pStyle w:val="Celda"/>
            </w:pPr>
            <w:r>
              <w:t xml:space="preserve">Secondary</w:t>
            </w:r>
          </w:p>
        </w:tc>
        <w:tc>
          <w:tcPr>
            <w:tcW w:w="1377" w:type="dxa"/>
          </w:tcPr>
          <w:p>
            <w:pPr>
              <w:pStyle w:val="Celda"/>
            </w:pPr>
            <w:r>
              <w:t xml:space="preserve">Hours from receipt of the query to the first useful response to the customer</w:t>
            </w:r>
          </w:p>
        </w:tc>
        <w:tc>
          <w:tcPr>
            <w:tcW w:w="1377" w:type="dxa"/>
          </w:tcPr>
          <w:p>
            <w:pPr>
              <w:pStyle w:val="Celda"/>
            </w:pPr>
            <w:r>
              <w:t xml:space="preserve">Sum of times ÷ no. of queries</w:t>
            </w:r>
          </w:p>
        </w:tc>
        <w:tc>
          <w:tcPr>
            <w:tcW w:w="1377" w:type="dxa"/>
          </w:tcPr>
          <w:p>
            <w:pPr>
              <w:pStyle w:val="Celda"/>
            </w:pPr>
            <w:r>
              <w:t xml:space="preserve">hours</w:t>
            </w:r>
          </w:p>
        </w:tc>
        <w:tc>
          <w:tcPr>
            <w:tcW w:w="1377" w:type="dxa"/>
          </w:tcPr>
          <w:p>
            <w:pPr>
              <w:pStyle w:val="Celda"/>
            </w:pPr>
            <w:r>
              <w:t xml:space="preserve">Customer service tool</w:t>
            </w:r>
          </w:p>
        </w:tc>
        <w:tc>
          <w:tcPr>
            <w:tcW w:w="1377" w:type="dxa"/>
          </w:tcPr>
          <w:p>
            <w:pPr>
              <w:pStyle w:val="Celda"/>
            </w:pPr>
            <w:r>
              <w:t xml:space="preserve">Head of customer service operations</w:t>
            </w:r>
          </w:p>
        </w:tc>
      </w:tr>
      <w:tr>
        <w:tc>
          <w:tcPr>
            <w:tcW w:w="1377" w:type="dxa"/>
          </w:tcPr>
          <w:p>
            <w:pPr>
              <w:pStyle w:val="Celda"/>
            </w:pPr>
            <w:r>
              <w:rPr>
                <w:i/>
              </w:rPr>
              <w:t xml:space="preserve">(illustrative example)</w:t>
            </w:r>
            <w:r>
              <w:t xml:space="preserve"> External customer service hours</w:t>
            </w:r>
          </w:p>
        </w:tc>
        <w:tc>
          <w:tcPr>
            <w:tcW w:w="1377" w:type="dxa"/>
          </w:tcPr>
          <w:p>
            <w:pPr>
              <w:pStyle w:val="Celda"/>
            </w:pPr>
            <w:r>
              <w:t xml:space="preserve">Main (economic)</w:t>
            </w:r>
          </w:p>
        </w:tc>
        <w:tc>
          <w:tcPr>
            <w:tcW w:w="1377" w:type="dxa"/>
          </w:tcPr>
          <w:p>
            <w:pPr>
              <w:pStyle w:val="Celda"/>
            </w:pPr>
            <w:r>
              <w:t xml:space="preserve">Hours invoiced by the external customer service supplier</w:t>
            </w:r>
          </w:p>
        </w:tc>
        <w:tc>
          <w:tcPr>
            <w:tcW w:w="1377" w:type="dxa"/>
          </w:tcPr>
          <w:p>
            <w:pPr>
              <w:pStyle w:val="Celda"/>
            </w:pPr>
            <w:r>
              <w:t xml:space="preserve">Monthly sum of invoiced hours</w:t>
            </w:r>
          </w:p>
        </w:tc>
        <w:tc>
          <w:tcPr>
            <w:tcW w:w="1377" w:type="dxa"/>
          </w:tcPr>
          <w:p>
            <w:pPr>
              <w:pStyle w:val="Celda"/>
            </w:pPr>
            <w:r>
              <w:t xml:space="preserve">h</w:t>
            </w:r>
          </w:p>
        </w:tc>
        <w:tc>
          <w:tcPr>
            <w:tcW w:w="1377" w:type="dxa"/>
          </w:tcPr>
          <w:p>
            <w:pPr>
              <w:pStyle w:val="Celda"/>
            </w:pPr>
            <w:r>
              <w:t xml:space="preserve">Supplier invoices</w:t>
            </w:r>
          </w:p>
        </w:tc>
        <w:tc>
          <w:tcPr>
            <w:tcW w:w="1377" w:type="dxa"/>
          </w:tcPr>
          <w:p>
            <w:pPr>
              <w:pStyle w:val="Celda"/>
            </w:pPr>
            <w:r>
              <w:t xml:space="preserve">Management control</w:t>
            </w:r>
          </w:p>
        </w:tc>
      </w:tr>
    </w:tbl>
    <w:p>
      <w:pPr>
        <w:pStyle w:val="Espacio"/>
      </w:pPr>
    </w:p>
    <w:p>
      <w:r>
        <w:t xml:space="preserve">The operational definition answers: what is counted, what is excluded, from when and until when, and in which system it is recorded.</w:t>
      </w:r>
    </w:p>
    <w:p>
      <w:pPr>
        <w:pStyle w:val="Separador"/>
      </w:pPr>
    </w:p>
    <w:p>
      <w:pPr>
        <w:pStyle w:val="Heading1"/>
      </w:pPr>
      <w:r>
        <w:t xml:space="preserve">4. Measurement period and method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Reference period</w:t>
            </w:r>
          </w:p>
        </w:tc>
        <w:tc>
          <w:tcPr>
            <w:tcW w:w="3213" w:type="dxa"/>
          </w:tcPr>
          <w:p>
            <w:pPr>
              <w:pStyle w:val="Celda"/>
            </w:pPr>
          </w:p>
        </w:tc>
        <w:tc>
          <w:tcPr>
            <w:tcW w:w="3213" w:type="dxa"/>
          </w:tcPr>
          <w:p>
            <w:pPr>
              <w:pStyle w:val="Celda"/>
            </w:pPr>
            <w:r>
              <w:t xml:space="preserve">Start and end dates.</w:t>
            </w:r>
          </w:p>
        </w:tc>
      </w:tr>
      <w:tr>
        <w:tc>
          <w:tcPr>
            <w:tcW w:w="3213" w:type="dxa"/>
          </w:tcPr>
          <w:p>
            <w:pPr>
              <w:pStyle w:val="Celda"/>
            </w:pPr>
            <w:r>
              <w:t xml:space="preserve">Justification of the duration</w:t>
            </w:r>
          </w:p>
        </w:tc>
        <w:tc>
          <w:tcPr>
            <w:tcW w:w="3213" w:type="dxa"/>
          </w:tcPr>
          <w:p>
            <w:pPr>
              <w:pStyle w:val="Celda"/>
            </w:pPr>
          </w:p>
        </w:tc>
        <w:tc>
          <w:tcPr>
            <w:tcW w:w="3213" w:type="dxa"/>
          </w:tcPr>
          <w:p>
            <w:pPr>
              <w:pStyle w:val="Celda"/>
            </w:pPr>
            <w:r>
              <w:t xml:space="preserve">It must cover the relevant cycles of the process (weeks, months, campaigns).</w:t>
            </w:r>
          </w:p>
        </w:tc>
      </w:tr>
      <w:tr>
        <w:tc>
          <w:tcPr>
            <w:tcW w:w="3213" w:type="dxa"/>
          </w:tcPr>
          <w:p>
            <w:pPr>
              <w:pStyle w:val="Celda"/>
            </w:pPr>
            <w:r>
              <w:t xml:space="preserve">Scope or population</w:t>
            </w:r>
          </w:p>
        </w:tc>
        <w:tc>
          <w:tcPr>
            <w:tcW w:w="3213" w:type="dxa"/>
          </w:tcPr>
          <w:p>
            <w:pPr>
              <w:pStyle w:val="Celda"/>
            </w:pPr>
          </w:p>
        </w:tc>
        <w:tc>
          <w:tcPr>
            <w:tcW w:w="3213" w:type="dxa"/>
          </w:tcPr>
          <w:p>
            <w:pPr>
              <w:pStyle w:val="Celda"/>
            </w:pPr>
            <w:r>
              <w:t xml:space="preserve">Channels, units, customers or cases included.</w:t>
            </w:r>
          </w:p>
        </w:tc>
      </w:tr>
      <w:tr>
        <w:tc>
          <w:tcPr>
            <w:tcW w:w="3213" w:type="dxa"/>
          </w:tcPr>
          <w:p>
            <w:pPr>
              <w:pStyle w:val="Celda"/>
            </w:pPr>
            <w:r>
              <w:t xml:space="preserve">Sample </w:t>
            </w:r>
            <w:r>
              <w:rPr>
                <w:b/>
              </w:rPr>
              <w:t xml:space="preserve">(Enterprise)</w:t>
            </w:r>
          </w:p>
        </w:tc>
        <w:tc>
          <w:tcPr>
            <w:tcW w:w="3213" w:type="dxa"/>
          </w:tcPr>
          <w:p>
            <w:pPr>
              <w:pStyle w:val="Celda"/>
            </w:pPr>
          </w:p>
        </w:tc>
        <w:tc>
          <w:tcPr>
            <w:tcW w:w="3213" w:type="dxa"/>
          </w:tcPr>
          <w:p>
            <w:pPr>
              <w:pStyle w:val="Celda"/>
            </w:pPr>
            <w:r>
              <w:t xml:space="preserve">If the whole population is not measured: size, selection criterion and representativeness.</w:t>
            </w:r>
          </w:p>
        </w:tc>
      </w:tr>
      <w:tr>
        <w:tc>
          <w:tcPr>
            <w:tcW w:w="3213" w:type="dxa"/>
          </w:tcPr>
          <w:p>
            <w:pPr>
              <w:pStyle w:val="Celda"/>
            </w:pPr>
            <w:r>
              <w:t xml:space="preserve">Measured or estimated</w:t>
            </w:r>
          </w:p>
        </w:tc>
        <w:tc>
          <w:tcPr>
            <w:tcW w:w="3213" w:type="dxa"/>
          </w:tcPr>
          <w:p>
            <w:pPr>
              <w:pStyle w:val="Celda"/>
            </w:pPr>
          </w:p>
        </w:tc>
        <w:tc>
          <w:tcPr>
            <w:tcW w:w="3213" w:type="dxa"/>
          </w:tcPr>
          <w:p>
            <w:pPr>
              <w:pStyle w:val="Celda"/>
            </w:pPr>
            <w:r>
              <w:t xml:space="preserve">Measured · Estimated. If estimated, justification and plan to measure it before G5.</w:t>
            </w:r>
          </w:p>
        </w:tc>
      </w:tr>
      <w:tr>
        <w:tc>
          <w:tcPr>
            <w:tcW w:w="3213" w:type="dxa"/>
          </w:tcPr>
          <w:p>
            <w:pPr>
              <w:pStyle w:val="Celda"/>
            </w:pPr>
            <w:r>
              <w:t xml:space="preserve">Extraction method</w:t>
            </w:r>
          </w:p>
        </w:tc>
        <w:tc>
          <w:tcPr>
            <w:tcW w:w="3213" w:type="dxa"/>
          </w:tcPr>
          <w:p>
            <w:pPr>
              <w:pStyle w:val="Celda"/>
            </w:pPr>
          </w:p>
        </w:tc>
        <w:tc>
          <w:tcPr>
            <w:tcW w:w="3213" w:type="dxa"/>
          </w:tcPr>
          <w:p>
            <w:pPr>
              <w:pStyle w:val="Celda"/>
            </w:pPr>
            <w:r>
              <w:t xml:space="preserve">Query, report or system from which it is obtained.</w:t>
            </w:r>
          </w:p>
        </w:tc>
      </w:tr>
      <w:tr>
        <w:tc>
          <w:tcPr>
            <w:tcW w:w="3213" w:type="dxa"/>
          </w:tcPr>
          <w:p>
            <w:pPr>
              <w:pStyle w:val="Celda"/>
            </w:pPr>
            <w:r>
              <w:t xml:space="preserve">Exclusions</w:t>
            </w:r>
          </w:p>
        </w:tc>
        <w:tc>
          <w:tcPr>
            <w:tcW w:w="3213" w:type="dxa"/>
          </w:tcPr>
          <w:p>
            <w:pPr>
              <w:pStyle w:val="Celda"/>
            </w:pPr>
          </w:p>
        </w:tc>
        <w:tc>
          <w:tcPr>
            <w:tcW w:w="3213" w:type="dxa"/>
          </w:tcPr>
          <w:p>
            <w:pPr>
              <w:pStyle w:val="Celda"/>
            </w:pPr>
            <w:r>
              <w:t xml:space="preserve">Cases excluded and reason.</w:t>
            </w:r>
          </w:p>
        </w:tc>
      </w:tr>
      <w:tr>
        <w:tc>
          <w:tcPr>
            <w:tcW w:w="3213" w:type="dxa"/>
          </w:tcPr>
          <w:p>
            <w:pPr>
              <w:pStyle w:val="Celda"/>
            </w:pPr>
            <w:r>
              <w:t xml:space="preserve">Treatment of missing data</w:t>
            </w:r>
          </w:p>
        </w:tc>
        <w:tc>
          <w:tcPr>
            <w:tcW w:w="3213" w:type="dxa"/>
          </w:tcPr>
          <w:p>
            <w:pPr>
              <w:pStyle w:val="Celda"/>
            </w:pPr>
          </w:p>
        </w:tc>
        <w:tc>
          <w:tcPr>
            <w:tcW w:w="3213" w:type="dxa"/>
          </w:tcPr>
          <w:p>
            <w:pPr>
              <w:pStyle w:val="Celda"/>
            </w:pPr>
            <w:r>
              <w:t xml:space="preserve">How they are shown and how many there are.</w:t>
            </w:r>
          </w:p>
        </w:tc>
      </w:tr>
      <w:tr>
        <w:tc>
          <w:tcPr>
            <w:tcW w:w="3213" w:type="dxa"/>
          </w:tcPr>
          <w:p>
            <w:pPr>
              <w:pStyle w:val="Celda"/>
            </w:pPr>
            <w:r>
              <w:t xml:space="preserve">Data quality</w:t>
            </w:r>
          </w:p>
        </w:tc>
        <w:tc>
          <w:tcPr>
            <w:tcW w:w="3213" w:type="dxa"/>
          </w:tcPr>
          <w:p>
            <w:pPr>
              <w:pStyle w:val="Celda"/>
            </w:pPr>
          </w:p>
        </w:tc>
        <w:tc>
          <w:tcPr>
            <w:tcW w:w="3213" w:type="dxa"/>
          </w:tcPr>
          <w:p>
            <w:pPr>
              <w:pStyle w:val="Celda"/>
            </w:pPr>
            <w:r>
              <w:t xml:space="preserve">Completeness and known problems.</w:t>
            </w:r>
          </w:p>
        </w:tc>
      </w:tr>
    </w:tbl>
    <w:p>
      <w:pPr>
        <w:pStyle w:val="Espacio"/>
      </w:pPr>
    </w:p>
    <w:p>
      <w:pPr>
        <w:pStyle w:val="Separador"/>
      </w:pPr>
    </w:p>
    <w:p>
      <w:pPr>
        <w:pStyle w:val="Heading1"/>
      </w:pPr>
      <w:r>
        <w:t xml:space="preserve">5. Baseline results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Metric</w:t>
            </w:r>
          </w:p>
        </w:tc>
        <w:tc>
          <w:tcPr>
            <w:tcW w:w="1377" w:type="dxa"/>
            <w:shd w:val="clear" w:color="auto" w:fill="F2DFCE"/>
          </w:tcPr>
          <w:p>
            <w:pPr>
              <w:pStyle w:val="Celda"/>
            </w:pPr>
            <w:r>
              <w:rPr>
                <w:b/>
              </w:rPr>
              <w:t xml:space="preserve">Period</w:t>
            </w:r>
          </w:p>
        </w:tc>
        <w:tc>
          <w:tcPr>
            <w:tcW w:w="1377" w:type="dxa"/>
            <w:shd w:val="clear" w:color="auto" w:fill="F2DFCE"/>
          </w:tcPr>
          <w:p>
            <w:pPr>
              <w:pStyle w:val="Celda"/>
            </w:pPr>
            <w:r>
              <w:rPr>
                <w:b/>
              </w:rPr>
              <w:t xml:space="preserve">Value</w:t>
            </w:r>
          </w:p>
        </w:tc>
        <w:tc>
          <w:tcPr>
            <w:tcW w:w="1377" w:type="dxa"/>
            <w:shd w:val="clear" w:color="auto" w:fill="F2DFCE"/>
          </w:tcPr>
          <w:p>
            <w:pPr>
              <w:pStyle w:val="Celda"/>
            </w:pPr>
            <w:r>
              <w:rPr>
                <w:b/>
              </w:rPr>
              <w:t xml:space="preserve">Variability</w:t>
            </w:r>
          </w:p>
        </w:tc>
        <w:tc>
          <w:tcPr>
            <w:tcW w:w="1377" w:type="dxa"/>
            <w:shd w:val="clear" w:color="auto" w:fill="F2DFCE"/>
          </w:tcPr>
          <w:p>
            <w:pPr>
              <w:pStyle w:val="Celda"/>
            </w:pPr>
            <w:r>
              <w:rPr>
                <w:b/>
              </w:rPr>
              <w:t xml:space="preserve">No. of observations</w:t>
            </w:r>
          </w:p>
        </w:tc>
        <w:tc>
          <w:tcPr>
            <w:tcW w:w="1377" w:type="dxa"/>
            <w:shd w:val="clear" w:color="auto" w:fill="F2DFCE"/>
          </w:tcPr>
          <w:p>
            <w:pPr>
              <w:pStyle w:val="Celda"/>
            </w:pPr>
            <w:r>
              <w:rPr>
                <w:b/>
              </w:rPr>
              <w:t xml:space="preserve">Status</w:t>
            </w:r>
          </w:p>
        </w:tc>
        <w:tc>
          <w:tcPr>
            <w:tcW w:w="1377" w:type="dxa"/>
            <w:shd w:val="clear" w:color="auto" w:fill="F2DFCE"/>
          </w:tcPr>
          <w:p>
            <w:pPr>
              <w:pStyle w:val="Celda"/>
            </w:pPr>
            <w:r>
              <w:rPr>
                <w:b/>
              </w:rPr>
              <w:t xml:space="preserve">Remarks</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Minimum–maximum or standard deviation</w:t>
            </w:r>
          </w:p>
        </w:tc>
        <w:tc>
          <w:tcPr>
            <w:tcW w:w="1377" w:type="dxa"/>
          </w:tcPr>
          <w:p>
            <w:pPr>
              <w:pStyle w:val="Celda"/>
            </w:pPr>
          </w:p>
        </w:tc>
        <w:tc>
          <w:tcPr>
            <w:tcW w:w="1377" w:type="dxa"/>
          </w:tcPr>
          <w:p>
            <w:pPr>
              <w:pStyle w:val="Celda"/>
            </w:pPr>
            <w:r>
              <w:t xml:space="preserve">Measured · Estimated · No data</w:t>
            </w:r>
          </w:p>
        </w:tc>
        <w:tc>
          <w:tcPr>
            <w:tcW w:w="1377" w:type="dxa"/>
          </w:tcPr>
          <w:p>
            <w:pPr>
              <w:pStyle w:val="Celda"/>
            </w:pPr>
          </w:p>
        </w:tc>
      </w:tr>
      <w:tr>
        <w:tc>
          <w:tcPr>
            <w:tcW w:w="1377" w:type="dxa"/>
          </w:tcPr>
          <w:p>
            <w:pPr>
              <w:pStyle w:val="Celda"/>
            </w:pPr>
            <w:r>
              <w:rPr>
                <w:i/>
              </w:rPr>
              <w:t xml:space="preserve">(illustrative example)</w:t>
            </w:r>
            <w:r>
              <w:t xml:space="preserve"> Average time to first response</w:t>
            </w:r>
          </w:p>
        </w:tc>
        <w:tc>
          <w:tcPr>
            <w:tcW w:w="1377" w:type="dxa"/>
          </w:tcPr>
          <w:p>
            <w:pPr>
              <w:pStyle w:val="Celda"/>
            </w:pPr>
            <w:r>
              <w:t xml:space="preserve">01-01-2026 to 30-06-2026</w:t>
            </w:r>
          </w:p>
        </w:tc>
        <w:tc>
          <w:tcPr>
            <w:tcW w:w="1377" w:type="dxa"/>
          </w:tcPr>
          <w:p>
            <w:pPr>
              <w:pStyle w:val="Celda"/>
            </w:pPr>
            <w:r>
              <w:t xml:space="preserve">26.4 h</w:t>
            </w:r>
          </w:p>
        </w:tc>
        <w:tc>
          <w:tcPr>
            <w:tcW w:w="1377" w:type="dxa"/>
          </w:tcPr>
          <w:p>
            <w:pPr>
              <w:pStyle w:val="Celda"/>
            </w:pPr>
            <w:r>
              <w:t xml:space="preserve">9.1–41.7 h (monthly average)</w:t>
            </w:r>
          </w:p>
        </w:tc>
        <w:tc>
          <w:tcPr>
            <w:tcW w:w="1377" w:type="dxa"/>
          </w:tcPr>
          <w:p>
            <w:pPr>
              <w:pStyle w:val="Celda"/>
            </w:pPr>
            <w:r>
              <w:t xml:space="preserve">96,300</w:t>
            </w:r>
          </w:p>
        </w:tc>
        <w:tc>
          <w:tcPr>
            <w:tcW w:w="1377" w:type="dxa"/>
          </w:tcPr>
          <w:p>
            <w:pPr>
              <w:pStyle w:val="Celda"/>
            </w:pPr>
            <w:r>
              <w:t xml:space="preserve">Measured</w:t>
            </w:r>
          </w:p>
        </w:tc>
        <w:tc>
          <w:tcPr>
            <w:tcW w:w="1377" w:type="dxa"/>
          </w:tcPr>
          <w:p>
            <w:pPr>
              <w:pStyle w:val="Celda"/>
            </w:pPr>
            <w:r>
              <w:t xml:space="preserve">Peaks during January campaigns.</w:t>
            </w:r>
          </w:p>
        </w:tc>
      </w:tr>
      <w:tr>
        <w:tc>
          <w:tcPr>
            <w:tcW w:w="1377" w:type="dxa"/>
          </w:tcPr>
          <w:p>
            <w:pPr>
              <w:pStyle w:val="Celda"/>
            </w:pPr>
            <w:r>
              <w:rPr>
                <w:i/>
              </w:rPr>
              <w:t xml:space="preserve">(illustrative example)</w:t>
            </w:r>
            <w:r>
              <w:t xml:space="preserve"> External customer service hours</w:t>
            </w:r>
          </w:p>
        </w:tc>
        <w:tc>
          <w:tcPr>
            <w:tcW w:w="1377" w:type="dxa"/>
          </w:tcPr>
          <w:p>
            <w:pPr>
              <w:pStyle w:val="Celda"/>
            </w:pPr>
            <w:r>
              <w:t xml:space="preserve">01-01-2026 to 30-06-2026</w:t>
            </w:r>
          </w:p>
        </w:tc>
        <w:tc>
          <w:tcPr>
            <w:tcW w:w="1377" w:type="dxa"/>
          </w:tcPr>
          <w:p>
            <w:pPr>
              <w:pStyle w:val="Celda"/>
            </w:pPr>
            <w:r>
              <w:t xml:space="preserve">5,150 h</w:t>
            </w:r>
          </w:p>
        </w:tc>
        <w:tc>
          <w:tcPr>
            <w:tcW w:w="1377" w:type="dxa"/>
          </w:tcPr>
          <w:p>
            <w:pPr>
              <w:pStyle w:val="Celda"/>
            </w:pPr>
            <w:r>
              <w:t xml:space="preserve">610–1,240 h/month</w:t>
            </w:r>
          </w:p>
        </w:tc>
        <w:tc>
          <w:tcPr>
            <w:tcW w:w="1377" w:type="dxa"/>
          </w:tcPr>
          <w:p>
            <w:pPr>
              <w:pStyle w:val="Celda"/>
            </w:pPr>
            <w:r>
              <w:t xml:space="preserve">6 invoices</w:t>
            </w:r>
          </w:p>
        </w:tc>
        <w:tc>
          <w:tcPr>
            <w:tcW w:w="1377" w:type="dxa"/>
          </w:tcPr>
          <w:p>
            <w:pPr>
              <w:pStyle w:val="Celda"/>
            </w:pPr>
            <w:r>
              <w:t xml:space="preserve">Measured</w:t>
            </w:r>
          </w:p>
        </w:tc>
        <w:tc>
          <w:tcPr>
            <w:tcW w:w="1377" w:type="dxa"/>
          </w:tcPr>
          <w:p>
            <w:pPr>
              <w:pStyle w:val="Celda"/>
            </w:pPr>
            <w:r>
              <w:t xml:space="preserve">—</w:t>
            </w:r>
          </w:p>
        </w:tc>
      </w:tr>
      <w:tr>
        <w:tc>
          <w:tcPr>
            <w:tcW w:w="1377" w:type="dxa"/>
          </w:tcPr>
          <w:p>
            <w:pPr>
              <w:pStyle w:val="Celda"/>
            </w:pPr>
            <w:r>
              <w:rPr>
                <w:i/>
              </w:rPr>
              <w:t xml:space="preserve">(illustrative example)</w:t>
            </w:r>
            <w:r>
              <w:t xml:space="preserve"> Satisfaction of the customer served</w:t>
            </w:r>
          </w:p>
        </w:tc>
        <w:tc>
          <w:tcPr>
            <w:tcW w:w="1377" w:type="dxa"/>
          </w:tcPr>
          <w:p>
            <w:pPr>
              <w:pStyle w:val="Celda"/>
            </w:pPr>
            <w:r>
              <w:t xml:space="preserve">01-01-2026 to 30-06-2026</w:t>
            </w:r>
          </w:p>
        </w:tc>
        <w:tc>
          <w:tcPr>
            <w:tcW w:w="1377" w:type="dxa"/>
          </w:tcPr>
          <w:p>
            <w:pPr>
              <w:pStyle w:val="Celda"/>
            </w:pPr>
            <w:r>
              <w:t xml:space="preserve">No data</w:t>
            </w:r>
          </w:p>
        </w:tc>
        <w:tc>
          <w:tcPr>
            <w:tcW w:w="1377" w:type="dxa"/>
          </w:tcPr>
          <w:p>
            <w:pPr>
              <w:pStyle w:val="Celda"/>
            </w:pPr>
            <w:r>
              <w:t xml:space="preserve">—</w:t>
            </w:r>
          </w:p>
        </w:tc>
        <w:tc>
          <w:tcPr>
            <w:tcW w:w="1377" w:type="dxa"/>
          </w:tcPr>
          <w:p>
            <w:pPr>
              <w:pStyle w:val="Celda"/>
            </w:pPr>
            <w:r>
              <w:t xml:space="preserve">—</w:t>
            </w:r>
          </w:p>
        </w:tc>
        <w:tc>
          <w:tcPr>
            <w:tcW w:w="1377" w:type="dxa"/>
          </w:tcPr>
          <w:p>
            <w:pPr>
              <w:pStyle w:val="Celda"/>
            </w:pPr>
            <w:r>
              <w:t xml:space="preserve">No data</w:t>
            </w:r>
          </w:p>
        </w:tc>
        <w:tc>
          <w:tcPr>
            <w:tcW w:w="1377" w:type="dxa"/>
          </w:tcPr>
          <w:p>
            <w:pPr>
              <w:pStyle w:val="Celda"/>
            </w:pPr>
            <w:r>
              <w:t xml:space="preserve">The survey is activated in October; it will be measured four weeks before the pilot.</w:t>
            </w:r>
          </w:p>
        </w:tc>
      </w:tr>
    </w:tbl>
    <w:p>
      <w:pPr>
        <w:pStyle w:val="Espacio"/>
      </w:pPr>
    </w:p>
    <w:p>
      <w:pPr>
        <w:pStyle w:val="Separador"/>
      </w:pPr>
    </w:p>
    <w:p>
      <w:pPr>
        <w:pStyle w:val="Heading1"/>
      </w:pPr>
      <w:r>
        <w:t xml:space="preserve">6. Unit values for translation into money</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Item</w:t>
            </w:r>
          </w:p>
        </w:tc>
        <w:tc>
          <w:tcPr>
            <w:tcW w:w="1928" w:type="dxa"/>
            <w:shd w:val="clear" w:color="auto" w:fill="F2DFCE"/>
          </w:tcPr>
          <w:p>
            <w:pPr>
              <w:pStyle w:val="Celda"/>
            </w:pPr>
            <w:r>
              <w:rPr>
                <w:b/>
              </w:rPr>
              <w:t xml:space="preserve">Unit value (€)</w:t>
            </w:r>
          </w:p>
        </w:tc>
        <w:tc>
          <w:tcPr>
            <w:tcW w:w="1928" w:type="dxa"/>
            <w:shd w:val="clear" w:color="auto" w:fill="F2DFCE"/>
          </w:tcPr>
          <w:p>
            <w:pPr>
              <w:pStyle w:val="Celda"/>
            </w:pPr>
            <w:r>
              <w:rPr>
                <w:b/>
              </w:rPr>
              <w:t xml:space="preserve">Source</w:t>
            </w:r>
          </w:p>
        </w:tc>
        <w:tc>
          <w:tcPr>
            <w:tcW w:w="1928" w:type="dxa"/>
            <w:shd w:val="clear" w:color="auto" w:fill="F2DFCE"/>
          </w:tcPr>
          <w:p>
            <w:pPr>
              <w:pStyle w:val="Celda"/>
            </w:pPr>
            <w:r>
              <w:rPr>
                <w:b/>
              </w:rPr>
              <w:t xml:space="preserve">Reference date</w:t>
            </w:r>
          </w:p>
        </w:tc>
        <w:tc>
          <w:tcPr>
            <w:tcW w:w="1928" w:type="dxa"/>
            <w:shd w:val="clear" w:color="auto" w:fill="F2DFCE"/>
          </w:tcPr>
          <w:p>
            <w:pPr>
              <w:pStyle w:val="Celda"/>
            </w:pPr>
            <w:r>
              <w:rPr>
                <w:b/>
              </w:rPr>
              <w:t xml:space="preserve">Reviewed by management control</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Yes · No</w:t>
            </w:r>
          </w:p>
        </w:tc>
      </w:tr>
      <w:tr>
        <w:tc>
          <w:tcPr>
            <w:tcW w:w="1928" w:type="dxa"/>
          </w:tcPr>
          <w:p>
            <w:pPr>
              <w:pStyle w:val="Celda"/>
            </w:pPr>
            <w:r>
              <w:rPr>
                <w:i/>
              </w:rPr>
              <w:t xml:space="preserve">(illustrative example)</w:t>
            </w:r>
            <w:r>
              <w:t xml:space="preserve"> Cost per hour of external customer service</w:t>
            </w:r>
          </w:p>
        </w:tc>
        <w:tc>
          <w:tcPr>
            <w:tcW w:w="1928" w:type="dxa"/>
          </w:tcPr>
          <w:p>
            <w:pPr>
              <w:pStyle w:val="Celda"/>
            </w:pPr>
            <w:r>
              <w:t xml:space="preserve">21.00</w:t>
            </w:r>
          </w:p>
        </w:tc>
        <w:tc>
          <w:tcPr>
            <w:tcW w:w="1928" w:type="dxa"/>
          </w:tcPr>
          <w:p>
            <w:pPr>
              <w:pStyle w:val="Celda"/>
            </w:pPr>
            <w:r>
              <w:t xml:space="preserve">Current contract with the supplier</w:t>
            </w:r>
          </w:p>
        </w:tc>
        <w:tc>
          <w:tcPr>
            <w:tcW w:w="1928" w:type="dxa"/>
          </w:tcPr>
          <w:p>
            <w:pPr>
              <w:pStyle w:val="Celda"/>
            </w:pPr>
            <w:r>
              <w:t xml:space="preserve">01-06-2026</w:t>
            </w:r>
          </w:p>
        </w:tc>
        <w:tc>
          <w:tcPr>
            <w:tcW w:w="1928" w:type="dxa"/>
          </w:tcPr>
          <w:p>
            <w:pPr>
              <w:pStyle w:val="Celda"/>
            </w:pPr>
            <w:r>
              <w:t xml:space="preserve">Yes</w:t>
            </w:r>
          </w:p>
        </w:tc>
      </w:tr>
      <w:tr>
        <w:tc>
          <w:tcPr>
            <w:tcW w:w="1928" w:type="dxa"/>
          </w:tcPr>
          <w:p>
            <w:pPr>
              <w:pStyle w:val="Celda"/>
            </w:pPr>
            <w:r>
              <w:rPr>
                <w:i/>
              </w:rPr>
              <w:t xml:space="preserve">(illustrative example)</w:t>
            </w:r>
            <w:r>
              <w:t xml:space="preserve"> Average margin per order</w:t>
            </w:r>
          </w:p>
        </w:tc>
        <w:tc>
          <w:tcPr>
            <w:tcW w:w="1928" w:type="dxa"/>
          </w:tcPr>
          <w:p>
            <w:pPr>
              <w:pStyle w:val="Celda"/>
            </w:pPr>
            <w:r>
              <w:t xml:space="preserve">9.00</w:t>
            </w:r>
          </w:p>
        </w:tc>
        <w:tc>
          <w:tcPr>
            <w:tcW w:w="1928" w:type="dxa"/>
          </w:tcPr>
          <w:p>
            <w:pPr>
              <w:pStyle w:val="Celda"/>
            </w:pPr>
            <w:r>
              <w:t xml:space="preserve">Channel income statement</w:t>
            </w:r>
          </w:p>
        </w:tc>
        <w:tc>
          <w:tcPr>
            <w:tcW w:w="1928" w:type="dxa"/>
          </w:tcPr>
          <w:p>
            <w:pPr>
              <w:pStyle w:val="Celda"/>
            </w:pPr>
            <w:r>
              <w:t xml:space="preserve">First half of 2026</w:t>
            </w:r>
          </w:p>
        </w:tc>
        <w:tc>
          <w:tcPr>
            <w:tcW w:w="1928" w:type="dxa"/>
          </w:tcPr>
          <w:p>
            <w:pPr>
              <w:pStyle w:val="Celda"/>
            </w:pPr>
            <w:r>
              <w:t xml:space="preserve">Yes</w:t>
            </w:r>
          </w:p>
        </w:tc>
      </w:tr>
    </w:tbl>
    <w:p>
      <w:pPr>
        <w:pStyle w:val="Espacio"/>
      </w:pPr>
    </w:p>
    <w:p>
      <w:r>
        <w:t xml:space="preserve">The unit values are used in the P08 formula (units × unit value). If they change after G2, this is recorded in section 9.</w:t>
      </w:r>
    </w:p>
    <w:p>
      <w:pPr>
        <w:pStyle w:val="Separador"/>
      </w:pPr>
    </w:p>
    <w:p>
      <w:pPr>
        <w:pStyle w:val="Heading1"/>
      </w:pPr>
      <w:r>
        <w:t xml:space="preserve">7. Control group</w:t>
      </w:r>
    </w:p>
    <w:p>
      <w:r>
        <w:t xml:space="preserve">Complete if the attribution method in P08 is a control group.</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Definition of the control group</w:t>
            </w:r>
          </w:p>
        </w:tc>
        <w:tc>
          <w:tcPr>
            <w:tcW w:w="3213" w:type="dxa"/>
          </w:tcPr>
          <w:p>
            <w:pPr>
              <w:pStyle w:val="Celda"/>
            </w:pPr>
          </w:p>
        </w:tc>
        <w:tc>
          <w:tcPr>
            <w:tcW w:w="3213" w:type="dxa"/>
          </w:tcPr>
          <w:p>
            <w:pPr>
              <w:pStyle w:val="Celda"/>
            </w:pPr>
            <w:r>
              <w:t xml:space="preserve">Which cases, customers or units do not receive the intervention.</w:t>
            </w:r>
          </w:p>
        </w:tc>
      </w:tr>
      <w:tr>
        <w:tc>
          <w:tcPr>
            <w:tcW w:w="3213" w:type="dxa"/>
          </w:tcPr>
          <w:p>
            <w:pPr>
              <w:pStyle w:val="Celda"/>
            </w:pPr>
            <w:r>
              <w:t xml:space="preserve">Assignment criterion</w:t>
            </w:r>
          </w:p>
        </w:tc>
        <w:tc>
          <w:tcPr>
            <w:tcW w:w="3213" w:type="dxa"/>
          </w:tcPr>
          <w:p>
            <w:pPr>
              <w:pStyle w:val="Celda"/>
            </w:pPr>
          </w:p>
        </w:tc>
        <w:tc>
          <w:tcPr>
            <w:tcW w:w="3213" w:type="dxa"/>
          </w:tcPr>
          <w:p>
            <w:pPr>
              <w:pStyle w:val="Celda"/>
            </w:pPr>
            <w:r>
              <w:t xml:space="preserve">Random, by region, by shift or other, with justification.</w:t>
            </w:r>
          </w:p>
        </w:tc>
      </w:tr>
      <w:tr>
        <w:tc>
          <w:tcPr>
            <w:tcW w:w="3213" w:type="dxa"/>
          </w:tcPr>
          <w:p>
            <w:pPr>
              <w:pStyle w:val="Celda"/>
            </w:pPr>
            <w:r>
              <w:t xml:space="preserve">Comparability</w:t>
            </w:r>
          </w:p>
        </w:tc>
        <w:tc>
          <w:tcPr>
            <w:tcW w:w="3213" w:type="dxa"/>
          </w:tcPr>
          <w:p>
            <w:pPr>
              <w:pStyle w:val="Celda"/>
            </w:pPr>
          </w:p>
        </w:tc>
        <w:tc>
          <w:tcPr>
            <w:tcW w:w="3213" w:type="dxa"/>
          </w:tcPr>
          <w:p>
            <w:pPr>
              <w:pStyle w:val="Celda"/>
            </w:pPr>
            <w:r>
              <w:t xml:space="preserve">Baseline values in the control group and in the treated group.</w:t>
            </w:r>
          </w:p>
        </w:tc>
      </w:tr>
      <w:tr>
        <w:tc>
          <w:tcPr>
            <w:tcW w:w="3213" w:type="dxa"/>
          </w:tcPr>
          <w:p>
            <w:pPr>
              <w:pStyle w:val="Celda"/>
            </w:pPr>
            <w:r>
              <w:t xml:space="preserve">Risk of contamination</w:t>
            </w:r>
          </w:p>
        </w:tc>
        <w:tc>
          <w:tcPr>
            <w:tcW w:w="3213" w:type="dxa"/>
          </w:tcPr>
          <w:p>
            <w:pPr>
              <w:pStyle w:val="Celda"/>
            </w:pPr>
          </w:p>
        </w:tc>
        <w:tc>
          <w:tcPr>
            <w:tcW w:w="3213" w:type="dxa"/>
          </w:tcPr>
          <w:p>
            <w:pPr>
              <w:pStyle w:val="Celda"/>
            </w:pPr>
            <w:r>
              <w:t xml:space="preserve">How the control group is prevented from receiving effects of the intervention.</w:t>
            </w: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Metric</w:t>
            </w:r>
          </w:p>
        </w:tc>
        <w:tc>
          <w:tcPr>
            <w:tcW w:w="1928" w:type="dxa"/>
            <w:shd w:val="clear" w:color="auto" w:fill="F2DFCE"/>
          </w:tcPr>
          <w:p>
            <w:pPr>
              <w:pStyle w:val="Celda"/>
            </w:pPr>
            <w:r>
              <w:rPr>
                <w:b/>
              </w:rPr>
              <w:t xml:space="preserve">Treated group (baseline)</w:t>
            </w:r>
          </w:p>
        </w:tc>
        <w:tc>
          <w:tcPr>
            <w:tcW w:w="1928" w:type="dxa"/>
            <w:shd w:val="clear" w:color="auto" w:fill="F2DFCE"/>
          </w:tcPr>
          <w:p>
            <w:pPr>
              <w:pStyle w:val="Celda"/>
            </w:pPr>
            <w:r>
              <w:rPr>
                <w:b/>
              </w:rPr>
              <w:t xml:space="preserve">Control group (baseline)</w:t>
            </w:r>
          </w:p>
        </w:tc>
        <w:tc>
          <w:tcPr>
            <w:tcW w:w="1928" w:type="dxa"/>
            <w:shd w:val="clear" w:color="auto" w:fill="F2DFCE"/>
          </w:tcPr>
          <w:p>
            <w:pPr>
              <w:pStyle w:val="Celda"/>
            </w:pPr>
            <w:r>
              <w:rPr>
                <w:b/>
              </w:rPr>
              <w:t xml:space="preserve">Difference</w:t>
            </w:r>
          </w:p>
        </w:tc>
        <w:tc>
          <w:tcPr>
            <w:tcW w:w="1928" w:type="dxa"/>
            <w:shd w:val="clear" w:color="auto" w:fill="F2DFCE"/>
          </w:tcPr>
          <w:p>
            <w:pPr>
              <w:pStyle w:val="Celda"/>
            </w:pPr>
            <w:r>
              <w:rPr>
                <w:b/>
              </w:rPr>
              <w:t xml:space="preserve">Comparable?</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Yes · No</w:t>
            </w:r>
          </w:p>
        </w:tc>
      </w:tr>
    </w:tbl>
    <w:p>
      <w:pPr>
        <w:pStyle w:val="Espacio"/>
      </w:pPr>
    </w:p>
    <w:p>
      <w:pPr>
        <w:pStyle w:val="Separador"/>
      </w:pPr>
    </w:p>
    <w:p>
      <w:pPr>
        <w:pStyle w:val="Heading1"/>
      </w:pPr>
      <w:r>
        <w:t xml:space="preserve">8. External factors and seasonality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Factor</w:t>
            </w:r>
          </w:p>
        </w:tc>
        <w:tc>
          <w:tcPr>
            <w:tcW w:w="3213" w:type="dxa"/>
            <w:shd w:val="clear" w:color="auto" w:fill="F2DFCE"/>
          </w:tcPr>
          <w:p>
            <w:pPr>
              <w:pStyle w:val="Celda"/>
            </w:pPr>
            <w:r>
              <w:rPr>
                <w:b/>
              </w:rPr>
              <w:t xml:space="preserve">Expected effect on the metric</w:t>
            </w:r>
          </w:p>
        </w:tc>
        <w:tc>
          <w:tcPr>
            <w:tcW w:w="3213" w:type="dxa"/>
            <w:shd w:val="clear" w:color="auto" w:fill="F2DFCE"/>
          </w:tcPr>
          <w:p>
            <w:pPr>
              <w:pStyle w:val="Celda"/>
            </w:pPr>
            <w:r>
              <w:rPr>
                <w:b/>
              </w:rPr>
              <w:t xml:space="preserve">How it is corrected or controlled</w:t>
            </w:r>
          </w:p>
        </w:tc>
      </w:tr>
      <w:tr>
        <w:tc>
          <w:tcPr>
            <w:tcW w:w="3213" w:type="dxa"/>
          </w:tcPr>
          <w:p>
            <w:pPr>
              <w:pStyle w:val="Celda"/>
            </w:pPr>
          </w:p>
        </w:tc>
        <w:tc>
          <w:tcPr>
            <w:tcW w:w="3213" w:type="dxa"/>
          </w:tcPr>
          <w:p>
            <w:pPr>
              <w:pStyle w:val="Celda"/>
            </w:pPr>
          </w:p>
        </w:tc>
        <w:tc>
          <w:tcPr>
            <w:tcW w:w="3213" w:type="dxa"/>
          </w:tcPr>
          <w:p>
            <w:pPr>
              <w:pStyle w:val="Celda"/>
            </w:pPr>
          </w:p>
        </w:tc>
      </w:tr>
      <w:tr>
        <w:tc>
          <w:tcPr>
            <w:tcW w:w="3213" w:type="dxa"/>
          </w:tcPr>
          <w:p>
            <w:pPr>
              <w:pStyle w:val="Celda"/>
            </w:pPr>
            <w:r>
              <w:rPr>
                <w:i/>
              </w:rPr>
              <w:t xml:space="preserve">(illustrative example)</w:t>
            </w:r>
            <w:r>
              <w:t xml:space="preserve"> Sales campaign</w:t>
            </w:r>
          </w:p>
        </w:tc>
        <w:tc>
          <w:tcPr>
            <w:tcW w:w="3213" w:type="dxa"/>
          </w:tcPr>
          <w:p>
            <w:pPr>
              <w:pStyle w:val="Celda"/>
            </w:pPr>
            <w:r>
              <w:t xml:space="preserve">60% increase in queries in January</w:t>
            </w:r>
          </w:p>
        </w:tc>
        <w:tc>
          <w:tcPr>
            <w:tcW w:w="3213" w:type="dxa"/>
          </w:tcPr>
          <w:p>
            <w:pPr>
              <w:pStyle w:val="Celda"/>
            </w:pPr>
            <w:r>
              <w:t xml:space="preserve">Compare with the same period of the control group and not with the annual average.</w:t>
            </w:r>
          </w:p>
        </w:tc>
      </w:tr>
    </w:tbl>
    <w:p>
      <w:pPr>
        <w:pStyle w:val="Espacio"/>
      </w:pPr>
    </w:p>
    <w:p>
      <w:pPr>
        <w:pStyle w:val="Separador"/>
      </w:pPr>
    </w:p>
    <w:p>
      <w:pPr>
        <w:pStyle w:val="Heading1"/>
      </w:pPr>
      <w:r>
        <w:t xml:space="preserve">9. Freeze and subsequent changes</w:t>
      </w:r>
    </w:p>
    <w:p>
      <w:r>
        <w:t xml:space="preserve">After G2, the baseline may only be modified because of a documented material error or a change in the definition of a metric, with the approval of the body that authorised the initiative. Modifying it to favour the result is a nonconformity.</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Metric</w:t>
            </w:r>
          </w:p>
        </w:tc>
        <w:tc>
          <w:tcPr>
            <w:tcW w:w="1606" w:type="dxa"/>
            <w:shd w:val="clear" w:color="auto" w:fill="F2DFCE"/>
          </w:tcPr>
          <w:p>
            <w:pPr>
              <w:pStyle w:val="Celda"/>
            </w:pPr>
            <w:r>
              <w:rPr>
                <w:b/>
              </w:rPr>
              <w:t xml:space="preserve">Previous value</w:t>
            </w:r>
          </w:p>
        </w:tc>
        <w:tc>
          <w:tcPr>
            <w:tcW w:w="1606" w:type="dxa"/>
            <w:shd w:val="clear" w:color="auto" w:fill="F2DFCE"/>
          </w:tcPr>
          <w:p>
            <w:pPr>
              <w:pStyle w:val="Celda"/>
            </w:pPr>
            <w:r>
              <w:rPr>
                <w:b/>
              </w:rPr>
              <w:t xml:space="preserve">New value</w:t>
            </w:r>
          </w:p>
        </w:tc>
        <w:tc>
          <w:tcPr>
            <w:tcW w:w="1606" w:type="dxa"/>
            <w:shd w:val="clear" w:color="auto" w:fill="F2DFCE"/>
          </w:tcPr>
          <w:p>
            <w:pPr>
              <w:pStyle w:val="Celda"/>
            </w:pPr>
            <w:r>
              <w:rPr>
                <w:b/>
              </w:rPr>
              <w:t xml:space="preserve">Reason</w:t>
            </w:r>
          </w:p>
        </w:tc>
        <w:tc>
          <w:tcPr>
            <w:tcW w:w="1606" w:type="dxa"/>
            <w:shd w:val="clear" w:color="auto" w:fill="F2DFCE"/>
          </w:tcPr>
          <w:p>
            <w:pPr>
              <w:pStyle w:val="Celda"/>
            </w:pPr>
            <w:r>
              <w:rPr>
                <w:b/>
              </w:rPr>
              <w:t xml:space="preserve">Approved by</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10. Reproducibility </w:t>
      </w:r>
      <w:r>
        <w:rPr>
          <w:b/>
        </w:rPr>
        <w:t xml:space="preserve">(Enterprise)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Query or calculation procedure</w:t>
            </w:r>
          </w:p>
        </w:tc>
        <w:tc>
          <w:tcPr>
            <w:tcW w:w="3213" w:type="dxa"/>
          </w:tcPr>
          <w:p>
            <w:pPr>
              <w:pStyle w:val="Celda"/>
            </w:pPr>
          </w:p>
        </w:tc>
        <w:tc>
          <w:tcPr>
            <w:tcW w:w="3213" w:type="dxa"/>
          </w:tcPr>
          <w:p>
            <w:pPr>
              <w:pStyle w:val="Celda"/>
            </w:pPr>
            <w:r>
              <w:t xml:space="preserve">Link to the versioned query, script or report.</w:t>
            </w:r>
          </w:p>
        </w:tc>
      </w:tr>
      <w:tr>
        <w:tc>
          <w:tcPr>
            <w:tcW w:w="3213" w:type="dxa"/>
          </w:tcPr>
          <w:p>
            <w:pPr>
              <w:pStyle w:val="Celda"/>
            </w:pPr>
            <w:r>
              <w:t xml:space="preserve">Version or snapshot of the data</w:t>
            </w:r>
          </w:p>
        </w:tc>
        <w:tc>
          <w:tcPr>
            <w:tcW w:w="3213" w:type="dxa"/>
          </w:tcPr>
          <w:p>
            <w:pPr>
              <w:pStyle w:val="Celda"/>
            </w:pPr>
          </w:p>
        </w:tc>
        <w:tc>
          <w:tcPr>
            <w:tcW w:w="3213" w:type="dxa"/>
          </w:tcPr>
          <w:p>
            <w:pPr>
              <w:pStyle w:val="Celda"/>
            </w:pPr>
            <w:r>
              <w:t xml:space="preserve">Identifier of the extraction used.</w:t>
            </w:r>
          </w:p>
        </w:tc>
      </w:tr>
      <w:tr>
        <w:tc>
          <w:tcPr>
            <w:tcW w:w="3213" w:type="dxa"/>
          </w:tcPr>
          <w:p>
            <w:pPr>
              <w:pStyle w:val="Celda"/>
            </w:pPr>
            <w:r>
              <w:t xml:space="preserve">Location</w:t>
            </w:r>
          </w:p>
        </w:tc>
        <w:tc>
          <w:tcPr>
            <w:tcW w:w="3213" w:type="dxa"/>
          </w:tcPr>
          <w:p>
            <w:pPr>
              <w:pStyle w:val="Celda"/>
            </w:pPr>
          </w:p>
        </w:tc>
        <w:tc>
          <w:tcPr>
            <w:tcW w:w="3213" w:type="dxa"/>
          </w:tcPr>
          <w:p>
            <w:pPr>
              <w:pStyle w:val="Celda"/>
            </w:pPr>
            <w:r>
              <w:t xml:space="preserve">Repository where it is kept.</w:t>
            </w:r>
          </w:p>
        </w:tc>
      </w:tr>
      <w:tr>
        <w:tc>
          <w:tcPr>
            <w:tcW w:w="3213" w:type="dxa"/>
          </w:tcPr>
          <w:p>
            <w:pPr>
              <w:pStyle w:val="Celda"/>
            </w:pPr>
            <w:r>
              <w:t xml:space="preserve">Person able to reproduce it</w:t>
            </w:r>
          </w:p>
        </w:tc>
        <w:tc>
          <w:tcPr>
            <w:tcW w:w="3213" w:type="dxa"/>
          </w:tcPr>
          <w:p>
            <w:pPr>
              <w:pStyle w:val="Celda"/>
            </w:pPr>
          </w:p>
        </w:tc>
        <w:tc>
          <w:tcPr>
            <w:tcW w:w="3213" w:type="dxa"/>
          </w:tcPr>
          <w:p>
            <w:pPr>
              <w:pStyle w:val="Celda"/>
            </w:pPr>
            <w:r>
              <w:t xml:space="preserve">Different from whoever calculated it.</w:t>
            </w:r>
          </w:p>
        </w:tc>
      </w:tr>
    </w:tbl>
    <w:p>
      <w:pPr>
        <w:pStyle w:val="Espacio"/>
      </w:pPr>
    </w:p>
    <w:p>
      <w:pPr>
        <w:pStyle w:val="Separador"/>
      </w:pPr>
    </w:p>
    <w:p>
      <w:pPr>
        <w:pStyle w:val="Heading1"/>
      </w:pPr>
      <w:r>
        <w:t xml:space="preserve">11. Quality criteria</w:t>
      </w:r>
    </w:p>
    <w:p>
      <w:r>
        <w:t xml:space="preserve">The formal G2 criteria are in document 21 (see criteria G2.xx).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Each P08 metric has an operational definition, formula and source.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period covers the relevant cycles of the process.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baseline is measured or its estimate is justified with a measurement plan.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Missing data appears as "no data".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unit values have a source and management control review.</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If there is a control group, its comparability is demonstrated.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freeze date is recorded.</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Provides data</w:t>
            </w:r>
          </w:p>
        </w:tc>
        <w:tc>
          <w:tcPr>
            <w:tcW w:w="1928" w:type="dxa"/>
          </w:tcPr>
          <w:p>
            <w:pPr>
              <w:pStyle w:val="Celda"/>
            </w:pPr>
            <w:r>
              <w:t xml:space="preserve">Owner of the process data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unit values</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AI Sponsor (Lite) · AI Committee (Enterprise), with G2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has not calculated the baseline.</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Structure aligned with 01 §6.4 and with measurement rules 1 and 8 in 00 §6.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P09 · Baseline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P09 · Baseline</dc:title>
  <dc:creator>Fernando García Varela</dc:creator>
  <dc:language>en</dc:language>
  <dc:description>sha256:33ae2a3162f912f88a63f305c4f2262f53e4b5c231fecf917f4e02d267d47e76</dc:description>
  <cp:keywords>SEVEN-G</cp:keywords>
</cp:coreProperties>
</file>