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Data and model lineage</w:t>
      </w:r>
    </w:p>
    <w:p>
      <w:r>
        <w:rPr>
          <w:b/>
        </w:rPr>
        <w:t xml:space="preserve">Records where the data come from, how they are transformed and which models and versions are involved, so that any output of the system can be explained, reproduced and rolled back.</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P16 · Data and model lineage</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Phase 4 (Solution design), before requesting G4. It is updated in phase 5 with the versions actually deployed and in phase 6 with every change to data, model, prompts or knowledge base.</w:t>
            </w:r>
          </w:p>
        </w:tc>
      </w:tr>
      <w:tr>
        <w:tc>
          <w:tcPr>
            <w:tcW w:w="4819" w:type="dxa"/>
          </w:tcPr>
          <w:p>
            <w:pPr>
              <w:pStyle w:val="Celda"/>
            </w:pPr>
            <w:r>
              <w:rPr>
                <w:b/>
              </w:rPr>
              <w:t xml:space="preserve">Who completes it</w:t>
            </w:r>
          </w:p>
        </w:tc>
        <w:tc>
          <w:tcPr>
            <w:tcW w:w="4819" w:type="dxa"/>
          </w:tcPr>
          <w:p>
            <w:pPr>
              <w:pStyle w:val="Celda"/>
            </w:pPr>
            <w:r>
              <w:t xml:space="preserve">AI Technical Owner, with the owners of the source data.</w:t>
            </w:r>
          </w:p>
        </w:tc>
      </w:tr>
      <w:tr>
        <w:tc>
          <w:tcPr>
            <w:tcW w:w="4819" w:type="dxa"/>
          </w:tcPr>
          <w:p>
            <w:pPr>
              <w:pStyle w:val="Celda"/>
            </w:pPr>
            <w:r>
              <w:rPr>
                <w:b/>
              </w:rPr>
              <w:t xml:space="preserve">Who verifies it</w:t>
            </w:r>
          </w:p>
        </w:tc>
        <w:tc>
          <w:tcPr>
            <w:tcW w:w="4819" w:type="dxa"/>
          </w:tcPr>
          <w:p>
            <w:pPr>
              <w:pStyle w:val="Celda"/>
            </w:pPr>
            <w:r>
              <w:t xml:space="preserve">AI Office under Lite; AI Auditor under Enterprise (01 §7.5). The AI Risk Owner reviews the legal basis and the restrictions on use.</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G4. It is checked again at G5 (deployed versions) and at every R6 continuity review.</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If the system is classified as high-risk, all fields are completed regardless of intensity.</w:t>
            </w:r>
          </w:p>
        </w:tc>
      </w:tr>
      <w:tr>
        <w:tc>
          <w:tcPr>
            <w:tcW w:w="4819" w:type="dxa"/>
          </w:tcPr>
          <w:p>
            <w:pPr>
              <w:pStyle w:val="Celda"/>
            </w:pPr>
            <w:r>
              <w:rPr>
                <w:b/>
              </w:rPr>
              <w:t xml:space="preserve">Relationship</w:t>
            </w:r>
          </w:p>
        </w:tc>
        <w:tc>
          <w:tcPr>
            <w:tcW w:w="4819" w:type="dxa"/>
          </w:tcPr>
          <w:p>
            <w:pPr>
              <w:pStyle w:val="Celda"/>
            </w:pPr>
            <w:r>
              <w:t xml:space="preserve">P05 Inventory record · P11 Regulatory classification · P15 Architecture record · P19 Rollback plan · P27 Incident and change log · P30 Scale or retire decision · P64 Dataset record and knowledge source inventory · documents 51 and 53.</w:t>
            </w:r>
          </w:p>
        </w:tc>
      </w:tr>
    </w:tbl>
    <w:p>
      <w:pPr>
        <w:pStyle w:val="Espacio"/>
      </w:pPr>
    </w:p>
    <w:p>
      <w:r>
        <w:t xml:space="preserve">Completion rules:</w:t>
      </w:r>
    </w:p>
    <w:p>
      <w:pPr>
        <w:pStyle w:val="Lista"/>
      </w:pPr>
      <w:r>
        <w:t xml:space="preserve">• Each source, dataset, model and component has an </w:t>
      </w:r>
      <w:r>
        <w:rPr>
          <w:b/>
        </w:rPr>
        <w:t xml:space="preserve">identifier, version and owner</w:t>
      </w:r>
      <w:r>
        <w:t xml:space="preserve">. Generic descriptions such as "customer data" are not accepted: the table, file, API or service is identified.</w:t>
      </w:r>
    </w:p>
    <w:p>
      <w:pPr>
        <w:pStyle w:val="Lista"/>
      </w:pPr>
      <w:r>
        <w:t xml:space="preserve">• Third-party models, including general-purpose models consumed via API, are recorded with the supplier, commercial name and exact version.</w:t>
      </w:r>
    </w:p>
    <w:p>
      <w:pPr>
        <w:pStyle w:val="Lista"/>
      </w:pPr>
      <w:r>
        <w:t xml:space="preserve">• In generative AI and agents, </w:t>
      </w:r>
      <w:r>
        <w:rPr>
          <w:b/>
        </w:rPr>
        <w:t xml:space="preserve">system prompts, knowledge bases and connected tools</w:t>
      </w:r>
      <w:r>
        <w:t xml:space="preserve"> are versioned components, just like a model.</w:t>
      </w:r>
    </w:p>
    <w:p>
      <w:pPr>
        <w:pStyle w:val="Lista"/>
      </w:pPr>
      <w:r>
        <w:t xml:space="preserve">• Every version change in production is recorded as a change in P27 and updates this template.</w:t>
      </w:r>
    </w:p>
    <w:p>
      <w:pPr>
        <w:pStyle w:val="Lista"/>
      </w:pPr>
      <w:r>
        <w:t xml:space="preserve">• "No data" is not zero: if a field is not known, </w:t>
      </w:r>
      <w:r>
        <w:rPr>
          <w:i/>
        </w:rPr>
        <w:t xml:space="preserve">No data</w:t>
      </w:r>
      <w:r>
        <w:t xml:space="preserve"> and the reason are stated.</w:t>
      </w:r>
    </w:p>
    <w:p>
      <w:r>
        <w:t xml:space="preserve">This template does not constitute legal advice. The legal basis for processing must be validated by data protection.</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from the initiative register (T01).</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r>
              <w:t xml:space="preserve">Short, understandable name.</w:t>
            </w: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Identifier in the AI system inventory (T02, P05).</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 (P04).</w:t>
            </w:r>
          </w:p>
        </w:tc>
      </w:tr>
      <w:tr>
        <w:tc>
          <w:tcPr>
            <w:tcW w:w="3213" w:type="dxa"/>
          </w:tcPr>
          <w:p>
            <w:pPr>
              <w:pStyle w:val="Celda"/>
            </w:pPr>
            <w:r>
              <w:t xml:space="preserve">Regulatory classification</w:t>
            </w:r>
          </w:p>
        </w:tc>
        <w:tc>
          <w:tcPr>
            <w:tcW w:w="3213" w:type="dxa"/>
          </w:tcPr>
          <w:p>
            <w:pPr>
              <w:pStyle w:val="Celda"/>
            </w:pPr>
          </w:p>
        </w:tc>
        <w:tc>
          <w:tcPr>
            <w:tcW w:w="3213" w:type="dxa"/>
          </w:tcPr>
          <w:p>
            <w:pPr>
              <w:pStyle w:val="Celda"/>
            </w:pPr>
            <w:r>
              <w:t xml:space="preserve">Prohibited · High risk · Transparency obligations · Minimal risk · Out of scope · Pending classification (P11).</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r>
              <w:t xml:space="preserve">0.1, 0.2…; 1.0 upon approval. Each change in production increments the version.</w:t>
            </w: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Draft · Submitted for verification · Verified · Approved · Superseded.</w:t>
            </w:r>
          </w:p>
        </w:tc>
      </w:tr>
    </w:tbl>
    <w:p>
      <w:pPr>
        <w:pStyle w:val="Espacio"/>
      </w:pPr>
    </w:p>
    <w:p>
      <w:pPr>
        <w:pStyle w:val="Separador"/>
      </w:pPr>
    </w:p>
    <w:p>
      <w:pPr>
        <w:pStyle w:val="Heading1"/>
      </w:pPr>
      <w:r>
        <w:t xml:space="preserve">3. Data sources</w:t>
      </w:r>
    </w:p>
    <w:p>
      <w:r>
        <w:t xml:space="preserve">One row per source. </w:t>
      </w:r>
      <w:r>
        <w:rPr>
          <w:b/>
        </w:rPr>
        <w:t xml:space="preserve">Data type:</w:t>
      </w:r>
      <w:r>
        <w:t xml:space="preserve"> Personal · Special categories · Confidential · Internal · Public · Synthetic. </w:t>
      </w:r>
      <w:r>
        <w:rPr>
          <w:b/>
        </w:rPr>
        <w:t xml:space="preserve">Legal basis (GDPR Art. 6):</w:t>
      </w:r>
      <w:r>
        <w:t xml:space="preserve"> Consent · Contract · Legal obligation · Vital interests · Public interest · Legitimate interest · Not applicable (no personal data).</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ID</w:t>
            </w:r>
          </w:p>
        </w:tc>
        <w:tc>
          <w:tcPr>
            <w:tcW w:w="1205" w:type="dxa"/>
            <w:shd w:val="clear" w:color="auto" w:fill="F2DFCE"/>
          </w:tcPr>
          <w:p>
            <w:pPr>
              <w:pStyle w:val="Celda"/>
            </w:pPr>
            <w:r>
              <w:rPr>
                <w:b/>
              </w:rPr>
              <w:t xml:space="preserve">Source and source system</w:t>
            </w:r>
          </w:p>
        </w:tc>
        <w:tc>
          <w:tcPr>
            <w:tcW w:w="1205" w:type="dxa"/>
            <w:shd w:val="clear" w:color="auto" w:fill="F2DFCE"/>
          </w:tcPr>
          <w:p>
            <w:pPr>
              <w:pStyle w:val="Celda"/>
            </w:pPr>
            <w:r>
              <w:rPr>
                <w:b/>
              </w:rPr>
              <w:t xml:space="preserve">Data owner</w:t>
            </w:r>
          </w:p>
        </w:tc>
        <w:tc>
          <w:tcPr>
            <w:tcW w:w="1205" w:type="dxa"/>
            <w:shd w:val="clear" w:color="auto" w:fill="F2DFCE"/>
          </w:tcPr>
          <w:p>
            <w:pPr>
              <w:pStyle w:val="Celda"/>
            </w:pPr>
            <w:r>
              <w:rPr>
                <w:b/>
              </w:rPr>
              <w:t xml:space="preserve">Data type</w:t>
            </w:r>
          </w:p>
        </w:tc>
        <w:tc>
          <w:tcPr>
            <w:tcW w:w="1205" w:type="dxa"/>
            <w:shd w:val="clear" w:color="auto" w:fill="F2DFCE"/>
          </w:tcPr>
          <w:p>
            <w:pPr>
              <w:pStyle w:val="Celda"/>
            </w:pPr>
            <w:r>
              <w:rPr>
                <w:b/>
              </w:rPr>
              <w:t xml:space="preserve">Legal basis</w:t>
            </w:r>
          </w:p>
        </w:tc>
        <w:tc>
          <w:tcPr>
            <w:tcW w:w="1205" w:type="dxa"/>
            <w:shd w:val="clear" w:color="auto" w:fill="F2DFCE"/>
          </w:tcPr>
          <w:p>
            <w:pPr>
              <w:pStyle w:val="Celda"/>
            </w:pPr>
            <w:r>
              <w:rPr>
                <w:b/>
              </w:rPr>
              <w:t xml:space="preserve">Restrictions on use</w:t>
            </w:r>
          </w:p>
        </w:tc>
        <w:tc>
          <w:tcPr>
            <w:tcW w:w="1205" w:type="dxa"/>
            <w:shd w:val="clear" w:color="auto" w:fill="F2DFCE"/>
          </w:tcPr>
          <w:p>
            <w:pPr>
              <w:pStyle w:val="Celda"/>
            </w:pPr>
            <w:r>
              <w:rPr>
                <w:b/>
              </w:rPr>
              <w:t xml:space="preserve">Update frequency</w:t>
            </w:r>
          </w:p>
        </w:tc>
        <w:tc>
          <w:tcPr>
            <w:tcW w:w="1205" w:type="dxa"/>
            <w:shd w:val="clear" w:color="auto" w:fill="F2DFCE"/>
          </w:tcPr>
          <w:p>
            <w:pPr>
              <w:pStyle w:val="Celda"/>
            </w:pPr>
            <w:r>
              <w:rPr>
                <w:b/>
              </w:rPr>
              <w:t xml:space="preserve">Quality verified (Yes · No · Partial)</w:t>
            </w:r>
          </w:p>
        </w:tc>
      </w:tr>
      <w:tr>
        <w:tc>
          <w:tcPr>
            <w:tcW w:w="1205" w:type="dxa"/>
          </w:tcPr>
          <w:p>
            <w:pPr>
              <w:pStyle w:val="Celda"/>
            </w:pPr>
            <w:r>
              <w:t xml:space="preserve">F-01 </w:t>
            </w:r>
            <w:r>
              <w:rPr>
                <w:i/>
              </w:rPr>
              <w:t xml:space="preserve">(illustrative example)</w:t>
            </w:r>
          </w:p>
        </w:tc>
        <w:tc>
          <w:tcPr>
            <w:tcW w:w="1205" w:type="dxa"/>
          </w:tcPr>
          <w:p>
            <w:pPr>
              <w:pStyle w:val="Celda"/>
            </w:pPr>
            <w:r>
              <w:t xml:space="preserve">Maintenance incident history, work order table of the asset management system</w:t>
            </w:r>
          </w:p>
        </w:tc>
        <w:tc>
          <w:tcPr>
            <w:tcW w:w="1205" w:type="dxa"/>
          </w:tcPr>
          <w:p>
            <w:pPr>
              <w:pStyle w:val="Celda"/>
            </w:pPr>
            <w:r>
              <w:t xml:space="preserve">Head of maintenance</w:t>
            </w:r>
          </w:p>
        </w:tc>
        <w:tc>
          <w:tcPr>
            <w:tcW w:w="1205" w:type="dxa"/>
          </w:tcPr>
          <w:p>
            <w:pPr>
              <w:pStyle w:val="Celda"/>
            </w:pPr>
            <w:r>
              <w:t xml:space="preserve">Internal</w:t>
            </w:r>
          </w:p>
        </w:tc>
        <w:tc>
          <w:tcPr>
            <w:tcW w:w="1205" w:type="dxa"/>
          </w:tcPr>
          <w:p>
            <w:pPr>
              <w:pStyle w:val="Celda"/>
            </w:pPr>
            <w:r>
              <w:t xml:space="preserve">Not applicable</w:t>
            </w:r>
          </w:p>
        </w:tc>
        <w:tc>
          <w:tcPr>
            <w:tcW w:w="1205" w:type="dxa"/>
          </w:tcPr>
          <w:p>
            <w:pPr>
              <w:pStyle w:val="Celda"/>
            </w:pPr>
            <w:r>
              <w:t xml:space="preserve">Internal use only; not shared with suppliers</w:t>
            </w:r>
          </w:p>
        </w:tc>
        <w:tc>
          <w:tcPr>
            <w:tcW w:w="1205" w:type="dxa"/>
          </w:tcPr>
          <w:p>
            <w:pPr>
              <w:pStyle w:val="Celda"/>
            </w:pPr>
            <w:r>
              <w:t xml:space="preserve">Daily</w:t>
            </w:r>
          </w:p>
        </w:tc>
        <w:tc>
          <w:tcPr>
            <w:tcW w:w="1205" w:type="dxa"/>
          </w:tcPr>
          <w:p>
            <w:pPr>
              <w:pStyle w:val="Celda"/>
            </w:pPr>
            <w:r>
              <w:t xml:space="preserve">Partial: 4 % of records without a fault code</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Supplementary 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Third-party or acquired data</w:t>
            </w:r>
          </w:p>
        </w:tc>
        <w:tc>
          <w:tcPr>
            <w:tcW w:w="3213" w:type="dxa"/>
          </w:tcPr>
          <w:p>
            <w:pPr>
              <w:pStyle w:val="Celda"/>
            </w:pPr>
          </w:p>
        </w:tc>
        <w:tc>
          <w:tcPr>
            <w:tcW w:w="3213" w:type="dxa"/>
          </w:tcPr>
          <w:p>
            <w:pPr>
              <w:pStyle w:val="Celda"/>
            </w:pPr>
            <w:r>
              <w:t xml:space="preserve">Supplier, licence and conditions of use for AI.</w:t>
            </w:r>
          </w:p>
        </w:tc>
      </w:tr>
      <w:tr>
        <w:tc>
          <w:tcPr>
            <w:tcW w:w="3213" w:type="dxa"/>
          </w:tcPr>
          <w:p>
            <w:pPr>
              <w:pStyle w:val="Celda"/>
            </w:pPr>
            <w:r>
              <w:t xml:space="preserve">Transfers outside the European Economic Area </w:t>
            </w:r>
            <w:r>
              <w:rPr>
                <w:b/>
              </w:rPr>
              <w:t xml:space="preserve">(Enterprise)</w:t>
            </w:r>
          </w:p>
        </w:tc>
        <w:tc>
          <w:tcPr>
            <w:tcW w:w="3213" w:type="dxa"/>
          </w:tcPr>
          <w:p>
            <w:pPr>
              <w:pStyle w:val="Celda"/>
            </w:pPr>
          </w:p>
        </w:tc>
        <w:tc>
          <w:tcPr>
            <w:tcW w:w="3213" w:type="dxa"/>
          </w:tcPr>
          <w:p>
            <w:pPr>
              <w:pStyle w:val="Celda"/>
            </w:pPr>
            <w:r>
              <w:t xml:space="preserve">Destination, safeguard applied and reference to the supplier assessment (P14).</w:t>
            </w:r>
          </w:p>
        </w:tc>
      </w:tr>
      <w:tr>
        <w:tc>
          <w:tcPr>
            <w:tcW w:w="3213" w:type="dxa"/>
          </w:tcPr>
          <w:p>
            <w:pPr>
              <w:pStyle w:val="Celda"/>
            </w:pPr>
            <w:r>
              <w:t xml:space="preserve">Data protection impact assessment</w:t>
            </w:r>
          </w:p>
        </w:tc>
        <w:tc>
          <w:tcPr>
            <w:tcW w:w="3213" w:type="dxa"/>
          </w:tcPr>
          <w:p>
            <w:pPr>
              <w:pStyle w:val="Celda"/>
            </w:pPr>
          </w:p>
        </w:tc>
        <w:tc>
          <w:tcPr>
            <w:tcW w:w="3213" w:type="dxa"/>
          </w:tcPr>
          <w:p>
            <w:pPr>
              <w:pStyle w:val="Celda"/>
            </w:pPr>
            <w:r>
              <w:t xml:space="preserve">Carried out · Not required (with justification) · Pending. Link to P11.</w:t>
            </w:r>
          </w:p>
        </w:tc>
      </w:tr>
    </w:tbl>
    <w:p>
      <w:pPr>
        <w:pStyle w:val="Espacio"/>
      </w:pPr>
    </w:p>
    <w:p>
      <w:pPr>
        <w:pStyle w:val="Separador"/>
      </w:pPr>
    </w:p>
    <w:p>
      <w:pPr>
        <w:pStyle w:val="Heading1"/>
      </w:pPr>
      <w:r>
        <w:t xml:space="preserve">4. Datasets and transformations</w:t>
      </w:r>
    </w:p>
    <w:p>
      <w:r>
        <w:rPr>
          <w:b/>
        </w:rPr>
        <w:t xml:space="preserve">Use:</w:t>
      </w:r>
      <w:r>
        <w:t xml:space="preserve"> Training · Fine-tuning · Validation · Testing · Knowledge base (retrieval) · Inference · Monitoring.</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Dataset ID</w:t>
            </w:r>
          </w:p>
        </w:tc>
        <w:tc>
          <w:tcPr>
            <w:tcW w:w="1071" w:type="dxa"/>
            <w:shd w:val="clear" w:color="auto" w:fill="F2DFCE"/>
          </w:tcPr>
          <w:p>
            <w:pPr>
              <w:pStyle w:val="Celda"/>
            </w:pPr>
            <w:r>
              <w:rPr>
                <w:b/>
              </w:rPr>
              <w:t xml:space="preserve">Use</w:t>
            </w:r>
          </w:p>
        </w:tc>
        <w:tc>
          <w:tcPr>
            <w:tcW w:w="1071" w:type="dxa"/>
            <w:shd w:val="clear" w:color="auto" w:fill="F2DFCE"/>
          </w:tcPr>
          <w:p>
            <w:pPr>
              <w:pStyle w:val="Celda"/>
            </w:pPr>
            <w:r>
              <w:rPr>
                <w:b/>
              </w:rPr>
              <w:t xml:space="preserve">Sources (ID)</w:t>
            </w:r>
          </w:p>
        </w:tc>
        <w:tc>
          <w:tcPr>
            <w:tcW w:w="1071" w:type="dxa"/>
            <w:shd w:val="clear" w:color="auto" w:fill="F2DFCE"/>
          </w:tcPr>
          <w:p>
            <w:pPr>
              <w:pStyle w:val="Celda"/>
            </w:pPr>
            <w:r>
              <w:rPr>
                <w:b/>
              </w:rPr>
              <w:t xml:space="preserve">Main transformations</w:t>
            </w:r>
          </w:p>
        </w:tc>
        <w:tc>
          <w:tcPr>
            <w:tcW w:w="1071" w:type="dxa"/>
            <w:shd w:val="clear" w:color="auto" w:fill="F2DFCE"/>
          </w:tcPr>
          <w:p>
            <w:pPr>
              <w:pStyle w:val="Celda"/>
            </w:pPr>
            <w:r>
              <w:rPr>
                <w:b/>
              </w:rPr>
              <w:t xml:space="preserve">Version or fingerprint</w:t>
            </w:r>
          </w:p>
        </w:tc>
        <w:tc>
          <w:tcPr>
            <w:tcW w:w="1071" w:type="dxa"/>
            <w:shd w:val="clear" w:color="auto" w:fill="F2DFCE"/>
          </w:tcPr>
          <w:p>
            <w:pPr>
              <w:pStyle w:val="Celda"/>
            </w:pPr>
            <w:r>
              <w:rPr>
                <w:b/>
              </w:rPr>
              <w:t xml:space="preserve">Period covered</w:t>
            </w:r>
          </w:p>
        </w:tc>
        <w:tc>
          <w:tcPr>
            <w:tcW w:w="1071" w:type="dxa"/>
            <w:shd w:val="clear" w:color="auto" w:fill="F2DFCE"/>
          </w:tcPr>
          <w:p>
            <w:pPr>
              <w:pStyle w:val="Celda"/>
            </w:pPr>
            <w:r>
              <w:rPr>
                <w:b/>
              </w:rPr>
              <w:t xml:space="preserve">Volume</w:t>
            </w:r>
          </w:p>
        </w:tc>
        <w:tc>
          <w:tcPr>
            <w:tcW w:w="1071" w:type="dxa"/>
            <w:shd w:val="clear" w:color="auto" w:fill="F2DFCE"/>
          </w:tcPr>
          <w:p>
            <w:pPr>
              <w:pStyle w:val="Celda"/>
            </w:pPr>
            <w:r>
              <w:rPr>
                <w:b/>
              </w:rPr>
              <w:t xml:space="preserve">Bias and representativeness controls </w:t>
            </w:r>
            <w:r>
              <w:rPr>
                <w:b/>
              </w:rPr>
              <w:t xml:space="preserve">(Enterprise)</w:t>
            </w:r>
          </w:p>
        </w:tc>
        <w:tc>
          <w:tcPr>
            <w:tcW w:w="1071" w:type="dxa"/>
            <w:shd w:val="clear" w:color="auto" w:fill="F2DFCE"/>
          </w:tcPr>
          <w:p>
            <w:pPr>
              <w:pStyle w:val="Celda"/>
            </w:pPr>
            <w:r>
              <w:rPr>
                <w:b/>
              </w:rPr>
              <w:t xml:space="preserve">Location and retention</w:t>
            </w:r>
          </w:p>
        </w:tc>
      </w:tr>
      <w:tr>
        <w:tc>
          <w:tcPr>
            <w:tcW w:w="1071" w:type="dxa"/>
          </w:tcPr>
          <w:p>
            <w:pPr>
              <w:pStyle w:val="Celda"/>
            </w:pPr>
            <w:r>
              <w:t xml:space="preserve">CD-01 </w:t>
            </w:r>
            <w:r>
              <w:rPr>
                <w:i/>
              </w:rPr>
              <w:t xml:space="preserve">(illustrative example)</w:t>
            </w:r>
          </w:p>
        </w:tc>
        <w:tc>
          <w:tcPr>
            <w:tcW w:w="1071" w:type="dxa"/>
          </w:tcPr>
          <w:p>
            <w:pPr>
              <w:pStyle w:val="Celda"/>
            </w:pPr>
            <w:r>
              <w:t xml:space="preserve">Training</w:t>
            </w:r>
          </w:p>
        </w:tc>
        <w:tc>
          <w:tcPr>
            <w:tcW w:w="1071" w:type="dxa"/>
          </w:tcPr>
          <w:p>
            <w:pPr>
              <w:pStyle w:val="Celda"/>
            </w:pPr>
            <w:r>
              <w:t xml:space="preserve">F-01, F-02</w:t>
            </w:r>
          </w:p>
        </w:tc>
        <w:tc>
          <w:tcPr>
            <w:tcW w:w="1071" w:type="dxa"/>
          </w:tcPr>
          <w:p>
            <w:pPr>
              <w:pStyle w:val="Celda"/>
            </w:pPr>
            <w:r>
              <w:t xml:space="preserve">Removal of duplicates; imputation of dates; pseudonymisation of the technician</w:t>
            </w:r>
          </w:p>
        </w:tc>
        <w:tc>
          <w:tcPr>
            <w:tcW w:w="1071" w:type="dxa"/>
          </w:tcPr>
          <w:p>
            <w:pPr>
              <w:pStyle w:val="Celda"/>
            </w:pPr>
            <w:r>
              <w:t xml:space="preserve">v3 · fingerprint recorded in the data repository</w:t>
            </w:r>
          </w:p>
        </w:tc>
        <w:tc>
          <w:tcPr>
            <w:tcW w:w="1071" w:type="dxa"/>
          </w:tcPr>
          <w:p>
            <w:pPr>
              <w:pStyle w:val="Celda"/>
            </w:pPr>
            <w:r>
              <w:t xml:space="preserve">01-2023 to 12-2025</w:t>
            </w:r>
          </w:p>
        </w:tc>
        <w:tc>
          <w:tcPr>
            <w:tcW w:w="1071" w:type="dxa"/>
          </w:tcPr>
          <w:p>
            <w:pPr>
              <w:pStyle w:val="Celda"/>
            </w:pPr>
            <w:r>
              <w:t xml:space="preserve">180,000 records</w:t>
            </w:r>
          </w:p>
        </w:tc>
        <w:tc>
          <w:tcPr>
            <w:tcW w:w="1071" w:type="dxa"/>
          </w:tcPr>
          <w:p>
            <w:pPr>
              <w:pStyle w:val="Celda"/>
            </w:pPr>
            <w:r>
              <w:t xml:space="preserve">Distribution by plant and asset type compared with the population</w:t>
            </w:r>
          </w:p>
        </w:tc>
        <w:tc>
          <w:tcPr>
            <w:tcW w:w="1071" w:type="dxa"/>
          </w:tcPr>
          <w:p>
            <w:pPr>
              <w:pStyle w:val="Celda"/>
            </w:pPr>
            <w:r>
              <w:t xml:space="preserve">Analytics repository; 5 years</w:t>
            </w: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pPr>
        <w:pStyle w:val="Separador"/>
      </w:pPr>
    </w:p>
    <w:p>
      <w:pPr>
        <w:pStyle w:val="Heading1"/>
      </w:pPr>
      <w:r>
        <w:t xml:space="preserve">5. Models and components</w:t>
      </w:r>
    </w:p>
    <w:p>
      <w:r>
        <w:rPr>
          <w:b/>
        </w:rPr>
        <w:t xml:space="preserve">Model type:</w:t>
      </w:r>
      <w:r>
        <w:t xml:space="preserve"> In-house trained · In-house fine-tuned on a base model · Third-party via API · Third-party deployed on own infrastructure · General-purpose model · Rules (not AI). </w:t>
      </w:r>
      <w:r>
        <w:rPr>
          <w:b/>
        </w:rPr>
        <w:t xml:space="preserve">Status:</w:t>
      </w:r>
      <w:r>
        <w:t xml:space="preserve"> In development · Validated · In production · Retired.</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Model ID</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Supplier and exact version</w:t>
            </w:r>
          </w:p>
        </w:tc>
        <w:tc>
          <w:tcPr>
            <w:tcW w:w="1205" w:type="dxa"/>
            <w:shd w:val="clear" w:color="auto" w:fill="F2DFCE"/>
          </w:tcPr>
          <w:p>
            <w:pPr>
              <w:pStyle w:val="Celda"/>
            </w:pPr>
            <w:r>
              <w:rPr>
                <w:b/>
              </w:rPr>
              <w:t xml:space="preserve">Datasets used</w:t>
            </w:r>
          </w:p>
        </w:tc>
        <w:tc>
          <w:tcPr>
            <w:tcW w:w="1205" w:type="dxa"/>
            <w:shd w:val="clear" w:color="auto" w:fill="F2DFCE"/>
          </w:tcPr>
          <w:p>
            <w:pPr>
              <w:pStyle w:val="Celda"/>
            </w:pPr>
            <w:r>
              <w:rPr>
                <w:b/>
              </w:rPr>
              <w:t xml:space="preserve">Purpose</w:t>
            </w:r>
          </w:p>
        </w:tc>
        <w:tc>
          <w:tcPr>
            <w:tcW w:w="1205" w:type="dxa"/>
            <w:shd w:val="clear" w:color="auto" w:fill="F2DFCE"/>
          </w:tcPr>
          <w:p>
            <w:pPr>
              <w:pStyle w:val="Celda"/>
            </w:pPr>
            <w:r>
              <w:rPr>
                <w:b/>
              </w:rPr>
              <w:t xml:space="preserve">Reference metrics</w:t>
            </w:r>
          </w:p>
        </w:tc>
        <w:tc>
          <w:tcPr>
            <w:tcW w:w="1205" w:type="dxa"/>
            <w:shd w:val="clear" w:color="auto" w:fill="F2DFCE"/>
          </w:tcPr>
          <w:p>
            <w:pPr>
              <w:pStyle w:val="Celda"/>
            </w:pPr>
            <w:r>
              <w:rPr>
                <w:b/>
              </w:rPr>
              <w:t xml:space="preserve">Known limitations</w:t>
            </w:r>
          </w:p>
        </w:tc>
        <w:tc>
          <w:tcPr>
            <w:tcW w:w="1205" w:type="dxa"/>
            <w:shd w:val="clear" w:color="auto" w:fill="F2DFCE"/>
          </w:tcPr>
          <w:p>
            <w:pPr>
              <w:pStyle w:val="Celda"/>
            </w:pPr>
            <w:r>
              <w:rPr>
                <w:b/>
              </w:rPr>
              <w:t xml:space="preserve">Status</w:t>
            </w:r>
          </w:p>
        </w:tc>
      </w:tr>
      <w:tr>
        <w:tc>
          <w:tcPr>
            <w:tcW w:w="1205" w:type="dxa"/>
          </w:tcPr>
          <w:p>
            <w:pPr>
              <w:pStyle w:val="Celda"/>
            </w:pPr>
            <w:r>
              <w:t xml:space="preserve">M-01 </w:t>
            </w:r>
            <w:r>
              <w:rPr>
                <w:i/>
              </w:rPr>
              <w:t xml:space="preserve">(illustrative example)</w:t>
            </w:r>
          </w:p>
        </w:tc>
        <w:tc>
          <w:tcPr>
            <w:tcW w:w="1205" w:type="dxa"/>
          </w:tcPr>
          <w:p>
            <w:pPr>
              <w:pStyle w:val="Celda"/>
            </w:pPr>
            <w:r>
              <w:t xml:space="preserve">In-house trained</w:t>
            </w:r>
          </w:p>
        </w:tc>
        <w:tc>
          <w:tcPr>
            <w:tcW w:w="1205" w:type="dxa"/>
          </w:tcPr>
          <w:p>
            <w:pPr>
              <w:pStyle w:val="Celda"/>
            </w:pPr>
            <w:r>
              <w:t xml:space="preserve">Internal · v1.4</w:t>
            </w:r>
          </w:p>
        </w:tc>
        <w:tc>
          <w:tcPr>
            <w:tcW w:w="1205" w:type="dxa"/>
          </w:tcPr>
          <w:p>
            <w:pPr>
              <w:pStyle w:val="Celda"/>
            </w:pPr>
            <w:r>
              <w:t xml:space="preserve">CD-01, CD-02</w:t>
            </w:r>
          </w:p>
        </w:tc>
        <w:tc>
          <w:tcPr>
            <w:tcW w:w="1205" w:type="dxa"/>
          </w:tcPr>
          <w:p>
            <w:pPr>
              <w:pStyle w:val="Celda"/>
            </w:pPr>
            <w:r>
              <w:t xml:space="preserve">Estimate the probability of failure within 30 days</w:t>
            </w:r>
          </w:p>
        </w:tc>
        <w:tc>
          <w:tcPr>
            <w:tcW w:w="1205" w:type="dxa"/>
          </w:tcPr>
          <w:p>
            <w:pPr>
              <w:pStyle w:val="Celda"/>
            </w:pPr>
            <w:r>
              <w:t xml:space="preserve">Discrimination and calibration metrics recorded in P22</w:t>
            </w:r>
          </w:p>
        </w:tc>
        <w:tc>
          <w:tcPr>
            <w:tcW w:w="1205" w:type="dxa"/>
          </w:tcPr>
          <w:p>
            <w:pPr>
              <w:pStyle w:val="Celda"/>
            </w:pPr>
            <w:r>
              <w:t xml:space="preserve">Poor performance on assets with less than 6 months of history</w:t>
            </w:r>
          </w:p>
        </w:tc>
        <w:tc>
          <w:tcPr>
            <w:tcW w:w="1205" w:type="dxa"/>
          </w:tcPr>
          <w:p>
            <w:pPr>
              <w:pStyle w:val="Celda"/>
            </w:pPr>
            <w:r>
              <w:t xml:space="preserve">Validated</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Generative AI and agent components (if applicable):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Component</w:t>
            </w:r>
          </w:p>
        </w:tc>
        <w:tc>
          <w:tcPr>
            <w:tcW w:w="1928" w:type="dxa"/>
            <w:shd w:val="clear" w:color="auto" w:fill="F2DFCE"/>
          </w:tcPr>
          <w:p>
            <w:pPr>
              <w:pStyle w:val="Celda"/>
            </w:pPr>
            <w:r>
              <w:rPr>
                <w:b/>
              </w:rPr>
              <w:t xml:space="preserve">Identifier and version</w:t>
            </w:r>
          </w:p>
        </w:tc>
        <w:tc>
          <w:tcPr>
            <w:tcW w:w="1928" w:type="dxa"/>
            <w:shd w:val="clear" w:color="auto" w:fill="F2DFCE"/>
          </w:tcPr>
          <w:p>
            <w:pPr>
              <w:pStyle w:val="Celda"/>
            </w:pPr>
            <w:r>
              <w:rPr>
                <w:b/>
              </w:rPr>
              <w:t xml:space="preserve">Owner</w:t>
            </w:r>
          </w:p>
        </w:tc>
        <w:tc>
          <w:tcPr>
            <w:tcW w:w="1928" w:type="dxa"/>
            <w:shd w:val="clear" w:color="auto" w:fill="F2DFCE"/>
          </w:tcPr>
          <w:p>
            <w:pPr>
              <w:pStyle w:val="Celda"/>
            </w:pPr>
            <w:r>
              <w:rPr>
                <w:b/>
              </w:rPr>
              <w:t xml:space="preserve">Location</w:t>
            </w:r>
          </w:p>
        </w:tc>
        <w:tc>
          <w:tcPr>
            <w:tcW w:w="1928" w:type="dxa"/>
            <w:shd w:val="clear" w:color="auto" w:fill="F2DFCE"/>
          </w:tcPr>
          <w:p>
            <w:pPr>
              <w:pStyle w:val="Celda"/>
            </w:pPr>
            <w:r>
              <w:rPr>
                <w:b/>
              </w:rPr>
              <w:t xml:space="preserve">What a change requires</w:t>
            </w:r>
          </w:p>
        </w:tc>
      </w:tr>
      <w:tr>
        <w:tc>
          <w:tcPr>
            <w:tcW w:w="1928" w:type="dxa"/>
          </w:tcPr>
          <w:p>
            <w:pPr>
              <w:pStyle w:val="Celda"/>
            </w:pPr>
            <w:r>
              <w:t xml:space="preserve">System prompts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Regression testing and recording in P27.</w:t>
            </w:r>
          </w:p>
        </w:tc>
      </w:tr>
      <w:tr>
        <w:tc>
          <w:tcPr>
            <w:tcW w:w="1928" w:type="dxa"/>
          </w:tcPr>
          <w:p>
            <w:pPr>
              <w:pStyle w:val="Celda"/>
            </w:pPr>
            <w:r>
              <w:t xml:space="preserve">Knowledge base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Content review, cut-off date and access permissions.</w:t>
            </w:r>
          </w:p>
        </w:tc>
      </w:tr>
      <w:tr>
        <w:tc>
          <w:tcPr>
            <w:tcW w:w="1928" w:type="dxa"/>
          </w:tcPr>
          <w:p>
            <w:pPr>
              <w:pStyle w:val="Celda"/>
            </w:pPr>
            <w:r>
              <w:t xml:space="preserve">Agent's connected tools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Permissions review in P18.</w:t>
            </w:r>
          </w:p>
        </w:tc>
      </w:tr>
      <w:tr>
        <w:tc>
          <w:tcPr>
            <w:tcW w:w="1928" w:type="dxa"/>
          </w:tcPr>
          <w:p>
            <w:pPr>
              <w:pStyle w:val="Celda"/>
            </w:pPr>
            <w:r>
              <w:t xml:space="preserve">Generation parameters </w:t>
            </w:r>
            <w:r>
              <w:rPr>
                <w:b/>
              </w:rPr>
              <w:t xml:space="preserve">(Enterprise)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Regression testing.</w:t>
            </w:r>
          </w:p>
        </w:tc>
      </w:tr>
      <w:tr>
        <w:tc>
          <w:tcPr>
            <w:tcW w:w="1928" w:type="dxa"/>
          </w:tcPr>
          <w:p>
            <w:pPr>
              <w:pStyle w:val="Celda"/>
            </w:pPr>
            <w:r>
              <w:t xml:space="preserve">Cost fallback model (document 52 §10.3), if planned</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Provider and exact version; evaluated before G5 with the reference set and the bias tests of the primary model. Adding it or changing its conditions is a change (document 52 §6.4).</w:t>
            </w:r>
          </w:p>
        </w:tc>
      </w:tr>
    </w:tbl>
    <w:p>
      <w:pPr>
        <w:pStyle w:val="Espacio"/>
      </w:pPr>
    </w:p>
    <w:p>
      <w:pPr>
        <w:pStyle w:val="Separador"/>
      </w:pPr>
    </w:p>
    <w:p>
      <w:pPr>
        <w:pStyle w:val="Heading1"/>
      </w:pPr>
      <w:r>
        <w:t xml:space="preserve">6. End-to-end journey</w:t>
      </w:r>
    </w:p>
    <w:p>
      <w:r>
        <w:t xml:space="preserve">Describe, in order, how a source data item becomes an output of the system. One row per step; no text diagrams.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Step</w:t>
            </w:r>
          </w:p>
        </w:tc>
        <w:tc>
          <w:tcPr>
            <w:tcW w:w="1928" w:type="dxa"/>
            <w:shd w:val="clear" w:color="auto" w:fill="F2DFCE"/>
          </w:tcPr>
          <w:p>
            <w:pPr>
              <w:pStyle w:val="Celda"/>
            </w:pPr>
            <w:r>
              <w:rPr>
                <w:b/>
              </w:rPr>
              <w:t xml:space="preserve">Input</w:t>
            </w:r>
          </w:p>
        </w:tc>
        <w:tc>
          <w:tcPr>
            <w:tcW w:w="1928" w:type="dxa"/>
            <w:shd w:val="clear" w:color="auto" w:fill="F2DFCE"/>
          </w:tcPr>
          <w:p>
            <w:pPr>
              <w:pStyle w:val="Celda"/>
            </w:pPr>
            <w:r>
              <w:rPr>
                <w:b/>
              </w:rPr>
              <w:t xml:space="preserve">Process</w:t>
            </w:r>
          </w:p>
        </w:tc>
        <w:tc>
          <w:tcPr>
            <w:tcW w:w="1928" w:type="dxa"/>
            <w:shd w:val="clear" w:color="auto" w:fill="F2DFCE"/>
          </w:tcPr>
          <w:p>
            <w:pPr>
              <w:pStyle w:val="Celda"/>
            </w:pPr>
            <w:r>
              <w:rPr>
                <w:b/>
              </w:rPr>
              <w:t xml:space="preserve">Output</w:t>
            </w:r>
          </w:p>
        </w:tc>
        <w:tc>
          <w:tcPr>
            <w:tcW w:w="1928" w:type="dxa"/>
            <w:shd w:val="clear" w:color="auto" w:fill="F2DFCE"/>
          </w:tcPr>
          <w:p>
            <w:pPr>
              <w:pStyle w:val="Celda"/>
            </w:pPr>
            <w:r>
              <w:rPr>
                <w:b/>
              </w:rPr>
              <w:t xml:space="preserve">Record that evidences it</w:t>
            </w:r>
          </w:p>
        </w:tc>
      </w:tr>
      <w:tr>
        <w:tc>
          <w:tcPr>
            <w:tcW w:w="1928" w:type="dxa"/>
          </w:tcPr>
          <w:p>
            <w:pPr>
              <w:pStyle w:val="Celda"/>
            </w:pPr>
            <w:r>
              <w:t xml:space="preserve">1 </w:t>
            </w:r>
            <w:r>
              <w:rPr>
                <w:i/>
              </w:rPr>
              <w:t xml:space="preserve">(illustrative example)</w:t>
            </w:r>
          </w:p>
        </w:tc>
        <w:tc>
          <w:tcPr>
            <w:tcW w:w="1928" w:type="dxa"/>
          </w:tcPr>
          <w:p>
            <w:pPr>
              <w:pStyle w:val="Celda"/>
            </w:pPr>
            <w:r>
              <w:t xml:space="preserve">F-01</w:t>
            </w:r>
          </w:p>
        </w:tc>
        <w:tc>
          <w:tcPr>
            <w:tcW w:w="1928" w:type="dxa"/>
          </w:tcPr>
          <w:p>
            <w:pPr>
              <w:pStyle w:val="Celda"/>
            </w:pPr>
            <w:r>
              <w:t xml:space="preserve">Nightly extraction</w:t>
            </w:r>
          </w:p>
        </w:tc>
        <w:tc>
          <w:tcPr>
            <w:tcW w:w="1928" w:type="dxa"/>
          </w:tcPr>
          <w:p>
            <w:pPr>
              <w:pStyle w:val="Celda"/>
            </w:pPr>
            <w:r>
              <w:t xml:space="preserve">Dated raw copy</w:t>
            </w:r>
          </w:p>
        </w:tc>
        <w:tc>
          <w:tcPr>
            <w:tcW w:w="1928" w:type="dxa"/>
          </w:tcPr>
          <w:p>
            <w:pPr>
              <w:pStyle w:val="Celda"/>
            </w:pPr>
            <w:r>
              <w:t xml:space="preserve">Load process log</w:t>
            </w:r>
          </w:p>
        </w:tc>
      </w:tr>
      <w:tr>
        <w:tc>
          <w:tcPr>
            <w:tcW w:w="1928" w:type="dxa"/>
          </w:tcPr>
          <w:p>
            <w:pPr>
              <w:pStyle w:val="Celda"/>
            </w:pPr>
            <w:r>
              <w:t xml:space="preserve">2 </w:t>
            </w:r>
            <w:r>
              <w:rPr>
                <w:i/>
              </w:rPr>
              <w:t xml:space="preserve">(illustrative example)</w:t>
            </w:r>
          </w:p>
        </w:tc>
        <w:tc>
          <w:tcPr>
            <w:tcW w:w="1928" w:type="dxa"/>
          </w:tcPr>
          <w:p>
            <w:pPr>
              <w:pStyle w:val="Celda"/>
            </w:pPr>
            <w:r>
              <w:t xml:space="preserve">Raw copy</w:t>
            </w:r>
          </w:p>
        </w:tc>
        <w:tc>
          <w:tcPr>
            <w:tcW w:w="1928" w:type="dxa"/>
          </w:tcPr>
          <w:p>
            <w:pPr>
              <w:pStyle w:val="Celda"/>
            </w:pPr>
            <w:r>
              <w:t xml:space="preserve">CD-01 transformations</w:t>
            </w:r>
          </w:p>
        </w:tc>
        <w:tc>
          <w:tcPr>
            <w:tcW w:w="1928" w:type="dxa"/>
          </w:tcPr>
          <w:p>
            <w:pPr>
              <w:pStyle w:val="Celda"/>
            </w:pPr>
            <w:r>
              <w:t xml:space="preserve">CD-01 v3</w:t>
            </w:r>
          </w:p>
        </w:tc>
        <w:tc>
          <w:tcPr>
            <w:tcW w:w="1928" w:type="dxa"/>
          </w:tcPr>
          <w:p>
            <w:pPr>
              <w:pStyle w:val="Celda"/>
            </w:pPr>
            <w:r>
              <w:t xml:space="preserve">Dataset fingerprint</w:t>
            </w:r>
          </w:p>
        </w:tc>
      </w:tr>
      <w:tr>
        <w:tc>
          <w:tcPr>
            <w:tcW w:w="1928" w:type="dxa"/>
          </w:tcPr>
          <w:p>
            <w:pPr>
              <w:pStyle w:val="Celda"/>
            </w:pPr>
            <w:r>
              <w:t xml:space="preserve">3 </w:t>
            </w:r>
            <w:r>
              <w:rPr>
                <w:i/>
              </w:rPr>
              <w:t xml:space="preserve">(illustrative example)</w:t>
            </w:r>
          </w:p>
        </w:tc>
        <w:tc>
          <w:tcPr>
            <w:tcW w:w="1928" w:type="dxa"/>
          </w:tcPr>
          <w:p>
            <w:pPr>
              <w:pStyle w:val="Celda"/>
            </w:pPr>
            <w:r>
              <w:t xml:space="preserve">Data for the day</w:t>
            </w:r>
          </w:p>
        </w:tc>
        <w:tc>
          <w:tcPr>
            <w:tcW w:w="1928" w:type="dxa"/>
          </w:tcPr>
          <w:p>
            <w:pPr>
              <w:pStyle w:val="Celda"/>
            </w:pPr>
            <w:r>
              <w:t xml:space="preserve">Inference with M-01 v1.4</w:t>
            </w:r>
          </w:p>
        </w:tc>
        <w:tc>
          <w:tcPr>
            <w:tcW w:w="1928" w:type="dxa"/>
          </w:tcPr>
          <w:p>
            <w:pPr>
              <w:pStyle w:val="Celda"/>
            </w:pPr>
            <w:r>
              <w:t xml:space="preserve">Prioritised list of assets</w:t>
            </w:r>
          </w:p>
        </w:tc>
        <w:tc>
          <w:tcPr>
            <w:tcW w:w="1928" w:type="dxa"/>
          </w:tcPr>
          <w:p>
            <w:pPr>
              <w:pStyle w:val="Celda"/>
            </w:pPr>
            <w:r>
              <w:t xml:space="preserve">Inference log with model version</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7. Reproducibility and traceability of outputs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Can each output be linked to the version of the model, data and prompts?</w:t>
            </w:r>
          </w:p>
        </w:tc>
        <w:tc>
          <w:tcPr>
            <w:tcW w:w="3213" w:type="dxa"/>
          </w:tcPr>
          <w:p>
            <w:pPr>
              <w:pStyle w:val="Celda"/>
            </w:pPr>
          </w:p>
        </w:tc>
        <w:tc>
          <w:tcPr>
            <w:tcW w:w="3213" w:type="dxa"/>
          </w:tcPr>
          <w:p>
            <w:pPr>
              <w:pStyle w:val="Celda"/>
            </w:pPr>
            <w:r>
              <w:t xml:space="preserve">Yes · Partially · No. If not, it is a finding for G4.</w:t>
            </w:r>
          </w:p>
        </w:tc>
      </w:tr>
      <w:tr>
        <w:tc>
          <w:tcPr>
            <w:tcW w:w="3213" w:type="dxa"/>
          </w:tcPr>
          <w:p>
            <w:pPr>
              <w:pStyle w:val="Celda"/>
            </w:pPr>
            <w:r>
              <w:t xml:space="preserve">Automatic logs retained</w:t>
            </w:r>
          </w:p>
        </w:tc>
        <w:tc>
          <w:tcPr>
            <w:tcW w:w="3213" w:type="dxa"/>
          </w:tcPr>
          <w:p>
            <w:pPr>
              <w:pStyle w:val="Celda"/>
            </w:pPr>
          </w:p>
        </w:tc>
        <w:tc>
          <w:tcPr>
            <w:tcW w:w="3213" w:type="dxa"/>
          </w:tcPr>
          <w:p>
            <w:pPr>
              <w:pStyle w:val="Celda"/>
            </w:pPr>
            <w:r>
              <w:t xml:space="preserve">What is logged (input, output, version, date, user). In high-risk systems, align with the record-keeping obligations of the EU AI Act (document 34).</w:t>
            </w:r>
          </w:p>
        </w:tc>
      </w:tr>
      <w:tr>
        <w:tc>
          <w:tcPr>
            <w:tcW w:w="3213" w:type="dxa"/>
          </w:tcPr>
          <w:p>
            <w:pPr>
              <w:pStyle w:val="Celda"/>
            </w:pPr>
            <w:r>
              <w:t xml:space="preserve">Log retention period</w:t>
            </w:r>
          </w:p>
        </w:tc>
        <w:tc>
          <w:tcPr>
            <w:tcW w:w="3213" w:type="dxa"/>
          </w:tcPr>
          <w:p>
            <w:pPr>
              <w:pStyle w:val="Celda"/>
            </w:pPr>
          </w:p>
        </w:tc>
        <w:tc>
          <w:tcPr>
            <w:tcW w:w="3213" w:type="dxa"/>
          </w:tcPr>
          <w:p>
            <w:pPr>
              <w:pStyle w:val="Celda"/>
            </w:pPr>
            <w:r>
              <w:t xml:space="preserve">Period set by the company, not shorter than that required by applicable regulation.</w:t>
            </w:r>
          </w:p>
        </w:tc>
      </w:tr>
      <w:tr>
        <w:tc>
          <w:tcPr>
            <w:tcW w:w="3213" w:type="dxa"/>
          </w:tcPr>
          <w:p>
            <w:pPr>
              <w:pStyle w:val="Celda"/>
            </w:pPr>
            <w:r>
              <w:t xml:space="preserve">Ability to retrain or regenerate a previous version </w:t>
            </w:r>
            <w:r>
              <w:rPr>
                <w:b/>
              </w:rPr>
              <w:t xml:space="preserve">(Enterprise)</w:t>
            </w:r>
          </w:p>
        </w:tc>
        <w:tc>
          <w:tcPr>
            <w:tcW w:w="3213" w:type="dxa"/>
          </w:tcPr>
          <w:p>
            <w:pPr>
              <w:pStyle w:val="Celda"/>
            </w:pPr>
          </w:p>
        </w:tc>
        <w:tc>
          <w:tcPr>
            <w:tcW w:w="3213" w:type="dxa"/>
          </w:tcPr>
          <w:p>
            <w:pPr>
              <w:pStyle w:val="Celda"/>
            </w:pPr>
            <w:r>
              <w:t xml:space="preserve">What is kept to reconstruct a version (code, data, parameters).</w:t>
            </w:r>
          </w:p>
        </w:tc>
      </w:tr>
      <w:tr>
        <w:tc>
          <w:tcPr>
            <w:tcW w:w="3213" w:type="dxa"/>
          </w:tcPr>
          <w:p>
            <w:pPr>
              <w:pStyle w:val="Celda"/>
            </w:pPr>
            <w:r>
              <w:t xml:space="preserve">Reference for detecting drift</w:t>
            </w:r>
          </w:p>
        </w:tc>
        <w:tc>
          <w:tcPr>
            <w:tcW w:w="3213" w:type="dxa"/>
          </w:tcPr>
          <w:p>
            <w:pPr>
              <w:pStyle w:val="Celda"/>
            </w:pPr>
          </w:p>
        </w:tc>
        <w:tc>
          <w:tcPr>
            <w:tcW w:w="3213" w:type="dxa"/>
          </w:tcPr>
          <w:p>
            <w:pPr>
              <w:pStyle w:val="Celda"/>
            </w:pPr>
            <w:r>
              <w:t xml:space="preserve">Dataset and period used as the reference for monitoring (P25). For generative AI and agents, usage reference: topics, intents and scope validated at G5 (document 52 §4.2.6).</w:t>
            </w:r>
          </w:p>
        </w:tc>
      </w:tr>
    </w:tbl>
    <w:p>
      <w:pPr>
        <w:pStyle w:val="Espacio"/>
      </w:pPr>
    </w:p>
    <w:p>
      <w:pPr>
        <w:pStyle w:val="Separador"/>
      </w:pPr>
    </w:p>
    <w:p>
      <w:pPr>
        <w:pStyle w:val="Heading1"/>
      </w:pPr>
      <w:r>
        <w:t xml:space="preserve">8. Treatment in the event of rollback or retirement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Previous stable version available</w:t>
            </w:r>
          </w:p>
        </w:tc>
        <w:tc>
          <w:tcPr>
            <w:tcW w:w="3213" w:type="dxa"/>
          </w:tcPr>
          <w:p>
            <w:pPr>
              <w:pStyle w:val="Celda"/>
            </w:pPr>
          </w:p>
        </w:tc>
        <w:tc>
          <w:tcPr>
            <w:tcW w:w="3213" w:type="dxa"/>
          </w:tcPr>
          <w:p>
            <w:pPr>
              <w:pStyle w:val="Celda"/>
            </w:pPr>
            <w:r>
              <w:t xml:space="preserve">Identifier of the model and components to be reverted to (P19).</w:t>
            </w:r>
          </w:p>
        </w:tc>
      </w:tr>
      <w:tr>
        <w:tc>
          <w:tcPr>
            <w:tcW w:w="3213" w:type="dxa"/>
          </w:tcPr>
          <w:p>
            <w:pPr>
              <w:pStyle w:val="Celda"/>
            </w:pPr>
            <w:r>
              <w:t xml:space="preserve">Data that must be retained</w:t>
            </w:r>
          </w:p>
        </w:tc>
        <w:tc>
          <w:tcPr>
            <w:tcW w:w="3213" w:type="dxa"/>
          </w:tcPr>
          <w:p>
            <w:pPr>
              <w:pStyle w:val="Celda"/>
            </w:pPr>
          </w:p>
        </w:tc>
        <w:tc>
          <w:tcPr>
            <w:tcW w:w="3213" w:type="dxa"/>
          </w:tcPr>
          <w:p>
            <w:pPr>
              <w:pStyle w:val="Celda"/>
            </w:pPr>
            <w:r>
              <w:t xml:space="preserve">Due to legal obligation, audit or legal defence.</w:t>
            </w:r>
          </w:p>
        </w:tc>
      </w:tr>
      <w:tr>
        <w:tc>
          <w:tcPr>
            <w:tcW w:w="3213" w:type="dxa"/>
          </w:tcPr>
          <w:p>
            <w:pPr>
              <w:pStyle w:val="Celda"/>
            </w:pPr>
            <w:r>
              <w:t xml:space="preserve">Data that must be deleted or anonymised</w:t>
            </w:r>
          </w:p>
        </w:tc>
        <w:tc>
          <w:tcPr>
            <w:tcW w:w="3213" w:type="dxa"/>
          </w:tcPr>
          <w:p>
            <w:pPr>
              <w:pStyle w:val="Celda"/>
            </w:pPr>
          </w:p>
        </w:tc>
        <w:tc>
          <w:tcPr>
            <w:tcW w:w="3213" w:type="dxa"/>
          </w:tcPr>
          <w:p>
            <w:pPr>
              <w:pStyle w:val="Celda"/>
            </w:pPr>
            <w:r>
              <w:t xml:space="preserve">Includes copies held by suppliers.</w:t>
            </w:r>
          </w:p>
        </w:tc>
      </w:tr>
      <w:tr>
        <w:tc>
          <w:tcPr>
            <w:tcW w:w="3213" w:type="dxa"/>
          </w:tcPr>
          <w:p>
            <w:pPr>
              <w:pStyle w:val="Celda"/>
            </w:pPr>
            <w:r>
              <w:t xml:space="preserve">Supplier obligations on termination </w:t>
            </w:r>
            <w:r>
              <w:rPr>
                <w:b/>
              </w:rPr>
              <w:t xml:space="preserve">(Enterprise)</w:t>
            </w:r>
          </w:p>
        </w:tc>
        <w:tc>
          <w:tcPr>
            <w:tcW w:w="3213" w:type="dxa"/>
          </w:tcPr>
          <w:p>
            <w:pPr>
              <w:pStyle w:val="Celda"/>
            </w:pPr>
          </w:p>
        </w:tc>
        <w:tc>
          <w:tcPr>
            <w:tcW w:w="3213" w:type="dxa"/>
          </w:tcPr>
          <w:p>
            <w:pPr>
              <w:pStyle w:val="Celda"/>
            </w:pPr>
            <w:r>
              <w:t xml:space="preserve">Return, certified deletion, no reuse for training. Detailed in P30.</w:t>
            </w:r>
          </w:p>
        </w:tc>
      </w:tr>
    </w:tbl>
    <w:p>
      <w:pPr>
        <w:pStyle w:val="Espacio"/>
      </w:pPr>
    </w:p>
    <w:p>
      <w:pPr>
        <w:pStyle w:val="Separador"/>
      </w:pPr>
    </w:p>
    <w:p>
      <w:pPr>
        <w:pStyle w:val="Heading1"/>
      </w:pPr>
      <w:r>
        <w:t xml:space="preserve">9. Quality criteria</w:t>
      </w:r>
    </w:p>
    <w:p>
      <w:r>
        <w:t xml:space="preserve">The verifier checks, as a minimum, the following. The formal G4 criteria are in document 21 and checklist LV-G4 in document 22.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All sources have an owner, data type and legal basis where there are personal data.</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Each dataset has a version or fingerprint and a period covered.</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Each model and component has an exact version, including third-party ones.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end-to-end journey makes it possible to link an output to its versions.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Known limitations are declared and carried over to P17 and P24.</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There is an identified previous version for rollback.</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template existed and had been verified before G4 was requested.</w:t>
            </w:r>
          </w:p>
        </w:tc>
        <w:tc>
          <w:tcPr>
            <w:tcW w:w="3213" w:type="dxa"/>
          </w:tcPr>
          <w:p>
            <w:pPr>
              <w:pStyle w:val="Celda"/>
            </w:pPr>
          </w:p>
        </w:tc>
      </w:tr>
    </w:tbl>
    <w:p>
      <w:pPr>
        <w:pStyle w:val="Espacio"/>
      </w:pPr>
    </w:p>
    <w:p>
      <w:pPr>
        <w:pStyle w:val="Separador"/>
      </w:pPr>
    </w:p>
    <w:p>
      <w:pPr>
        <w:pStyle w:val="Heading1"/>
      </w:pPr>
      <w:r>
        <w:t xml:space="preserve">10.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Author</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Legal basis review</w:t>
            </w:r>
          </w:p>
        </w:tc>
        <w:tc>
          <w:tcPr>
            <w:tcW w:w="1928" w:type="dxa"/>
          </w:tcPr>
          <w:p>
            <w:pPr>
              <w:pStyle w:val="Celda"/>
            </w:pPr>
            <w:r>
              <w:t xml:space="preserve">Data protection or 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Gate</w:t>
            </w:r>
            <w:r>
              <w:t xml:space="preserve"> decision-maker</w:t>
            </w:r>
          </w:p>
        </w:tc>
        <w:tc>
          <w:tcPr>
            <w:tcW w:w="1928" w:type="dxa"/>
          </w:tcPr>
          <w:p>
            <w:pPr>
              <w:pStyle w:val="Celda"/>
            </w:pPr>
            <w:r>
              <w:t xml:space="preserve">According to 01 §7.5 (recorded in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is not part of the team that builds and is not the same person as the author (01 §7.4 and §8.2).</w:t>
      </w:r>
    </w:p>
    <w:p>
      <w:pPr>
        <w:pStyle w:val="Separador"/>
      </w:pPr>
    </w:p>
    <w:p>
      <w:pPr>
        <w:pStyle w:val="Heading1"/>
      </w:pPr>
      <w:r>
        <w:t xml:space="preserve">11.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r>
        <w:tc>
          <w:tcPr>
            <w:tcW w:w="3213" w:type="dxa"/>
          </w:tcPr>
          <w:p>
            <w:pPr>
              <w:pStyle w:val="Celda"/>
            </w:pPr>
            <w:r>
              <w:t xml:space="preserve">0.1</w:t>
            </w:r>
          </w:p>
        </w:tc>
        <w:tc>
          <w:tcPr>
            <w:tcW w:w="3213" w:type="dxa"/>
          </w:tcPr>
          <w:p>
            <w:pPr>
              <w:pStyle w:val="Celda"/>
            </w:pPr>
            <w:r>
              <w:t xml:space="preserve">18-09-2026</w:t>
            </w:r>
          </w:p>
        </w:tc>
        <w:tc>
          <w:tcPr>
            <w:tcW w:w="3213" w:type="dxa"/>
          </w:tcPr>
          <w:p>
            <w:pPr>
              <w:pStyle w:val="Celda"/>
            </w:pPr>
            <w:r>
              <w:t xml:space="preserve">Cost fallback model in the components and usage reference for drift in generative AI and agents (document 52 §4.2.6 and §10.3).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P16 · Data and model lineage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P16 · Data and model lineage</dc:title>
  <dc:creator>Fernando García Varela</dc:creator>
  <dc:language>en</dc:language>
  <dc:description>sha256:0ec3fc940e983b8dea24258fb8c1a941c23cb8776e7ce45876b22980b95ca4ca</dc:description>
  <cp:keywords>SEVEN-G</cp:keywords>
</cp:coreProperties>
</file>